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394" w:rsidP="00CD6394">
      <w:pPr>
        <w:pStyle w:val="Title"/>
      </w:pPr>
      <w:r>
        <w:fldChar w:fldCharType="begin"/>
      </w:r>
      <w:r>
        <w:instrText xml:space="preserve"> TITLE   \* MERGEFORMAT </w:instrText>
      </w:r>
      <w:r>
        <w:fldChar w:fldCharType="separate"/>
      </w:r>
      <w:r>
        <w:t>Assessment Requirements for RIIERR602E Establish and maintain underground coal mine emergency preparedness and response systems</w:t>
      </w:r>
      <w:r>
        <w:fldChar w:fldCharType="end"/>
      </w:r>
    </w:p>
    <w:p w:rsidR="00CD6394" w:rsidP="00CD6394">
      <w:pPr>
        <w:pStyle w:val="Version"/>
        <w:sectPr w:rsidSect="00FF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CCF" w:rsidP="00FF5CCF">
      <w:pPr>
        <w:pStyle w:val="SuperHeading"/>
      </w:pPr>
      <w:r w:rsidRPr="00FF5CCF">
        <w:t>Assessment Requirements for RIIERR602E Establish and maintain underground coal mine emergency preparedness and response systems</w:t>
      </w:r>
    </w:p>
    <w:p w:rsidR="00000000" w:rsidRPr="00FF5CCF" w:rsidP="00FF5CCF">
      <w:pPr>
        <w:pStyle w:val="Heading1"/>
      </w:pPr>
      <w:bookmarkStart w:id="1" w:name="O_1108584"/>
      <w:bookmarkEnd w:id="1"/>
      <w:r w:rsidRPr="00FF5CCF">
        <w:t>Modification History</w:t>
      </w:r>
    </w:p>
    <w:tbl>
      <w:tblPr>
        <w:tblW w:w="9522" w:type="dxa"/>
        <w:tblLayout w:type="fixed"/>
        <w:tblCellMar>
          <w:left w:w="62" w:type="dxa"/>
          <w:right w:w="62" w:type="dxa"/>
        </w:tblCellMar>
        <w:tblLook w:val="0000"/>
      </w:tblPr>
      <w:tblGrid>
        <w:gridCol w:w="2929"/>
        <w:gridCol w:w="6593"/>
      </w:tblGrid>
      <w:tr w:rsidTr="00FF5CC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CF" w:rsidP="00FF5CCF">
            <w:pPr>
              <w:pStyle w:val="BodyText"/>
            </w:pPr>
            <w:r w:rsidRPr="00FF5CC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CF">
            <w:pPr>
              <w:pStyle w:val="BodyText"/>
              <w:rPr>
                <w:lang w:val="en-NZ"/>
              </w:rPr>
            </w:pPr>
            <w:r w:rsidRPr="00FF5CCF">
              <w:rPr>
                <w:rStyle w:val="SpecialBold"/>
              </w:rPr>
              <w:t>Comments</w:t>
            </w:r>
          </w:p>
        </w:tc>
      </w:tr>
      <w:tr w:rsidTr="00FF5CC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CCF">
            <w:pPr>
              <w:pStyle w:val="BodyText"/>
              <w:rPr>
                <w:lang w:val="en-NZ"/>
              </w:rPr>
            </w:pPr>
            <w:r w:rsidRPr="00FF5CC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CCF" w:rsidP="00FF5CCF">
            <w:pPr>
              <w:pStyle w:val="BodyText"/>
            </w:pPr>
            <w:r w:rsidRPr="00FF5CCF">
              <w:t>This version fi</w:t>
            </w:r>
            <w:r w:rsidRPr="00FF5CCF">
              <w:t>rst released with RII Resources and Infrastructure Industry Training Package Version 5.0.</w:t>
            </w:r>
          </w:p>
        </w:tc>
      </w:tr>
    </w:tbl>
    <w:p w:rsidR="00000000" w:rsidRPr="00FF5CCF" w:rsidP="00FF5CCF">
      <w:pPr>
        <w:pStyle w:val="BodyText"/>
      </w:pPr>
    </w:p>
    <w:p w:rsidR="00000000" w:rsidRPr="00FF5CCF" w:rsidP="00FF5CCF">
      <w:pPr>
        <w:pStyle w:val="AllowPageBreak"/>
      </w:pPr>
    </w:p>
    <w:p w:rsidR="00000000" w:rsidRPr="00FF5CCF" w:rsidP="00FF5CCF">
      <w:pPr>
        <w:pStyle w:val="Heading1"/>
      </w:pPr>
      <w:bookmarkStart w:id="2" w:name="O_1108587"/>
      <w:bookmarkEnd w:id="2"/>
      <w:r w:rsidRPr="00FF5CCF">
        <w:t>Performance Evidence</w:t>
      </w:r>
    </w:p>
    <w:p w:rsidR="00000000" w:rsidRPr="00FF5CCF" w:rsidP="00CD6394">
      <w:pPr>
        <w:pStyle w:val="BodyText"/>
      </w:pPr>
      <w:r w:rsidRPr="00FF5CCF">
        <w:t>The candidate must demonstrate the ability to complete the tasks outlined in the elements, performance criteria and foundati</w:t>
      </w:r>
      <w:r w:rsidRPr="00FF5CCF">
        <w:t>on skills of this unit, including evidence of the ability to:</w:t>
      </w:r>
    </w:p>
    <w:p w:rsidR="00000000" w:rsidRPr="00FF5CCF" w:rsidP="00FF5CCF">
      <w:pPr>
        <w:pStyle w:val="ListBullet"/>
      </w:pPr>
      <w:r w:rsidRPr="00FF5CCF">
        <w:t>establish and maintain underground coal mine emergency preparedness and response systems on at least two occasions, including:</w:t>
      </w:r>
    </w:p>
    <w:p w:rsidR="00000000" w:rsidRPr="00FF5CCF" w:rsidP="00FF5CCF">
      <w:pPr>
        <w:pStyle w:val="ListBullet2"/>
      </w:pPr>
      <w:r w:rsidRPr="00FF5CCF">
        <w:t xml:space="preserve">establishing processes to investigate nature and cause of emergency/incident </w:t>
      </w:r>
    </w:p>
    <w:p w:rsidR="00000000" w:rsidRPr="00FF5CCF" w:rsidP="00FF5CCF">
      <w:pPr>
        <w:pStyle w:val="ListBullet2"/>
      </w:pPr>
      <w:r w:rsidRPr="00FF5CCF">
        <w:t>communicating and explaining plans and supporting information in a form readily accessible to others</w:t>
      </w:r>
    </w:p>
    <w:p w:rsidR="00000000" w:rsidRPr="00FF5CCF" w:rsidP="00FF5CCF">
      <w:pPr>
        <w:pStyle w:val="ListBullet2"/>
      </w:pPr>
      <w:r w:rsidRPr="00FF5CCF">
        <w:t>identifying, clarifying and communicating roles and responsibilities to all p</w:t>
      </w:r>
      <w:r w:rsidRPr="00FF5CCF">
        <w:t>ersonnel</w:t>
      </w:r>
    </w:p>
    <w:p w:rsidR="00000000" w:rsidRPr="00FF5CCF" w:rsidP="00FF5CCF">
      <w:pPr>
        <w:pStyle w:val="ListBullet2"/>
      </w:pPr>
      <w:r w:rsidRPr="00FF5CCF">
        <w:t>implementing the allocation and installation of resources</w:t>
      </w:r>
    </w:p>
    <w:p w:rsidR="00000000" w:rsidRPr="00FF5CCF" w:rsidP="00FF5CCF">
      <w:pPr>
        <w:pStyle w:val="ListBullet2"/>
      </w:pPr>
      <w:r w:rsidRPr="00FF5CCF">
        <w:t>implementing the emergency preparedness and response training program, including relevant systems and procedures</w:t>
      </w:r>
    </w:p>
    <w:p w:rsidR="00000000" w:rsidRPr="00FF5CCF" w:rsidP="00FF5CCF">
      <w:pPr>
        <w:pStyle w:val="ListBullet2"/>
      </w:pPr>
      <w:r w:rsidRPr="00FF5CCF">
        <w:t>developing review mechanisms from internal and external sources</w:t>
      </w:r>
    </w:p>
    <w:p w:rsidR="00000000" w:rsidRPr="00FF5CCF" w:rsidP="00FF5CCF">
      <w:pPr>
        <w:pStyle w:val="ListBullet2"/>
      </w:pPr>
      <w:r w:rsidRPr="00FF5CCF">
        <w:t>establishing</w:t>
      </w:r>
      <w:r w:rsidRPr="00FF5CCF">
        <w:t xml:space="preserve"> plans to manage post-incident actions.</w:t>
      </w:r>
    </w:p>
    <w:p w:rsidR="00000000" w:rsidRPr="00FF5CCF" w:rsidP="00FF5CCF">
      <w:pPr>
        <w:pStyle w:val="List"/>
      </w:pPr>
    </w:p>
    <w:p w:rsidR="00000000" w:rsidRPr="00FF5CCF" w:rsidP="00CD6394">
      <w:pPr>
        <w:pStyle w:val="BodyText"/>
      </w:pPr>
      <w:r w:rsidRPr="00FF5CCF">
        <w:t>During the above, the candidate must:</w:t>
      </w:r>
    </w:p>
    <w:p w:rsidR="00000000" w:rsidRPr="00FF5CCF" w:rsidP="00FF5CCF">
      <w:pPr>
        <w:pStyle w:val="ListBullet"/>
      </w:pPr>
      <w:r w:rsidRPr="00FF5CCF">
        <w:t>locate and apply relevant legislation, documentation, policies and procedures</w:t>
      </w:r>
    </w:p>
    <w:p w:rsidR="00000000" w:rsidRPr="00FF5CCF" w:rsidP="00FF5CCF">
      <w:pPr>
        <w:pStyle w:val="ListBullet"/>
      </w:pPr>
      <w:r w:rsidRPr="00FF5CCF">
        <w:t>implement procedures and techniques for establishing and maintaining mine emergency preparedness a</w:t>
      </w:r>
      <w:r w:rsidRPr="00FF5CCF">
        <w:t>nd response systems, including:</w:t>
      </w:r>
    </w:p>
    <w:p w:rsidR="00000000" w:rsidRPr="00FF5CCF" w:rsidP="00FF5CCF">
      <w:pPr>
        <w:pStyle w:val="ListBullet2"/>
      </w:pPr>
      <w:r w:rsidRPr="00FF5CCF">
        <w:t>assessing and prioritising implementation processes</w:t>
      </w:r>
    </w:p>
    <w:p w:rsidR="00000000" w:rsidRPr="00FF5CCF" w:rsidP="00FF5CCF">
      <w:pPr>
        <w:pStyle w:val="ListBullet2"/>
      </w:pPr>
      <w:r w:rsidRPr="00FF5CCF">
        <w:t>analysing hazards and risks relevant to the establishment and maintenance of the mine emergency preparedness and response systems</w:t>
      </w:r>
    </w:p>
    <w:p w:rsidR="00000000" w:rsidRPr="00FF5CCF" w:rsidP="00FF5CCF">
      <w:pPr>
        <w:pStyle w:val="ListBullet2"/>
      </w:pPr>
      <w:r w:rsidRPr="00FF5CCF">
        <w:t>maintaining standards for establishment and maintenance of the mine emergency preparedness and response systems</w:t>
      </w:r>
    </w:p>
    <w:p w:rsidR="00000000" w:rsidRPr="00FF5CCF" w:rsidP="00FF5CCF">
      <w:pPr>
        <w:pStyle w:val="ListBullet2"/>
      </w:pPr>
      <w:r w:rsidRPr="00FF5CCF">
        <w:t>providing clear and timely instruction and supervision to those involved in the mine emergency preparedness and response systems</w:t>
      </w:r>
    </w:p>
    <w:p w:rsidR="00000000" w:rsidRPr="00FF5CCF" w:rsidP="00FF5CCF">
      <w:pPr>
        <w:pStyle w:val="ListBullet2"/>
      </w:pPr>
      <w:r w:rsidRPr="00FF5CCF">
        <w:t>identifying tra</w:t>
      </w:r>
      <w:r w:rsidRPr="00FF5CCF">
        <w:t>ining needs of individuals involved in the mine emergency preparedness and response systems and confirming training plans are established according to site requirements</w:t>
      </w:r>
    </w:p>
    <w:p w:rsidR="00000000" w:rsidRPr="00FF5CCF" w:rsidP="00FF5CCF">
      <w:pPr>
        <w:pStyle w:val="ListBullet"/>
      </w:pPr>
      <w:r w:rsidRPr="00FF5CCF">
        <w:t>work with and lead others to establish and maintain underground coal mine emergency pr</w:t>
      </w:r>
      <w:r w:rsidRPr="00FF5CCF">
        <w:t>eparedness and response systems, including:</w:t>
      </w:r>
    </w:p>
    <w:p w:rsidR="00000000" w:rsidRPr="00FF5CCF" w:rsidP="00FF5CCF">
      <w:pPr>
        <w:pStyle w:val="ListBullet2"/>
      </w:pPr>
      <w:r w:rsidRPr="00FF5CCF">
        <w:t>facilitating groups to work together</w:t>
      </w:r>
    </w:p>
    <w:p w:rsidR="00000000" w:rsidRPr="00FF5CCF" w:rsidP="00FF5CCF">
      <w:pPr>
        <w:pStyle w:val="ListBullet2"/>
      </w:pPr>
      <w:r w:rsidRPr="00FF5CCF">
        <w:t>establishing and maintaining a range of communication techniques and aids to advise others of work activity</w:t>
      </w:r>
    </w:p>
    <w:p w:rsidR="00000000" w:rsidRPr="00FF5CCF" w:rsidP="00FF5CCF">
      <w:pPr>
        <w:pStyle w:val="ListBullet2"/>
      </w:pPr>
      <w:r w:rsidRPr="00FF5CCF">
        <w:t xml:space="preserve">using communication systems to convey all activities and outcomes </w:t>
      </w:r>
      <w:r w:rsidRPr="00FF5CCF">
        <w:t>for coal mine emergency preparedness and response to others in a clear and concise manner.</w:t>
      </w:r>
    </w:p>
    <w:p w:rsidR="00000000" w:rsidRPr="00FF5CCF" w:rsidP="00FF5CCF">
      <w:pPr>
        <w:pStyle w:val="AllowPageBreak"/>
      </w:pPr>
    </w:p>
    <w:p w:rsidR="00000000" w:rsidRPr="00FF5CCF" w:rsidP="00FF5CCF">
      <w:pPr>
        <w:pStyle w:val="Heading1"/>
      </w:pPr>
      <w:bookmarkStart w:id="3" w:name="O_1108586"/>
      <w:bookmarkEnd w:id="3"/>
      <w:r w:rsidRPr="00FF5CCF">
        <w:t>Knowledge Evidence</w:t>
      </w:r>
    </w:p>
    <w:p w:rsidR="00000000" w:rsidRPr="00FF5CCF" w:rsidP="00CD6394">
      <w:pPr>
        <w:pStyle w:val="BodyText"/>
      </w:pPr>
      <w:r w:rsidRPr="00FF5CCF">
        <w:t>The candidate must be able to demonstrate knowledge to complete the tasks outlined in the elements, performance criteria and fo</w:t>
      </w:r>
      <w:r w:rsidRPr="00FF5CCF">
        <w:t>undation skills of this unit, including knowledge of:</w:t>
      </w:r>
    </w:p>
    <w:p w:rsidR="00000000" w:rsidRPr="00FF5CCF" w:rsidP="00FF5CCF">
      <w:pPr>
        <w:pStyle w:val="ListBullet"/>
      </w:pPr>
      <w:r w:rsidRPr="00FF5CCF">
        <w:t>key legislation required to establish and maintain underground coal mine emergency preparedness and response systems</w:t>
      </w:r>
    </w:p>
    <w:p w:rsidR="00000000" w:rsidRPr="00FF5CCF" w:rsidP="00FF5CCF">
      <w:pPr>
        <w:pStyle w:val="ListBullet"/>
      </w:pPr>
      <w:r w:rsidRPr="00FF5CCF">
        <w:t>key procedures and documentation required to establish and maintain underground coal</w:t>
      </w:r>
      <w:r w:rsidRPr="00FF5CCF">
        <w:t xml:space="preserve"> mine emergency preparedness and response systems, including:</w:t>
      </w:r>
    </w:p>
    <w:p w:rsidR="00000000" w:rsidRPr="00FF5CCF" w:rsidP="00FF5CCF">
      <w:pPr>
        <w:pStyle w:val="ListBullet2"/>
      </w:pPr>
      <w:r w:rsidRPr="00FF5CCF">
        <w:t>audit and review processes and techniques</w:t>
      </w:r>
    </w:p>
    <w:p w:rsidR="00000000" w:rsidRPr="00FF5CCF" w:rsidP="00FF5CCF">
      <w:pPr>
        <w:pStyle w:val="ListBullet2"/>
      </w:pPr>
      <w:r w:rsidRPr="00FF5CCF">
        <w:t>call-out procedures</w:t>
      </w:r>
    </w:p>
    <w:p w:rsidR="00000000" w:rsidRPr="00FF5CCF" w:rsidP="00FF5CCF">
      <w:pPr>
        <w:pStyle w:val="ListBullet2"/>
      </w:pPr>
      <w:r w:rsidRPr="00FF5CCF">
        <w:t>debriefing processes</w:t>
      </w:r>
    </w:p>
    <w:p w:rsidR="00000000" w:rsidRPr="00FF5CCF" w:rsidP="00FF5CCF">
      <w:pPr>
        <w:pStyle w:val="ListBullet2"/>
      </w:pPr>
      <w:r w:rsidRPr="00FF5CCF">
        <w:t>decision making processes</w:t>
      </w:r>
    </w:p>
    <w:p w:rsidR="00000000" w:rsidRPr="00FF5CCF" w:rsidP="00FF5CCF">
      <w:pPr>
        <w:pStyle w:val="ListBullet2"/>
      </w:pPr>
      <w:r w:rsidRPr="00FF5CCF">
        <w:t>media policies and procedures</w:t>
      </w:r>
    </w:p>
    <w:p w:rsidR="00000000" w:rsidRPr="00FF5CCF" w:rsidP="00FF5CCF">
      <w:pPr>
        <w:pStyle w:val="ListBullet2"/>
      </w:pPr>
      <w:r w:rsidRPr="00FF5CCF">
        <w:t>site emergency plans</w:t>
      </w:r>
    </w:p>
    <w:p w:rsidR="00000000" w:rsidRPr="00FF5CCF" w:rsidP="00FF5CCF">
      <w:pPr>
        <w:pStyle w:val="ListBullet2"/>
      </w:pPr>
      <w:r w:rsidRPr="00FF5CCF">
        <w:t>structure of emergency procedures guidelines</w:t>
      </w:r>
    </w:p>
    <w:p w:rsidR="00000000" w:rsidRPr="00FF5CCF" w:rsidP="00FF5CCF">
      <w:pPr>
        <w:pStyle w:val="ListBullet2"/>
      </w:pPr>
      <w:r w:rsidRPr="00FF5CCF">
        <w:t>worksite closure procedures and legislative implications</w:t>
      </w:r>
    </w:p>
    <w:p w:rsidR="00000000" w:rsidRPr="00FF5CCF" w:rsidP="00FF5CCF">
      <w:pPr>
        <w:pStyle w:val="ListBullet"/>
      </w:pPr>
      <w:r w:rsidRPr="00FF5CCF">
        <w:t>emergency response and evacuation planning processes, systems and techniques, including:</w:t>
      </w:r>
    </w:p>
    <w:p w:rsidR="00000000" w:rsidRPr="00FF5CCF" w:rsidP="00FF5CCF">
      <w:pPr>
        <w:pStyle w:val="ListBullet2"/>
      </w:pPr>
      <w:r w:rsidRPr="00FF5CCF">
        <w:t xml:space="preserve">escape strategies and technologies </w:t>
      </w:r>
    </w:p>
    <w:p w:rsidR="00000000" w:rsidRPr="00FF5CCF" w:rsidP="00FF5CCF">
      <w:pPr>
        <w:pStyle w:val="ListBullet2"/>
      </w:pPr>
      <w:r w:rsidRPr="00FF5CCF">
        <w:t xml:space="preserve">equipment requirements for </w:t>
      </w:r>
      <w:r w:rsidRPr="00FF5CCF">
        <w:t>different types of emergencies</w:t>
      </w:r>
    </w:p>
    <w:p w:rsidR="00000000" w:rsidRPr="00FF5CCF" w:rsidP="00FF5CCF">
      <w:pPr>
        <w:pStyle w:val="ListBullet2"/>
      </w:pPr>
      <w:r w:rsidRPr="00FF5CCF">
        <w:t>guidance systems and markers</w:t>
      </w:r>
    </w:p>
    <w:p w:rsidR="00000000" w:rsidRPr="00FF5CCF" w:rsidP="00FF5CCF">
      <w:pPr>
        <w:pStyle w:val="ListBullet2"/>
      </w:pPr>
      <w:r w:rsidRPr="00FF5CCF">
        <w:t>trigger points to initiate emergency response to alarms</w:t>
      </w:r>
    </w:p>
    <w:p w:rsidR="00000000" w:rsidRPr="00FF5CCF" w:rsidP="00FF5CCF">
      <w:pPr>
        <w:pStyle w:val="ListBullet2"/>
      </w:pPr>
      <w:r w:rsidRPr="00FF5CCF">
        <w:t>location and record of personnel underground</w:t>
      </w:r>
    </w:p>
    <w:p w:rsidR="00000000" w:rsidRPr="00FF5CCF" w:rsidP="00FF5CCF">
      <w:pPr>
        <w:pStyle w:val="ListBullet"/>
      </w:pPr>
      <w:r w:rsidRPr="00FF5CCF">
        <w:t xml:space="preserve">intervention and control techniques for incidents and emergencies, including: </w:t>
      </w:r>
    </w:p>
    <w:p w:rsidR="00000000" w:rsidRPr="00FF5CCF" w:rsidP="00FF5CCF">
      <w:pPr>
        <w:pStyle w:val="ListBullet2"/>
      </w:pPr>
      <w:r w:rsidRPr="00FF5CCF">
        <w:t>heating</w:t>
      </w:r>
    </w:p>
    <w:p w:rsidR="00000000" w:rsidRPr="00FF5CCF" w:rsidP="00FF5CCF">
      <w:pPr>
        <w:pStyle w:val="ListBullet2"/>
      </w:pPr>
      <w:r w:rsidRPr="00FF5CCF">
        <w:t>fires</w:t>
      </w:r>
    </w:p>
    <w:p w:rsidR="00000000" w:rsidRPr="00FF5CCF" w:rsidP="00FF5CCF">
      <w:pPr>
        <w:pStyle w:val="ListBullet2"/>
      </w:pPr>
      <w:r w:rsidRPr="00FF5CCF">
        <w:t>explosions</w:t>
      </w:r>
    </w:p>
    <w:p w:rsidR="00000000" w:rsidRPr="00FF5CCF" w:rsidP="00FF5CCF">
      <w:pPr>
        <w:pStyle w:val="ListBullet2"/>
      </w:pPr>
      <w:r w:rsidRPr="00FF5CCF">
        <w:t>outburst</w:t>
      </w:r>
    </w:p>
    <w:p w:rsidR="00000000" w:rsidRPr="00FF5CCF" w:rsidP="00FF5CCF">
      <w:pPr>
        <w:pStyle w:val="ListBullet2"/>
      </w:pPr>
      <w:r w:rsidRPr="00FF5CCF">
        <w:t>inrush</w:t>
      </w:r>
    </w:p>
    <w:p w:rsidR="00000000" w:rsidRPr="00FF5CCF" w:rsidP="00FF5CCF">
      <w:pPr>
        <w:pStyle w:val="ListBullet"/>
      </w:pPr>
      <w:r w:rsidRPr="00FF5CCF">
        <w:t xml:space="preserve">techniques for identifying individual training needs and reviewing underground coal mine emergency preparedness and response training plans </w:t>
      </w:r>
    </w:p>
    <w:p w:rsidR="00000000" w:rsidRPr="00FF5CCF" w:rsidP="00FF5CCF">
      <w:pPr>
        <w:pStyle w:val="ListBullet"/>
      </w:pPr>
      <w:r w:rsidRPr="00FF5CCF">
        <w:t>mine environmental risks and controls</w:t>
      </w:r>
    </w:p>
    <w:p w:rsidR="00000000" w:rsidRPr="00FF5CCF" w:rsidP="00FF5CCF">
      <w:pPr>
        <w:pStyle w:val="ListBullet"/>
      </w:pPr>
      <w:r w:rsidRPr="00FF5CCF">
        <w:t>roles of key external agencies</w:t>
      </w:r>
    </w:p>
    <w:p w:rsidR="00000000" w:rsidRPr="00FF5CCF" w:rsidP="00FF5CCF">
      <w:pPr>
        <w:pStyle w:val="ListBullet"/>
      </w:pPr>
      <w:r w:rsidRPr="00FF5CCF">
        <w:t>structure, role an</w:t>
      </w:r>
      <w:r w:rsidRPr="00FF5CCF">
        <w:t>d responsibilities of the incident control</w:t>
      </w:r>
    </w:p>
    <w:p w:rsidR="00000000" w:rsidRPr="00FF5CCF" w:rsidP="00FF5CCF">
      <w:pPr>
        <w:pStyle w:val="ListBullet"/>
      </w:pPr>
      <w:r w:rsidRPr="00FF5CCF">
        <w:t>types of adverse environmental conditions, hazards and incidents on mine sites, including:</w:t>
      </w:r>
    </w:p>
    <w:p w:rsidR="00000000" w:rsidRPr="00FF5CCF" w:rsidP="00FF5CCF">
      <w:pPr>
        <w:pStyle w:val="ListBullet2"/>
      </w:pPr>
      <w:r w:rsidRPr="00FF5CCF">
        <w:t>classification of types of incidents</w:t>
      </w:r>
    </w:p>
    <w:p w:rsidR="00000000" w:rsidRPr="00FF5CCF" w:rsidP="00FF5CCF">
      <w:pPr>
        <w:pStyle w:val="ListBullet2"/>
      </w:pPr>
      <w:r w:rsidRPr="00FF5CCF">
        <w:t>effects of hot and humid atmospheres</w:t>
      </w:r>
    </w:p>
    <w:p w:rsidR="00000000" w:rsidRPr="00FF5CCF" w:rsidP="00FF5CCF">
      <w:pPr>
        <w:pStyle w:val="ListBullet"/>
      </w:pPr>
      <w:r w:rsidRPr="00FF5CCF">
        <w:t>commercial and social considerations and decis</w:t>
      </w:r>
      <w:r w:rsidRPr="00FF5CCF">
        <w:t>ions relevant to emergency preparedness and response systems</w:t>
      </w:r>
    </w:p>
    <w:p w:rsidR="00000000" w:rsidRPr="00FF5CCF" w:rsidP="00FF5CCF">
      <w:pPr>
        <w:pStyle w:val="ListBullet"/>
      </w:pPr>
      <w:r w:rsidRPr="00FF5CCF">
        <w:t>emotional effects of emergencies on rescuers, site personnel, families and communities</w:t>
      </w:r>
    </w:p>
    <w:p w:rsidR="00000000" w:rsidRPr="00FF5CCF" w:rsidP="00FF5CCF">
      <w:pPr>
        <w:pStyle w:val="ListBullet"/>
      </w:pPr>
      <w:r w:rsidRPr="00FF5CCF">
        <w:t>techniques for leading and coordinating work activities with others.</w:t>
      </w:r>
    </w:p>
    <w:p w:rsidR="00000000" w:rsidRPr="00FF5CCF" w:rsidP="00FF5CCF">
      <w:pPr>
        <w:pStyle w:val="AllowPageBreak"/>
      </w:pPr>
    </w:p>
    <w:p w:rsidR="00000000" w:rsidRPr="00FF5CCF" w:rsidP="00FF5CCF">
      <w:pPr>
        <w:pStyle w:val="Heading1"/>
      </w:pPr>
      <w:bookmarkStart w:id="4" w:name="O_1108585"/>
      <w:bookmarkEnd w:id="4"/>
      <w:r w:rsidRPr="00FF5CCF">
        <w:t>Assessment Conditions</w:t>
      </w:r>
    </w:p>
    <w:p w:rsidR="00000000" w:rsidRPr="00FF5CCF" w:rsidP="00CD6394">
      <w:pPr>
        <w:pStyle w:val="BodyText"/>
      </w:pPr>
      <w:r w:rsidRPr="00FF5CCF">
        <w:t>Mandatory conditions for assessment of this unit are stipulated below. The assessment must:</w:t>
      </w:r>
    </w:p>
    <w:p w:rsidR="00000000" w:rsidRPr="00FF5CCF" w:rsidP="00FF5CCF">
      <w:pPr>
        <w:pStyle w:val="ListBullet"/>
      </w:pPr>
      <w:r w:rsidRPr="00FF5CCF">
        <w:t>include access to:</w:t>
      </w:r>
    </w:p>
    <w:p w:rsidR="00000000" w:rsidRPr="00FF5CCF" w:rsidP="00FF5CCF">
      <w:pPr>
        <w:pStyle w:val="ListBullet2"/>
      </w:pPr>
      <w:r w:rsidRPr="00FF5CCF">
        <w:t>underground coal mine emergency preparedness and response plan</w:t>
      </w:r>
    </w:p>
    <w:p w:rsidR="00000000" w:rsidRPr="00FF5CCF" w:rsidP="00FF5CCF">
      <w:pPr>
        <w:pStyle w:val="ListBullet"/>
      </w:pPr>
      <w:r w:rsidRPr="00FF5CCF">
        <w:t xml:space="preserve">be conducted in a safe environment; and, </w:t>
      </w:r>
    </w:p>
    <w:p w:rsidR="00000000" w:rsidRPr="00FF5CCF" w:rsidP="00FF5CCF">
      <w:pPr>
        <w:pStyle w:val="ListBullet"/>
      </w:pPr>
      <w:r w:rsidRPr="00FF5CCF">
        <w:t xml:space="preserve">be assessed in </w:t>
      </w:r>
      <w:r w:rsidRPr="00FF5CCF">
        <w:t>the context of this sector</w:t>
      </w:r>
      <w:r>
        <w:t>’</w:t>
      </w:r>
      <w:r w:rsidRPr="00FF5CCF">
        <w:t xml:space="preserve">s work environment; and, </w:t>
      </w:r>
    </w:p>
    <w:p w:rsidR="00000000" w:rsidRPr="00FF5CCF" w:rsidP="00FF5CCF">
      <w:pPr>
        <w:pStyle w:val="ListBullet"/>
      </w:pPr>
      <w:r w:rsidRPr="00FF5CCF">
        <w:t>be assessed in compliance with relevant legislation/regulation and using policies, procedures and processes directly related to the industry sector for which it is being assessed; and,</w:t>
      </w:r>
    </w:p>
    <w:p w:rsidR="00000000" w:rsidRPr="00FF5CCF" w:rsidP="00FF5CCF">
      <w:pPr>
        <w:pStyle w:val="ListBullet"/>
      </w:pPr>
      <w:r w:rsidRPr="00FF5CCF">
        <w:t>confirm consistent</w:t>
      </w:r>
      <w:r w:rsidRPr="00FF5CCF">
        <w:t xml:space="preserve"> performance can be applied in a range of relevant workplace circumstances.</w:t>
      </w:r>
    </w:p>
    <w:p w:rsidR="00000000" w:rsidRPr="00FF5CCF" w:rsidP="00CD6394">
      <w:pPr>
        <w:pStyle w:val="BodyText"/>
      </w:pPr>
      <w:r w:rsidRPr="00FF5CCF">
        <w:t>Where personal safety or environmental damage are limiting factors, assessment may occur in a simulated work environment* provided it is realistic and sufficiently rigorous to cove</w:t>
      </w:r>
      <w:r w:rsidRPr="00FF5CCF">
        <w:t>r all aspects of this sector’s workplace performance, including environment, task skills, task management skills, contingency management skills and job role environment skills.</w:t>
      </w:r>
    </w:p>
    <w:p w:rsidR="00000000" w:rsidRPr="00FF5CCF" w:rsidP="00FF5CCF">
      <w:pPr>
        <w:pStyle w:val="BodyTextBold"/>
      </w:pPr>
      <w:r w:rsidRPr="00FF5CCF">
        <w:t>Assessor requirements</w:t>
      </w:r>
    </w:p>
    <w:p w:rsidR="00000000" w:rsidRPr="00FF5CCF" w:rsidP="00CD6394">
      <w:pPr>
        <w:pStyle w:val="BodyText"/>
      </w:pPr>
      <w:r w:rsidRPr="00FF5CCF">
        <w:t>Assessors must be able to clearly demonstrate current and</w:t>
      </w:r>
      <w:r w:rsidRPr="00FF5CCF">
        <w:t xml:space="preserve"> relevant industry knowledge and experience to satisfy the mandatory regulatory standards as set out in the Standards for Registered Training Organisations (RTOs) 2015/Australian Quality Training Framework mandatory requirements for assessors current at th</w:t>
      </w:r>
      <w:r w:rsidRPr="00FF5CCF">
        <w:t>e time of assessment and any relevant licensing and certification requirements. This includes:</w:t>
      </w:r>
    </w:p>
    <w:p w:rsidR="00000000" w:rsidRPr="00FF5CCF" w:rsidP="00FF5CCF">
      <w:pPr>
        <w:pStyle w:val="ListBullet"/>
      </w:pPr>
      <w:r w:rsidRPr="00FF5CCF">
        <w:t>vocational competencies at least to the level being delivered and assessed</w:t>
      </w:r>
    </w:p>
    <w:p w:rsidR="00000000" w:rsidRPr="00FF5CCF" w:rsidP="00FF5CCF">
      <w:pPr>
        <w:pStyle w:val="ListBullet"/>
      </w:pPr>
      <w:r w:rsidRPr="00FF5CCF">
        <w:t>current industry skills directly relevant to the training and assessment being provid</w:t>
      </w:r>
      <w:r w:rsidRPr="00FF5CCF">
        <w:t>ed</w:t>
      </w:r>
    </w:p>
    <w:p w:rsidR="00000000" w:rsidRPr="00FF5CCF" w:rsidP="00FF5CCF">
      <w:pPr>
        <w:pStyle w:val="ListBullet"/>
      </w:pPr>
      <w:r w:rsidRPr="00FF5CCF">
        <w:t>current knowledge and skills in vocational training and learning that informs their training and assessment</w:t>
      </w:r>
    </w:p>
    <w:p w:rsidR="00000000" w:rsidRPr="00FF5CCF" w:rsidP="00FF5CCF">
      <w:pPr>
        <w:pStyle w:val="ListBullet"/>
      </w:pPr>
      <w:r w:rsidRPr="00FF5CCF">
        <w:t>formal relevant qualifications in training and assessment</w:t>
      </w:r>
    </w:p>
    <w:p w:rsidR="00000000" w:rsidRPr="00FF5CCF" w:rsidP="00FF5CCF">
      <w:pPr>
        <w:pStyle w:val="ListBullet"/>
      </w:pPr>
      <w:r w:rsidRPr="00FF5CCF">
        <w:t xml:space="preserve">having knowledge of and/or experience using the latest techniques and processes </w:t>
      </w:r>
    </w:p>
    <w:p w:rsidR="00000000" w:rsidRPr="00FF5CCF" w:rsidP="00FF5CCF">
      <w:pPr>
        <w:pStyle w:val="ListBullet"/>
      </w:pPr>
      <w:r w:rsidRPr="00FF5CCF">
        <w:t>possessing the required level of RII training product knowledge</w:t>
      </w:r>
    </w:p>
    <w:p w:rsidR="00000000" w:rsidRPr="00FF5CCF" w:rsidP="00FF5CCF">
      <w:pPr>
        <w:pStyle w:val="ListBullet"/>
      </w:pPr>
      <w:r w:rsidRPr="00FF5CCF">
        <w:t>having an understanding and knowledge of legislation and regulations relevant to the industry and to employment and workplaces</w:t>
      </w:r>
    </w:p>
    <w:p w:rsidR="00000000" w:rsidRPr="00FF5CCF" w:rsidP="00FF5CCF">
      <w:pPr>
        <w:pStyle w:val="ListBullet"/>
      </w:pPr>
      <w:r w:rsidRPr="00FF5CCF">
        <w:t>demonstrating the performance evidence, and knowledge evidence ou</w:t>
      </w:r>
      <w:r w:rsidRPr="00FF5CCF">
        <w:t>tlined in this unit of competency, and</w:t>
      </w:r>
    </w:p>
    <w:p w:rsidR="00000000" w:rsidRPr="00FF5CCF" w:rsidP="00FF5CCF">
      <w:pPr>
        <w:pStyle w:val="ListBullet"/>
      </w:pPr>
      <w:r w:rsidRPr="00FF5CCF">
        <w:t>the minimum years of current** work experience after competency has been obtained as specified below in an industry sector relevant to the outcomes of the unit.</w:t>
      </w:r>
    </w:p>
    <w:p w:rsidR="00000000" w:rsidRPr="00FF5CCF" w:rsidP="00CD6394">
      <w:pPr>
        <w:pStyle w:val="BodyText"/>
      </w:pPr>
      <w:r w:rsidRPr="00FF5CCF">
        <w:t>It is also acceptable for the appropriately qualified as</w:t>
      </w:r>
      <w:r w:rsidRPr="00FF5CCF">
        <w:t>sessor to work with an industry expert to conduct assessment together and for the industry expert to be involved in the assessment judgement. The industry expert must have current industry skills directly relevant to the training and assessment being provi</w:t>
      </w:r>
      <w:r w:rsidRPr="00FF5CCF">
        <w:t>ded. This means the industry subject matter expert must demonstrate skills and knowledge from the minimum years of current work experience after competency has been obtained as specified below, including time spent in roles related to the unit being assess</w:t>
      </w:r>
      <w:r w:rsidRPr="00FF5CCF">
        <w:t>ed:</w:t>
      </w:r>
    </w:p>
    <w:tbl>
      <w:tblPr>
        <w:tblW w:w="0" w:type="auto"/>
        <w:tblCellMar>
          <w:left w:w="62" w:type="dxa"/>
          <w:right w:w="62" w:type="dxa"/>
        </w:tblCellMar>
        <w:tblLook w:val="0000"/>
      </w:tblPr>
      <w:tblGrid>
        <w:gridCol w:w="4330"/>
        <w:gridCol w:w="1622"/>
        <w:gridCol w:w="3244"/>
      </w:tblGrid>
      <w:tr w:rsidTr="00CD639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5CCF" w:rsidP="00FF5CCF">
            <w:pPr>
              <w:pStyle w:val="BodyText"/>
            </w:pPr>
            <w:r w:rsidRPr="00FF5CC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5CCF" w:rsidP="00FF5CCF">
            <w:pPr>
              <w:pStyle w:val="BodyText"/>
            </w:pPr>
            <w:r w:rsidRPr="00FF5CC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rPr>
                <w:rStyle w:val="SpecialBold"/>
              </w:rPr>
              <w:t>Required assessor or industry subject matter expert experience</w:t>
            </w:r>
          </w:p>
        </w:tc>
      </w:tr>
      <w:tr w:rsidTr="00CD639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1 year</w:t>
            </w:r>
          </w:p>
        </w:tc>
      </w:tr>
      <w:tr w:rsidTr="00CD639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2 years</w:t>
            </w:r>
          </w:p>
        </w:tc>
      </w:tr>
      <w:tr w:rsidTr="00CD63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Drilling, Coal Mining,</w:t>
            </w:r>
            <w:r w:rsidRPr="00FF5CCF">
              <w:t xml:space="preserve">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3 years</w:t>
            </w:r>
          </w:p>
        </w:tc>
      </w:tr>
      <w:tr w:rsidTr="00CD63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5CCF">
            <w:pPr>
              <w:pStyle w:val="BodyText"/>
              <w:rPr>
                <w:lang w:val="en-NZ"/>
              </w:rPr>
            </w:pPr>
            <w:r w:rsidRPr="00FF5CC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5CCF" w:rsidP="00FF5CCF">
            <w:pPr>
              <w:pStyle w:val="BodyText"/>
            </w:pPr>
            <w:r w:rsidRPr="00FF5CCF">
              <w:t xml:space="preserve">Where this unit is being assessed outside of the resources and infrastructure sectors assessor and/or industry subject matter expert experience </w:t>
            </w:r>
            <w:r w:rsidRPr="00FF5CCF">
              <w:t>should be in-line with industry standards for the sector in which it is being assessed and where no industry standard is specified should comply with any relevant regulation.</w:t>
            </w:r>
          </w:p>
        </w:tc>
      </w:tr>
    </w:tbl>
    <w:p w:rsidR="00000000" w:rsidRPr="00FF5CCF" w:rsidP="00CD6394">
      <w:pPr>
        <w:pStyle w:val="BodyText"/>
      </w:pPr>
      <w:r w:rsidRPr="00FF5CCF">
        <w:t>*Guidance on simulated environments has been stipulated in the Companion Volume</w:t>
      </w:r>
      <w:r w:rsidRPr="00FF5CCF">
        <w:t xml:space="preserve"> Implementation Guide located on VETNet.</w:t>
      </w:r>
    </w:p>
    <w:p w:rsidR="00000000" w:rsidRPr="00FF5CCF" w:rsidP="00CD6394">
      <w:pPr>
        <w:pStyle w:val="BodyText"/>
      </w:pPr>
      <w:r w:rsidRPr="00FF5CCF">
        <w:t>**Assessors can demonstrate current work experience through employment within industry in a role relevant to the outcomes of the unit; or, for external assessors this can be demonstrated through exposure to industry</w:t>
      </w:r>
      <w:r w:rsidRPr="00FF5CCF">
        <w:t xml:space="preserve"> by conducting a minimum number of site assessments as determined by the relevant industry sector, across various locations.</w:t>
      </w:r>
    </w:p>
    <w:p w:rsidR="00000000" w:rsidRPr="00FF5CCF" w:rsidP="00CD6394">
      <w:pPr>
        <w:pStyle w:val="BodyText"/>
      </w:pPr>
      <w:r w:rsidRPr="00FF5CCF">
        <w:t>*** While a unit of competency does not have an AQF level, where a unit is being delivered outside of a qualification the first num</w:t>
      </w:r>
      <w:r w:rsidRPr="00FF5CCF">
        <w:t>eric character in the unit code should be considered as the AQF indicator level for assessment purposes.</w:t>
      </w:r>
    </w:p>
    <w:p w:rsidR="00000000" w:rsidRPr="00FF5CCF" w:rsidP="00FF5CCF">
      <w:pPr>
        <w:pStyle w:val="Heading1"/>
      </w:pPr>
      <w:bookmarkStart w:id="5" w:name="O_1108583"/>
      <w:bookmarkEnd w:id="5"/>
      <w:r w:rsidRPr="00FF5CCF">
        <w:t>Links</w:t>
      </w:r>
    </w:p>
    <w:p w:rsidR="00000000" w:rsidRPr="00FF5CCF" w:rsidP="00CD6394">
      <w:pPr>
        <w:pStyle w:val="BodyText"/>
      </w:pPr>
      <w:r w:rsidRPr="00FF5CC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1A3B">
        <w:rPr>
          <w:rStyle w:val="Hyperlink"/>
        </w:rPr>
        <w:t>https://vetnet.gov.au/Pages/TrainingDocs.aspx?q=88a61002-9a21-4386-aaf8-69c76e675272</w:t>
      </w:r>
      <w:r>
        <w:fldChar w:fldCharType="end"/>
      </w:r>
    </w:p>
    <w:p w:rsidR="00000000" w:rsidRPr="00FF5CCF" w:rsidP="00FF5CCF"/>
    <w:sectPr w:rsidSect="00FF5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F" w:rsidRPr="00CD6394" w:rsidP="00CD6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94" w:rsidP="00FF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6394" w:rsidP="00FF5C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6394" w:rsidP="00FF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CCF" w:rsidRPr="00CD6394" w:rsidP="00CD63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94" w:rsidRPr="002D2AF8" w:rsidP="00FF5CCF">
    <w:pPr>
      <w:pStyle w:val="Header"/>
      <w:framePr w:wrap="around"/>
    </w:pPr>
    <w:r>
      <w:fldChar w:fldCharType="begin"/>
    </w:r>
    <w:r>
      <w:instrText xml:space="preserve"> TITLE   \* MERGEFORMAT </w:instrText>
    </w:r>
    <w:r>
      <w:fldChar w:fldCharType="separate"/>
    </w:r>
    <w:r>
      <w:t>Assessment Requirements for RIIERR602E Establish and maintain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D6394" w:rsidP="00FF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E9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86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82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CCF"/>
    <w:pPr>
      <w:spacing w:before="360" w:after="60"/>
      <w:outlineLvl w:val="0"/>
    </w:pPr>
    <w:rPr>
      <w:sz w:val="32"/>
    </w:rPr>
  </w:style>
  <w:style w:type="paragraph" w:styleId="Heading2">
    <w:name w:val="heading 2"/>
    <w:basedOn w:val="HeadingBase"/>
    <w:next w:val="BodyText"/>
    <w:link w:val="Heading2Char"/>
    <w:qFormat/>
    <w:rsid w:val="00FF5CCF"/>
    <w:pPr>
      <w:keepLines/>
      <w:spacing w:before="240" w:after="120"/>
      <w:outlineLvl w:val="1"/>
    </w:pPr>
    <w:rPr>
      <w:sz w:val="28"/>
      <w:szCs w:val="40"/>
    </w:rPr>
  </w:style>
  <w:style w:type="paragraph" w:styleId="Heading3">
    <w:name w:val="heading 3"/>
    <w:basedOn w:val="HeadingBase"/>
    <w:next w:val="BodyText"/>
    <w:link w:val="Heading3Char"/>
    <w:qFormat/>
    <w:rsid w:val="00FF5CCF"/>
    <w:pPr>
      <w:spacing w:before="180" w:after="120"/>
      <w:outlineLvl w:val="2"/>
    </w:pPr>
    <w:rPr>
      <w:spacing w:val="-10"/>
      <w:kern w:val="32"/>
    </w:rPr>
  </w:style>
  <w:style w:type="paragraph" w:styleId="Heading4">
    <w:name w:val="heading 4"/>
    <w:basedOn w:val="HeadingBase"/>
    <w:next w:val="BodyText"/>
    <w:link w:val="Heading4Char"/>
    <w:qFormat/>
    <w:rsid w:val="00FF5CCF"/>
    <w:pPr>
      <w:spacing w:before="160" w:after="120"/>
      <w:outlineLvl w:val="3"/>
    </w:pPr>
    <w:rPr>
      <w:sz w:val="22"/>
    </w:rPr>
  </w:style>
  <w:style w:type="paragraph" w:styleId="Heading5">
    <w:name w:val="heading 5"/>
    <w:basedOn w:val="HeadingBase"/>
    <w:next w:val="Normal"/>
    <w:link w:val="Heading5Char"/>
    <w:qFormat/>
    <w:rsid w:val="00FF5CCF"/>
    <w:pPr>
      <w:spacing w:before="80"/>
      <w:outlineLvl w:val="4"/>
    </w:pPr>
    <w:rPr>
      <w:color w:val="918585"/>
      <w:sz w:val="20"/>
    </w:rPr>
  </w:style>
  <w:style w:type="paragraph" w:styleId="Heading6">
    <w:name w:val="heading 6"/>
    <w:basedOn w:val="HeadingBase"/>
    <w:next w:val="Normal"/>
    <w:link w:val="Heading6Char"/>
    <w:qFormat/>
    <w:rsid w:val="00FF5CCF"/>
    <w:pPr>
      <w:spacing w:before="60"/>
      <w:outlineLvl w:val="5"/>
    </w:pPr>
    <w:rPr>
      <w:color w:val="918585"/>
      <w:sz w:val="20"/>
    </w:rPr>
  </w:style>
  <w:style w:type="paragraph" w:styleId="Heading7">
    <w:name w:val="heading 7"/>
    <w:basedOn w:val="Normal"/>
    <w:next w:val="Normal"/>
    <w:link w:val="Heading7Char"/>
    <w:qFormat/>
    <w:rsid w:val="00FF5CCF"/>
    <w:pPr>
      <w:ind w:left="720"/>
      <w:outlineLvl w:val="6"/>
    </w:pPr>
    <w:rPr>
      <w:i/>
    </w:rPr>
  </w:style>
  <w:style w:type="paragraph" w:styleId="Heading8">
    <w:name w:val="heading 8"/>
    <w:basedOn w:val="Normal"/>
    <w:next w:val="Normal"/>
    <w:link w:val="Heading8Char"/>
    <w:qFormat/>
    <w:rsid w:val="00FF5CCF"/>
    <w:pPr>
      <w:ind w:left="720"/>
      <w:outlineLvl w:val="7"/>
    </w:pPr>
    <w:rPr>
      <w:i/>
    </w:rPr>
  </w:style>
  <w:style w:type="paragraph" w:styleId="Heading9">
    <w:name w:val="heading 9"/>
    <w:basedOn w:val="Normal"/>
    <w:next w:val="Normal"/>
    <w:link w:val="Heading9Char"/>
    <w:qFormat/>
    <w:rsid w:val="00FF5CCF"/>
    <w:pPr>
      <w:ind w:left="720"/>
      <w:outlineLvl w:val="8"/>
    </w:pPr>
    <w:rPr>
      <w:i/>
    </w:rPr>
  </w:style>
  <w:style w:type="character" w:default="1" w:styleId="DefaultParagraphFont">
    <w:name w:val="Default Paragraph Font"/>
    <w:uiPriority w:val="1"/>
    <w:unhideWhenUsed/>
    <w:rsid w:val="00FF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CCF"/>
  </w:style>
  <w:style w:type="character" w:customStyle="1" w:styleId="Heading1Char">
    <w:name w:val="Heading 1 Char"/>
    <w:basedOn w:val="DefaultParagraphFont"/>
    <w:link w:val="Heading1"/>
    <w:rsid w:val="00FF5CCF"/>
    <w:rPr>
      <w:rFonts w:ascii="Times New Roman" w:eastAsia="Times New Roman" w:hAnsi="Times New Roman" w:cs="Times New Roman"/>
      <w:b/>
      <w:sz w:val="32"/>
      <w:szCs w:val="20"/>
      <w:lang w:eastAsia="en-US"/>
    </w:rPr>
  </w:style>
  <w:style w:type="paragraph" w:styleId="BodyText">
    <w:name w:val="Body Text"/>
    <w:basedOn w:val="Normal"/>
    <w:link w:val="BodyTextChar"/>
    <w:rsid w:val="00FF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CCF"/>
    <w:rPr>
      <w:rFonts w:ascii="Times New Roman" w:eastAsia="Times New Roman" w:hAnsi="Times New Roman" w:cs="Times New Roman"/>
      <w:sz w:val="24"/>
      <w:lang w:eastAsia="en-US"/>
    </w:rPr>
  </w:style>
  <w:style w:type="paragraph" w:styleId="List">
    <w:name w:val="List"/>
    <w:basedOn w:val="BodyText"/>
    <w:next w:val="BodyText"/>
    <w:rsid w:val="00FF5CCF"/>
    <w:pPr>
      <w:tabs>
        <w:tab w:val="left" w:pos="340"/>
      </w:tabs>
      <w:spacing w:before="60" w:after="60"/>
      <w:ind w:left="340" w:hanging="340"/>
    </w:pPr>
  </w:style>
  <w:style w:type="paragraph" w:styleId="ListBullet">
    <w:name w:val="List Bullet"/>
    <w:basedOn w:val="List"/>
    <w:rsid w:val="00FF5CCF"/>
    <w:pPr>
      <w:numPr>
        <w:numId w:val="12"/>
      </w:numPr>
      <w:tabs>
        <w:tab w:val="clear" w:pos="340"/>
      </w:tabs>
      <w:spacing w:before="40" w:after="40"/>
    </w:pPr>
  </w:style>
  <w:style w:type="character" w:customStyle="1" w:styleId="SpecialBold">
    <w:name w:val="Special Bold"/>
    <w:basedOn w:val="DefaultParagraphFont"/>
    <w:rsid w:val="00FF5CCF"/>
    <w:rPr>
      <w:b/>
      <w:spacing w:val="0"/>
    </w:rPr>
  </w:style>
  <w:style w:type="paragraph" w:styleId="ListBullet2">
    <w:name w:val="List Bullet 2"/>
    <w:basedOn w:val="List2"/>
    <w:rsid w:val="00FF5CCF"/>
    <w:pPr>
      <w:numPr>
        <w:numId w:val="13"/>
      </w:numPr>
      <w:tabs>
        <w:tab w:val="clear" w:pos="680"/>
      </w:tabs>
    </w:pPr>
  </w:style>
  <w:style w:type="paragraph" w:customStyle="1" w:styleId="SuperHeading">
    <w:name w:val="SuperHeading"/>
    <w:basedOn w:val="Normal"/>
    <w:rsid w:val="00FF5CCF"/>
    <w:pPr>
      <w:spacing w:before="240" w:after="120"/>
      <w:outlineLvl w:val="0"/>
    </w:pPr>
    <w:rPr>
      <w:rFonts w:ascii="Times New Roman" w:hAnsi="Times New Roman"/>
      <w:b/>
      <w:sz w:val="32"/>
    </w:rPr>
  </w:style>
  <w:style w:type="paragraph" w:customStyle="1" w:styleId="AllowPageBreak">
    <w:name w:val="AllowPageBreak"/>
    <w:rsid w:val="00FF5C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5CCF"/>
    <w:rPr>
      <w:b/>
    </w:rPr>
  </w:style>
  <w:style w:type="character" w:customStyle="1" w:styleId="Heading2Char">
    <w:name w:val="Heading 2 Char"/>
    <w:basedOn w:val="DefaultParagraphFont"/>
    <w:link w:val="Heading2"/>
    <w:rsid w:val="00FF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CCF"/>
    <w:rPr>
      <w:rFonts w:ascii="Courier New" w:eastAsia="Times New Roman" w:hAnsi="Courier New" w:cs="Times New Roman"/>
      <w:i/>
      <w:szCs w:val="20"/>
      <w:lang w:eastAsia="en-US"/>
    </w:rPr>
  </w:style>
  <w:style w:type="paragraph" w:customStyle="1" w:styleId="HeadingBase">
    <w:name w:val="Heading Base"/>
    <w:rsid w:val="00FF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CCF"/>
    <w:pPr>
      <w:tabs>
        <w:tab w:val="right" w:leader="dot" w:pos="9072"/>
      </w:tabs>
      <w:ind w:left="567"/>
    </w:pPr>
    <w:rPr>
      <w:szCs w:val="22"/>
    </w:rPr>
  </w:style>
  <w:style w:type="paragraph" w:customStyle="1" w:styleId="TOCBase">
    <w:name w:val="TOC Base"/>
    <w:rsid w:val="00FF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CCF"/>
    <w:pPr>
      <w:tabs>
        <w:tab w:val="right" w:leader="dot" w:pos="9072"/>
      </w:tabs>
      <w:spacing w:before="40" w:after="40"/>
      <w:ind w:left="284"/>
    </w:pPr>
    <w:rPr>
      <w:rFonts w:ascii="Times New Roman" w:hAnsi="Times New Roman"/>
    </w:rPr>
  </w:style>
  <w:style w:type="paragraph" w:styleId="TOC1">
    <w:name w:val="toc 1"/>
    <w:basedOn w:val="TOCBase"/>
    <w:next w:val="Normal"/>
    <w:rsid w:val="00FF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CCF"/>
    <w:rPr>
      <w:rFonts w:ascii="Times New Roman" w:eastAsia="Times New Roman" w:hAnsi="Times New Roman" w:cs="Times New Roman"/>
      <w:sz w:val="16"/>
      <w:lang w:eastAsia="en-US"/>
    </w:rPr>
  </w:style>
  <w:style w:type="paragraph" w:styleId="Title">
    <w:name w:val="Title"/>
    <w:basedOn w:val="HeadingBase"/>
    <w:link w:val="TitleChar"/>
    <w:qFormat/>
    <w:rsid w:val="00FF5CCF"/>
    <w:pPr>
      <w:spacing w:before="5040"/>
      <w:jc w:val="center"/>
    </w:pPr>
    <w:rPr>
      <w:sz w:val="48"/>
      <w:szCs w:val="72"/>
      <w:lang w:val="en-US"/>
    </w:rPr>
  </w:style>
  <w:style w:type="character" w:customStyle="1" w:styleId="TitleChar">
    <w:name w:val="Title Char"/>
    <w:basedOn w:val="DefaultParagraphFont"/>
    <w:link w:val="Title"/>
    <w:rsid w:val="00FF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CCF"/>
    <w:pPr>
      <w:tabs>
        <w:tab w:val="left" w:pos="3600"/>
        <w:tab w:val="left" w:pos="3958"/>
      </w:tabs>
    </w:pPr>
  </w:style>
  <w:style w:type="paragraph" w:customStyle="1" w:styleId="Note">
    <w:name w:val="Note"/>
    <w:basedOn w:val="BodyText"/>
    <w:rsid w:val="00FF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CCF"/>
    <w:pPr>
      <w:framePr w:wrap="auto" w:hAnchor="text" w:y="6049"/>
    </w:pPr>
    <w:rPr>
      <w:color w:val="000000"/>
      <w:sz w:val="40"/>
    </w:rPr>
  </w:style>
  <w:style w:type="paragraph" w:customStyle="1" w:styleId="TOCTitle">
    <w:name w:val="TOCTitle"/>
    <w:basedOn w:val="Heading1"/>
    <w:rsid w:val="00FF5CCF"/>
    <w:pPr>
      <w:spacing w:after="240"/>
      <w:jc w:val="center"/>
      <w:outlineLvl w:val="9"/>
    </w:pPr>
    <w:rPr>
      <w:caps/>
    </w:rPr>
  </w:style>
  <w:style w:type="paragraph" w:customStyle="1" w:styleId="Version">
    <w:name w:val="Version"/>
    <w:rsid w:val="00FF5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CCF"/>
    <w:pPr>
      <w:keepNext w:val="0"/>
      <w:tabs>
        <w:tab w:val="right" w:pos="4176"/>
      </w:tabs>
      <w:ind w:left="198" w:hanging="198"/>
    </w:pPr>
    <w:rPr>
      <w:rFonts w:ascii="Garamond" w:hAnsi="Garamond"/>
    </w:rPr>
  </w:style>
  <w:style w:type="paragraph" w:styleId="IndexHeading">
    <w:name w:val="index heading"/>
    <w:basedOn w:val="Normal"/>
    <w:next w:val="Index1"/>
    <w:semiHidden/>
    <w:rsid w:val="00FF5CCF"/>
    <w:pPr>
      <w:spacing w:before="120" w:after="120"/>
    </w:pPr>
    <w:rPr>
      <w:rFonts w:ascii="Arial" w:hAnsi="Arial"/>
      <w:b/>
      <w:color w:val="918585"/>
      <w:sz w:val="24"/>
    </w:rPr>
  </w:style>
  <w:style w:type="paragraph" w:styleId="Header">
    <w:name w:val="header"/>
    <w:basedOn w:val="Normal"/>
    <w:link w:val="HeaderChar"/>
    <w:rsid w:val="00FF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CCF"/>
    <w:rPr>
      <w:rFonts w:ascii="Times New Roman" w:eastAsia="Times New Roman" w:hAnsi="Times New Roman" w:cs="Times New Roman"/>
      <w:sz w:val="16"/>
      <w:szCs w:val="20"/>
      <w:lang w:val="en-GB" w:eastAsia="en-US"/>
    </w:rPr>
  </w:style>
  <w:style w:type="paragraph" w:customStyle="1" w:styleId="Chapter">
    <w:name w:val="Chapter"/>
    <w:basedOn w:val="Normal"/>
    <w:rsid w:val="00FF5CCF"/>
    <w:pPr>
      <w:spacing w:before="240"/>
    </w:pPr>
    <w:rPr>
      <w:rFonts w:ascii="Times New Roman" w:hAnsi="Times New Roman"/>
      <w:smallCaps/>
      <w:spacing w:val="80"/>
      <w:sz w:val="28"/>
    </w:rPr>
  </w:style>
  <w:style w:type="paragraph" w:customStyle="1" w:styleId="InChapter">
    <w:name w:val="InChapter"/>
    <w:basedOn w:val="Heading3"/>
    <w:rsid w:val="00FF5CCF"/>
    <w:pPr>
      <w:spacing w:after="240"/>
      <w:outlineLvl w:val="9"/>
    </w:pPr>
    <w:rPr>
      <w:noProof/>
    </w:rPr>
  </w:style>
  <w:style w:type="paragraph" w:styleId="Index2">
    <w:name w:val="index 2"/>
    <w:basedOn w:val="Normal"/>
    <w:next w:val="Normal"/>
    <w:semiHidden/>
    <w:rsid w:val="00FF5CCF"/>
    <w:pPr>
      <w:tabs>
        <w:tab w:val="right" w:pos="4176"/>
      </w:tabs>
      <w:ind w:left="568" w:hanging="284"/>
    </w:pPr>
    <w:rPr>
      <w:rFonts w:ascii="Garamond" w:hAnsi="Garamond"/>
    </w:rPr>
  </w:style>
  <w:style w:type="paragraph" w:customStyle="1" w:styleId="Byline">
    <w:name w:val="Byline"/>
    <w:rsid w:val="00FF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CCF"/>
    <w:pPr>
      <w:tabs>
        <w:tab w:val="clear" w:pos="3600"/>
        <w:tab w:val="clear" w:pos="3958"/>
      </w:tabs>
      <w:jc w:val="right"/>
    </w:pPr>
  </w:style>
  <w:style w:type="character" w:styleId="Emphasis">
    <w:name w:val="Emphasis"/>
    <w:basedOn w:val="DefaultParagraphFont"/>
    <w:qFormat/>
    <w:rsid w:val="00FF5CCF"/>
    <w:rPr>
      <w:i/>
    </w:rPr>
  </w:style>
  <w:style w:type="paragraph" w:styleId="Caption">
    <w:name w:val="caption"/>
    <w:basedOn w:val="BodyText"/>
    <w:next w:val="Normal"/>
    <w:qFormat/>
    <w:rsid w:val="00FF5CCF"/>
    <w:pPr>
      <w:framePr w:w="2268" w:hSpace="181" w:vSpace="181" w:wrap="around" w:vAnchor="text" w:hAnchor="page" w:x="1135" w:y="285" w:anchorLock="1"/>
    </w:pPr>
    <w:rPr>
      <w:i/>
    </w:rPr>
  </w:style>
  <w:style w:type="paragraph" w:customStyle="1" w:styleId="MiniTOCTitle">
    <w:name w:val="MiniTOCTitle"/>
    <w:basedOn w:val="Heading4"/>
    <w:rsid w:val="00FF5CCF"/>
    <w:pPr>
      <w:spacing w:before="240"/>
      <w:outlineLvl w:val="9"/>
    </w:pPr>
    <w:rPr>
      <w:noProof/>
      <w:sz w:val="24"/>
    </w:rPr>
  </w:style>
  <w:style w:type="paragraph" w:customStyle="1" w:styleId="MiniTOCItem">
    <w:name w:val="MiniTOCItem"/>
    <w:basedOn w:val="ListBullet"/>
    <w:rsid w:val="00FF5CCF"/>
    <w:pPr>
      <w:numPr>
        <w:numId w:val="0"/>
      </w:numPr>
      <w:tabs>
        <w:tab w:val="right" w:leader="dot" w:pos="6521"/>
      </w:tabs>
      <w:spacing w:before="0" w:after="0"/>
    </w:pPr>
  </w:style>
  <w:style w:type="paragraph" w:customStyle="1" w:styleId="TOFTitle">
    <w:name w:val="TOFTitle"/>
    <w:basedOn w:val="TOCTitle"/>
    <w:rsid w:val="00FF5CCF"/>
  </w:style>
  <w:style w:type="paragraph" w:styleId="TableofFigures">
    <w:name w:val="table of figures"/>
    <w:basedOn w:val="Normal"/>
    <w:next w:val="Normal"/>
    <w:semiHidden/>
    <w:rsid w:val="00FF5CCF"/>
    <w:pPr>
      <w:tabs>
        <w:tab w:val="right" w:leader="dot" w:pos="9072"/>
      </w:tabs>
      <w:ind w:left="970" w:hanging="403"/>
    </w:pPr>
    <w:rPr>
      <w:rFonts w:ascii="Times New Roman" w:hAnsi="Times New Roman"/>
      <w:b/>
    </w:rPr>
  </w:style>
  <w:style w:type="paragraph" w:styleId="ListNumber">
    <w:name w:val="List Number"/>
    <w:basedOn w:val="List"/>
    <w:rsid w:val="00FF5CCF"/>
    <w:pPr>
      <w:numPr>
        <w:numId w:val="15"/>
      </w:numPr>
      <w:tabs>
        <w:tab w:val="clear" w:pos="340"/>
      </w:tabs>
    </w:pPr>
  </w:style>
  <w:style w:type="character" w:customStyle="1" w:styleId="WingdingSymbols">
    <w:name w:val="Wingding Symbols"/>
    <w:rsid w:val="00FF5CCF"/>
    <w:rPr>
      <w:rFonts w:ascii="Wingdings" w:hAnsi="Wingdings"/>
    </w:rPr>
  </w:style>
  <w:style w:type="paragraph" w:customStyle="1" w:styleId="TableHeading">
    <w:name w:val="Table Heading"/>
    <w:basedOn w:val="HeadingBase"/>
    <w:rsid w:val="00FF5CCF"/>
    <w:pPr>
      <w:keepLines/>
      <w:pBdr>
        <w:bottom w:val="single" w:sz="6" w:space="1" w:color="918585"/>
      </w:pBdr>
      <w:spacing w:before="240"/>
    </w:pPr>
  </w:style>
  <w:style w:type="character" w:customStyle="1" w:styleId="HotSpot">
    <w:name w:val="HotSpot"/>
    <w:rsid w:val="00FF5CCF"/>
    <w:rPr>
      <w:color w:val="0033CC"/>
      <w:u w:val="none"/>
    </w:rPr>
  </w:style>
  <w:style w:type="paragraph" w:customStyle="1" w:styleId="BodyTextRight">
    <w:name w:val="Body Text Right"/>
    <w:basedOn w:val="BodyText"/>
    <w:rsid w:val="00FF5CCF"/>
    <w:pPr>
      <w:spacing w:before="0" w:after="0"/>
      <w:jc w:val="right"/>
    </w:pPr>
  </w:style>
  <w:style w:type="paragraph" w:styleId="Index3">
    <w:name w:val="index 3"/>
    <w:basedOn w:val="ListNumber2"/>
    <w:next w:val="Normal"/>
    <w:semiHidden/>
    <w:rsid w:val="00FF5CCF"/>
    <w:pPr>
      <w:numPr>
        <w:numId w:val="0"/>
      </w:numPr>
      <w:tabs>
        <w:tab w:val="right" w:leader="dot" w:pos="4176"/>
      </w:tabs>
    </w:pPr>
  </w:style>
  <w:style w:type="paragraph" w:styleId="ListNumber2">
    <w:name w:val="List Number 2"/>
    <w:basedOn w:val="List2"/>
    <w:rsid w:val="00FF5CCF"/>
    <w:pPr>
      <w:numPr>
        <w:numId w:val="10"/>
      </w:numPr>
      <w:tabs>
        <w:tab w:val="clear" w:pos="1060"/>
      </w:tabs>
    </w:pPr>
  </w:style>
  <w:style w:type="paragraph" w:customStyle="1" w:styleId="MarginNote">
    <w:name w:val="Margin Note"/>
    <w:basedOn w:val="BodyText"/>
    <w:rsid w:val="00FF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CCF"/>
    <w:rPr>
      <w:sz w:val="32"/>
    </w:rPr>
  </w:style>
  <w:style w:type="paragraph" w:customStyle="1" w:styleId="HeadingProcedure">
    <w:name w:val="Heading Procedure"/>
    <w:basedOn w:val="HeadingBase"/>
    <w:next w:val="Normal"/>
    <w:rsid w:val="00FF5CCF"/>
    <w:pPr>
      <w:tabs>
        <w:tab w:val="left" w:pos="0"/>
      </w:tabs>
      <w:spacing w:before="120" w:after="60"/>
    </w:pPr>
    <w:rPr>
      <w:i/>
      <w:color w:val="918585"/>
      <w:sz w:val="22"/>
    </w:rPr>
  </w:style>
  <w:style w:type="paragraph" w:customStyle="1" w:styleId="TableBodyText">
    <w:name w:val="Table Body Text"/>
    <w:basedOn w:val="BodyText"/>
    <w:rsid w:val="00FF5CCF"/>
    <w:pPr>
      <w:spacing w:before="60" w:after="60"/>
    </w:pPr>
  </w:style>
  <w:style w:type="paragraph" w:styleId="ListContinue">
    <w:name w:val="List Continue"/>
    <w:basedOn w:val="List"/>
    <w:rsid w:val="00FF5CCF"/>
    <w:pPr>
      <w:ind w:firstLine="0"/>
    </w:pPr>
  </w:style>
  <w:style w:type="paragraph" w:customStyle="1" w:styleId="ListNote">
    <w:name w:val="List Note"/>
    <w:basedOn w:val="List"/>
    <w:rsid w:val="00FF5CCF"/>
    <w:pPr>
      <w:pBdr>
        <w:top w:val="single" w:sz="6" w:space="2" w:color="918585"/>
        <w:bottom w:val="single" w:sz="6" w:space="2" w:color="918585"/>
      </w:pBdr>
      <w:tabs>
        <w:tab w:val="left" w:pos="1021"/>
      </w:tabs>
      <w:ind w:firstLine="0"/>
    </w:pPr>
  </w:style>
  <w:style w:type="paragraph" w:customStyle="1" w:styleId="Warning">
    <w:name w:val="Warning"/>
    <w:basedOn w:val="BodyText"/>
    <w:rsid w:val="00FF5CCF"/>
    <w:pPr>
      <w:shd w:val="clear" w:color="auto" w:fill="D9D9D9"/>
      <w:tabs>
        <w:tab w:val="left" w:pos="992"/>
      </w:tabs>
      <w:ind w:left="119" w:right="119"/>
    </w:pPr>
    <w:rPr>
      <w:sz w:val="20"/>
    </w:rPr>
  </w:style>
  <w:style w:type="paragraph" w:customStyle="1" w:styleId="MarginIcons">
    <w:name w:val="Margin Icons"/>
    <w:basedOn w:val="BodyText"/>
    <w:rsid w:val="00FF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CCF"/>
    <w:rPr>
      <w:rFonts w:ascii="Courier New" w:hAnsi="Courier New"/>
    </w:rPr>
  </w:style>
  <w:style w:type="paragraph" w:customStyle="1" w:styleId="NoteBullet">
    <w:name w:val="Note Bullet"/>
    <w:basedOn w:val="Note"/>
    <w:rsid w:val="00FF5CCF"/>
    <w:pPr>
      <w:tabs>
        <w:tab w:val="clear" w:pos="680"/>
      </w:tabs>
      <w:spacing w:before="60" w:after="60"/>
    </w:pPr>
  </w:style>
  <w:style w:type="paragraph" w:customStyle="1" w:styleId="SubHeading2">
    <w:name w:val="SubHeading2"/>
    <w:basedOn w:val="HeadingBase"/>
    <w:rsid w:val="00FF5CCF"/>
    <w:pPr>
      <w:spacing w:before="240" w:after="60"/>
    </w:pPr>
    <w:rPr>
      <w:sz w:val="20"/>
    </w:rPr>
  </w:style>
  <w:style w:type="paragraph" w:customStyle="1" w:styleId="SubHeading1">
    <w:name w:val="SubHeading1"/>
    <w:basedOn w:val="HeadingBase"/>
    <w:rsid w:val="00FF5CCF"/>
    <w:pPr>
      <w:spacing w:before="240" w:after="60"/>
    </w:pPr>
    <w:rPr>
      <w:color w:val="918585"/>
      <w:sz w:val="22"/>
    </w:rPr>
  </w:style>
  <w:style w:type="paragraph" w:customStyle="1" w:styleId="SideHeading">
    <w:name w:val="Side Heading"/>
    <w:basedOn w:val="HeadingBase"/>
    <w:rsid w:val="00FF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CCF"/>
    <w:pPr>
      <w:tabs>
        <w:tab w:val="num" w:pos="360"/>
      </w:tabs>
    </w:pPr>
  </w:style>
  <w:style w:type="paragraph" w:styleId="PlainText">
    <w:name w:val="Plain Text"/>
    <w:basedOn w:val="Normal"/>
    <w:link w:val="PlainTextChar"/>
    <w:rsid w:val="00FF5CCF"/>
    <w:rPr>
      <w:sz w:val="20"/>
    </w:rPr>
  </w:style>
  <w:style w:type="character" w:customStyle="1" w:styleId="PlainTextChar">
    <w:name w:val="Plain Text Char"/>
    <w:basedOn w:val="DefaultParagraphFont"/>
    <w:link w:val="PlainText"/>
    <w:rsid w:val="00FF5CCF"/>
    <w:rPr>
      <w:rFonts w:ascii="Courier New" w:eastAsia="Times New Roman" w:hAnsi="Courier New" w:cs="Times New Roman"/>
      <w:sz w:val="20"/>
      <w:szCs w:val="20"/>
      <w:lang w:eastAsia="en-US"/>
    </w:rPr>
  </w:style>
  <w:style w:type="character" w:customStyle="1" w:styleId="MenuOption">
    <w:name w:val="Menu Option"/>
    <w:basedOn w:val="DefaultParagraphFont"/>
    <w:rsid w:val="00FF5CCF"/>
    <w:rPr>
      <w:b/>
      <w:smallCaps/>
    </w:rPr>
  </w:style>
  <w:style w:type="paragraph" w:customStyle="1" w:styleId="TableListNumber">
    <w:name w:val="Table List Number"/>
    <w:basedOn w:val="ListNumber"/>
    <w:rsid w:val="00FF5CCF"/>
    <w:pPr>
      <w:numPr>
        <w:numId w:val="0"/>
      </w:numPr>
    </w:pPr>
  </w:style>
  <w:style w:type="paragraph" w:styleId="TOC4">
    <w:name w:val="toc 4"/>
    <w:basedOn w:val="TOCBase"/>
    <w:next w:val="Normal"/>
    <w:semiHidden/>
    <w:rsid w:val="00FF5CCF"/>
    <w:pPr>
      <w:tabs>
        <w:tab w:val="right" w:leader="dot" w:pos="9071"/>
      </w:tabs>
      <w:ind w:left="1701"/>
    </w:pPr>
  </w:style>
  <w:style w:type="paragraph" w:customStyle="1" w:styleId="ListAlpha">
    <w:name w:val="List Alpha"/>
    <w:basedOn w:val="List"/>
    <w:rsid w:val="00FF5CCF"/>
    <w:pPr>
      <w:numPr>
        <w:numId w:val="9"/>
      </w:numPr>
    </w:pPr>
  </w:style>
  <w:style w:type="paragraph" w:customStyle="1" w:styleId="ListAlpha2">
    <w:name w:val="List Alpha 2"/>
    <w:basedOn w:val="List2"/>
    <w:rsid w:val="00FF5CCF"/>
    <w:pPr>
      <w:numPr>
        <w:numId w:val="8"/>
      </w:numPr>
    </w:pPr>
  </w:style>
  <w:style w:type="paragraph" w:styleId="List2">
    <w:name w:val="List 2"/>
    <w:basedOn w:val="BodyText"/>
    <w:rsid w:val="00FF5CCF"/>
    <w:pPr>
      <w:tabs>
        <w:tab w:val="left" w:pos="680"/>
      </w:tabs>
      <w:spacing w:before="60" w:after="60"/>
      <w:ind w:left="680" w:hanging="340"/>
    </w:pPr>
  </w:style>
  <w:style w:type="paragraph" w:styleId="List3">
    <w:name w:val="List 3"/>
    <w:basedOn w:val="BodyText"/>
    <w:rsid w:val="00FF5CCF"/>
    <w:pPr>
      <w:tabs>
        <w:tab w:val="left" w:pos="1021"/>
      </w:tabs>
      <w:spacing w:before="60" w:after="60"/>
      <w:ind w:left="1020" w:hanging="340"/>
    </w:pPr>
  </w:style>
  <w:style w:type="paragraph" w:styleId="List4">
    <w:name w:val="List 4"/>
    <w:basedOn w:val="BodyText"/>
    <w:rsid w:val="00FF5CCF"/>
    <w:pPr>
      <w:tabs>
        <w:tab w:val="left" w:pos="1361"/>
      </w:tabs>
      <w:spacing w:before="60" w:after="60"/>
      <w:ind w:left="1361" w:hanging="340"/>
    </w:pPr>
  </w:style>
  <w:style w:type="paragraph" w:styleId="List5">
    <w:name w:val="List 5"/>
    <w:basedOn w:val="BodyText"/>
    <w:rsid w:val="00FF5CCF"/>
    <w:pPr>
      <w:tabs>
        <w:tab w:val="left" w:pos="1701"/>
      </w:tabs>
      <w:spacing w:before="60" w:after="60"/>
      <w:ind w:left="1701" w:hanging="340"/>
    </w:pPr>
  </w:style>
  <w:style w:type="paragraph" w:styleId="ListBullet3">
    <w:name w:val="List Bullet 3"/>
    <w:basedOn w:val="List3"/>
    <w:rsid w:val="00FF5CCF"/>
    <w:pPr>
      <w:numPr>
        <w:numId w:val="14"/>
      </w:numPr>
      <w:tabs>
        <w:tab w:val="clear" w:pos="1021"/>
      </w:tabs>
      <w:ind w:left="1037" w:hanging="357"/>
    </w:pPr>
  </w:style>
  <w:style w:type="paragraph" w:styleId="ListBullet4">
    <w:name w:val="List Bullet 4"/>
    <w:basedOn w:val="List4"/>
    <w:rsid w:val="00FF5CCF"/>
    <w:pPr>
      <w:numPr>
        <w:numId w:val="3"/>
      </w:numPr>
      <w:tabs>
        <w:tab w:val="clear" w:pos="1361"/>
      </w:tabs>
    </w:pPr>
  </w:style>
  <w:style w:type="paragraph" w:styleId="ListBullet5">
    <w:name w:val="List Bullet 5"/>
    <w:basedOn w:val="List5"/>
    <w:rsid w:val="00FF5CCF"/>
    <w:pPr>
      <w:numPr>
        <w:numId w:val="4"/>
      </w:numPr>
    </w:pPr>
  </w:style>
  <w:style w:type="paragraph" w:styleId="ListContinue2">
    <w:name w:val="List Continue 2"/>
    <w:basedOn w:val="List2"/>
    <w:rsid w:val="00FF5CCF"/>
    <w:pPr>
      <w:ind w:firstLine="0"/>
    </w:pPr>
  </w:style>
  <w:style w:type="paragraph" w:styleId="ListContinue3">
    <w:name w:val="List Continue 3"/>
    <w:basedOn w:val="List3"/>
    <w:rsid w:val="00FF5CCF"/>
    <w:pPr>
      <w:ind w:left="1021" w:firstLine="0"/>
    </w:pPr>
  </w:style>
  <w:style w:type="paragraph" w:styleId="ListContinue4">
    <w:name w:val="List Continue 4"/>
    <w:basedOn w:val="List4"/>
    <w:rsid w:val="00FF5CCF"/>
    <w:pPr>
      <w:ind w:firstLine="0"/>
    </w:pPr>
  </w:style>
  <w:style w:type="paragraph" w:styleId="ListContinue5">
    <w:name w:val="List Continue 5"/>
    <w:basedOn w:val="List5"/>
    <w:rsid w:val="00FF5CCF"/>
    <w:pPr>
      <w:ind w:firstLine="0"/>
    </w:pPr>
  </w:style>
  <w:style w:type="paragraph" w:styleId="ListNumber3">
    <w:name w:val="List Number 3"/>
    <w:basedOn w:val="List3"/>
    <w:rsid w:val="00FF5CCF"/>
    <w:pPr>
      <w:numPr>
        <w:numId w:val="5"/>
      </w:numPr>
    </w:pPr>
  </w:style>
  <w:style w:type="paragraph" w:styleId="ListNumber4">
    <w:name w:val="List Number 4"/>
    <w:basedOn w:val="List4"/>
    <w:rsid w:val="00FF5CCF"/>
    <w:pPr>
      <w:numPr>
        <w:numId w:val="6"/>
      </w:numPr>
    </w:pPr>
  </w:style>
  <w:style w:type="paragraph" w:styleId="ListNumber5">
    <w:name w:val="List Number 5"/>
    <w:basedOn w:val="List5"/>
    <w:rsid w:val="00FF5CCF"/>
    <w:pPr>
      <w:numPr>
        <w:numId w:val="7"/>
      </w:numPr>
    </w:pPr>
  </w:style>
  <w:style w:type="paragraph" w:styleId="BlockText">
    <w:name w:val="Block Text"/>
    <w:basedOn w:val="Normal"/>
    <w:rsid w:val="00FF5CCF"/>
    <w:pPr>
      <w:spacing w:after="120"/>
      <w:ind w:left="1440" w:right="1440"/>
    </w:pPr>
  </w:style>
  <w:style w:type="character" w:customStyle="1" w:styleId="Subscript">
    <w:name w:val="Subscript"/>
    <w:basedOn w:val="DefaultParagraphFont"/>
    <w:rsid w:val="00FF5CCF"/>
    <w:rPr>
      <w:sz w:val="16"/>
      <w:vertAlign w:val="subscript"/>
    </w:rPr>
  </w:style>
  <w:style w:type="character" w:customStyle="1" w:styleId="Superscript">
    <w:name w:val="Superscript"/>
    <w:basedOn w:val="DefaultParagraphFont"/>
    <w:rsid w:val="00FF5CCF"/>
    <w:rPr>
      <w:sz w:val="16"/>
      <w:vertAlign w:val="superscript"/>
    </w:rPr>
  </w:style>
  <w:style w:type="character" w:customStyle="1" w:styleId="Symbols">
    <w:name w:val="Symbols"/>
    <w:basedOn w:val="DefaultParagraphFont"/>
    <w:rsid w:val="00FF5CCF"/>
    <w:rPr>
      <w:rFonts w:ascii="Symbol" w:hAnsi="Symbol"/>
    </w:rPr>
  </w:style>
  <w:style w:type="character" w:customStyle="1" w:styleId="MenuOptions">
    <w:name w:val="Menu Options"/>
    <w:basedOn w:val="DefaultParagraphFont"/>
    <w:rsid w:val="00FF5CCF"/>
    <w:rPr>
      <w:rFonts w:ascii="Arial Narrow" w:hAnsi="Arial Narrow"/>
      <w:smallCaps/>
    </w:rPr>
  </w:style>
  <w:style w:type="character" w:customStyle="1" w:styleId="Buttons">
    <w:name w:val="Buttons"/>
    <w:basedOn w:val="DefaultParagraphFont"/>
    <w:rsid w:val="00FF5CCF"/>
    <w:rPr>
      <w:b/>
    </w:rPr>
  </w:style>
  <w:style w:type="character" w:customStyle="1" w:styleId="Underlined">
    <w:name w:val="Underlined"/>
    <w:basedOn w:val="DefaultParagraphFont"/>
    <w:rsid w:val="00FF5CCF"/>
    <w:rPr>
      <w:u w:val="single"/>
    </w:rPr>
  </w:style>
  <w:style w:type="paragraph" w:customStyle="1" w:styleId="TableBodyTextRight">
    <w:name w:val="Table Body Text Right"/>
    <w:basedOn w:val="TableBodyText"/>
    <w:rsid w:val="00FF5CCF"/>
    <w:pPr>
      <w:widowControl w:val="0"/>
      <w:autoSpaceDE w:val="0"/>
      <w:autoSpaceDN w:val="0"/>
      <w:adjustRightInd w:val="0"/>
      <w:jc w:val="right"/>
    </w:pPr>
    <w:rPr>
      <w:rFonts w:cs="Arial"/>
      <w:szCs w:val="18"/>
    </w:rPr>
  </w:style>
  <w:style w:type="paragraph" w:customStyle="1" w:styleId="CopyrightText">
    <w:name w:val="Copyright Text"/>
    <w:basedOn w:val="BodyText"/>
    <w:rsid w:val="00FF5CCF"/>
    <w:rPr>
      <w:sz w:val="18"/>
    </w:rPr>
  </w:style>
  <w:style w:type="paragraph" w:customStyle="1" w:styleId="BodySmallRight">
    <w:name w:val="Body Small Right"/>
    <w:basedOn w:val="BodyTextRight"/>
    <w:rsid w:val="00FF5CCF"/>
    <w:rPr>
      <w:sz w:val="18"/>
      <w:szCs w:val="18"/>
    </w:rPr>
  </w:style>
  <w:style w:type="paragraph" w:customStyle="1" w:styleId="MarginEdition">
    <w:name w:val="Margin Edition"/>
    <w:basedOn w:val="MarginNote"/>
    <w:rsid w:val="00FF5CCF"/>
    <w:pPr>
      <w:spacing w:before="0" w:after="0"/>
    </w:pPr>
    <w:rPr>
      <w:rFonts w:ascii="Times New Roman" w:hAnsi="Times New Roman"/>
      <w:color w:val="999999"/>
    </w:rPr>
  </w:style>
  <w:style w:type="paragraph" w:customStyle="1" w:styleId="Spacer">
    <w:name w:val="Spacer"/>
    <w:basedOn w:val="Normal"/>
    <w:rsid w:val="00FF5CCF"/>
    <w:rPr>
      <w:sz w:val="2"/>
      <w:szCs w:val="2"/>
    </w:rPr>
  </w:style>
  <w:style w:type="character" w:customStyle="1" w:styleId="Small">
    <w:name w:val="Small"/>
    <w:basedOn w:val="DefaultParagraphFont"/>
    <w:rsid w:val="00FF5CCF"/>
    <w:rPr>
      <w:sz w:val="16"/>
    </w:rPr>
  </w:style>
  <w:style w:type="paragraph" w:customStyle="1" w:styleId="WideTable">
    <w:name w:val="Wide Table"/>
    <w:basedOn w:val="Normal"/>
    <w:rsid w:val="00FF5CCF"/>
    <w:pPr>
      <w:ind w:left="-1418"/>
    </w:pPr>
    <w:rPr>
      <w:sz w:val="2"/>
      <w:szCs w:val="2"/>
    </w:rPr>
  </w:style>
  <w:style w:type="character" w:styleId="PageNumber">
    <w:name w:val="page number"/>
    <w:basedOn w:val="DefaultParagraphFont"/>
    <w:rsid w:val="00FF5CCF"/>
  </w:style>
  <w:style w:type="paragraph" w:styleId="Quote">
    <w:name w:val="Quote"/>
    <w:basedOn w:val="Heading1"/>
    <w:link w:val="QuoteChar"/>
    <w:qFormat/>
    <w:rsid w:val="00FF5CCF"/>
    <w:rPr>
      <w:b w:val="0"/>
      <w:sz w:val="72"/>
      <w:szCs w:val="72"/>
      <w:lang w:val="en-NZ"/>
    </w:rPr>
  </w:style>
  <w:style w:type="character" w:customStyle="1" w:styleId="QuoteChar">
    <w:name w:val="Quote Char"/>
    <w:basedOn w:val="DefaultParagraphFont"/>
    <w:link w:val="Quote"/>
    <w:rsid w:val="00FF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CCF"/>
    <w:pPr>
      <w:pageBreakBefore/>
    </w:pPr>
  </w:style>
  <w:style w:type="paragraph" w:customStyle="1" w:styleId="Border">
    <w:name w:val="Border"/>
    <w:basedOn w:val="Normal"/>
    <w:qFormat/>
    <w:rsid w:val="00FF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CCF"/>
    <w:rPr>
      <w:b/>
      <w:bCs/>
      <w:i/>
      <w:iCs/>
      <w:color w:val="auto"/>
    </w:rPr>
  </w:style>
  <w:style w:type="paragraph" w:styleId="IntenseQuote">
    <w:name w:val="Intense Quote"/>
    <w:basedOn w:val="Normal"/>
    <w:next w:val="Normal"/>
    <w:link w:val="IntenseQuoteChar"/>
    <w:uiPriority w:val="30"/>
    <w:qFormat/>
    <w:rsid w:val="00FF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CCF"/>
    <w:rPr>
      <w:smallCaps/>
      <w:color w:val="auto"/>
      <w:u w:val="single"/>
    </w:rPr>
  </w:style>
  <w:style w:type="character" w:styleId="IntenseReference">
    <w:name w:val="Intense Reference"/>
    <w:basedOn w:val="DefaultParagraphFont"/>
    <w:uiPriority w:val="32"/>
    <w:qFormat/>
    <w:rsid w:val="00FF5CCF"/>
    <w:rPr>
      <w:b/>
      <w:bCs/>
      <w:smallCaps/>
      <w:color w:val="auto"/>
      <w:spacing w:val="5"/>
      <w:u w:val="single"/>
    </w:rPr>
  </w:style>
  <w:style w:type="paragraph" w:customStyle="1" w:styleId="2ColumnHeading">
    <w:name w:val="2Column Heading"/>
    <w:basedOn w:val="BodyText"/>
    <w:qFormat/>
    <w:rsid w:val="00FF5CCF"/>
    <w:pPr>
      <w:spacing w:after="60"/>
      <w:ind w:left="-2268"/>
    </w:pPr>
    <w:rPr>
      <w:b/>
    </w:rPr>
  </w:style>
  <w:style w:type="paragraph" w:customStyle="1" w:styleId="Heading1TOC">
    <w:name w:val="Heading1 TOC"/>
    <w:basedOn w:val="Normal"/>
    <w:qFormat/>
    <w:rsid w:val="00FF5CCF"/>
    <w:pPr>
      <w:spacing w:before="240" w:after="120"/>
    </w:pPr>
    <w:rPr>
      <w:rFonts w:ascii="Times New Roman" w:hAnsi="Times New Roman"/>
      <w:b/>
      <w:sz w:val="32"/>
    </w:rPr>
  </w:style>
  <w:style w:type="paragraph" w:customStyle="1" w:styleId="Heading2TOC">
    <w:name w:val="Heading2 TOC"/>
    <w:basedOn w:val="Normal"/>
    <w:qFormat/>
    <w:rsid w:val="00FF5CCF"/>
    <w:pPr>
      <w:spacing w:before="240" w:after="60"/>
    </w:pPr>
    <w:rPr>
      <w:rFonts w:ascii="Times New Roman" w:hAnsi="Times New Roman"/>
      <w:b/>
      <w:sz w:val="28"/>
    </w:rPr>
  </w:style>
  <w:style w:type="character" w:customStyle="1" w:styleId="Underline">
    <w:name w:val="Underline"/>
    <w:basedOn w:val="DefaultParagraphFont"/>
    <w:qFormat/>
    <w:rsid w:val="00FF5CCF"/>
    <w:rPr>
      <w:u w:val="single"/>
    </w:rPr>
  </w:style>
  <w:style w:type="character" w:customStyle="1" w:styleId="BoldandItalics">
    <w:name w:val="Bold and Italics"/>
    <w:qFormat/>
    <w:rsid w:val="00FF5CCF"/>
    <w:rPr>
      <w:b/>
      <w:i/>
      <w:u w:val="none"/>
    </w:rPr>
  </w:style>
  <w:style w:type="paragraph" w:styleId="BalloonText">
    <w:name w:val="Balloon Text"/>
    <w:basedOn w:val="Normal"/>
    <w:link w:val="BalloonTextChar"/>
    <w:rsid w:val="00FF5CCF"/>
    <w:rPr>
      <w:rFonts w:ascii="Tahoma" w:hAnsi="Tahoma" w:cs="Tahoma"/>
      <w:sz w:val="16"/>
      <w:szCs w:val="16"/>
    </w:rPr>
  </w:style>
  <w:style w:type="character" w:customStyle="1" w:styleId="BalloonTextChar">
    <w:name w:val="Balloon Text Char"/>
    <w:basedOn w:val="DefaultParagraphFont"/>
    <w:link w:val="BalloonText"/>
    <w:rsid w:val="00FF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CCF"/>
    <w:rPr>
      <w:b/>
      <w:color w:val="660033"/>
      <w:spacing w:val="0"/>
    </w:rPr>
  </w:style>
  <w:style w:type="paragraph" w:customStyle="1" w:styleId="Nameditemlist">
    <w:name w:val="Named item list"/>
    <w:basedOn w:val="BodyText"/>
    <w:qFormat/>
    <w:rsid w:val="00FF5CCF"/>
    <w:pPr>
      <w:tabs>
        <w:tab w:val="left" w:pos="2835"/>
      </w:tabs>
      <w:ind w:left="2835" w:hanging="2835"/>
    </w:pPr>
  </w:style>
  <w:style w:type="paragraph" w:customStyle="1" w:styleId="BodyTextnopadding">
    <w:name w:val="Body Text no padding"/>
    <w:basedOn w:val="BodyText"/>
    <w:qFormat/>
    <w:rsid w:val="00FF5CCF"/>
    <w:pPr>
      <w:spacing w:before="0" w:after="0"/>
    </w:pPr>
  </w:style>
  <w:style w:type="character" w:styleId="Hyperlink">
    <w:name w:val="Hyperlink"/>
    <w:basedOn w:val="DefaultParagraphFont"/>
    <w:uiPriority w:val="99"/>
    <w:unhideWhenUsed/>
    <w:rsid w:val="00CD63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7741</Characters>
  <Application>Microsoft Office Word</Application>
  <DocSecurity>0</DocSecurity>
  <Lines>180</Lines>
  <Paragraphs>119</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RIIERR602E Establish and maintain underground coal mine emergency preparedness and response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