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623" w:rsidP="00B966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RIIERR602D Establish and maintain underground coal mine emergency preparedness and response systems</w:t>
      </w:r>
      <w:r>
        <w:fldChar w:fldCharType="end"/>
      </w:r>
    </w:p>
    <w:p w:rsidR="00B96623" w:rsidP="00B96623">
      <w:pPr>
        <w:pStyle w:val="Version"/>
        <w:sectPr w:rsidSect="00C87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876F1" w:rsidP="00C876F1">
      <w:pPr>
        <w:pStyle w:val="SuperHeading"/>
      </w:pPr>
      <w:r w:rsidRPr="00C876F1">
        <w:t>Assessment Requirements for RIIERR602D Establish and maintain underground coal mine emergency preparedness and response systems</w:t>
      </w:r>
    </w:p>
    <w:p w:rsidR="00000000" w:rsidRPr="00C876F1" w:rsidP="00C876F1">
      <w:pPr>
        <w:pStyle w:val="Heading1"/>
      </w:pPr>
      <w:bookmarkStart w:id="1" w:name="O_687639"/>
      <w:bookmarkEnd w:id="1"/>
      <w:r w:rsidRPr="00C876F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9662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Comment</w:t>
            </w:r>
          </w:p>
        </w:tc>
      </w:tr>
      <w:tr w:rsidTr="00B9662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This unit replaces RIIERR602A Establish and maintain underground coal mine emergency preparedness and response systems</w:t>
            </w:r>
          </w:p>
        </w:tc>
      </w:tr>
      <w:tr w:rsidTr="00B9662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6F1" w:rsidP="00C876F1">
            <w:pPr>
              <w:pStyle w:val="BodyText"/>
            </w:pPr>
            <w:r w:rsidRPr="00C876F1">
              <w:t>Inserted Modification History</w:t>
            </w:r>
          </w:p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Performance Criteria was amended to increase the level of detail and explicit information.</w:t>
            </w:r>
          </w:p>
        </w:tc>
      </w:tr>
      <w:tr w:rsidTr="00B9662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6F1" w:rsidP="00C876F1">
            <w:pPr>
              <w:pStyle w:val="BodyText"/>
            </w:pPr>
            <w:r w:rsidRPr="00C876F1">
              <w:t>Required f</w:t>
            </w:r>
            <w:r w:rsidRPr="00C876F1">
              <w:t>requency and volume of evidence amended in Performance evidence.</w:t>
            </w:r>
          </w:p>
          <w:p w:rsidR="00000000" w:rsidRPr="00C876F1" w:rsidP="00C876F1">
            <w:pPr>
              <w:pStyle w:val="BodyText"/>
            </w:pPr>
            <w:r w:rsidRPr="00C876F1">
              <w:t>Substantial amendments made in Assessment Conditions field, including: references to Industry Sectors, assessor and subject matter expert experience requirements, how assessment should be con</w:t>
            </w:r>
            <w:r w:rsidRPr="00C876F1">
              <w:t>ducted and what it should confirm.</w:t>
            </w:r>
          </w:p>
        </w:tc>
      </w:tr>
    </w:tbl>
    <w:p w:rsidR="00000000" w:rsidRPr="00C876F1" w:rsidP="00C876F1">
      <w:pPr>
        <w:pStyle w:val="BodyText"/>
      </w:pPr>
    </w:p>
    <w:p w:rsidR="00000000" w:rsidRPr="00C876F1" w:rsidP="00C876F1">
      <w:pPr>
        <w:pStyle w:val="AllowPageBreak"/>
      </w:pPr>
    </w:p>
    <w:p w:rsidR="00000000" w:rsidRPr="00C876F1" w:rsidP="00C876F1">
      <w:pPr>
        <w:pStyle w:val="Heading1"/>
      </w:pPr>
      <w:bookmarkStart w:id="2" w:name="O_687638"/>
      <w:bookmarkEnd w:id="2"/>
      <w:r w:rsidRPr="00C876F1">
        <w:t>Performance Evidence</w:t>
      </w:r>
    </w:p>
    <w:p w:rsidR="00000000" w:rsidRPr="00C876F1" w:rsidP="00B96623">
      <w:pPr>
        <w:pStyle w:val="BodyText"/>
      </w:pPr>
      <w:r w:rsidRPr="00C876F1">
        <w:t>Evidence is required to be collected that demonstrates a candidate’s competency in this unit. Evidence must be relevant to the roles within this sector’s work operations and satisfy</w:t>
      </w:r>
      <w:r w:rsidRPr="00C876F1">
        <w:t xml:space="preserve"> all of the requirements of the performance criteria of this unit and include evidence that the candidate:</w:t>
      </w:r>
    </w:p>
    <w:p w:rsidR="00000000" w:rsidRPr="00C876F1" w:rsidP="00C876F1">
      <w:pPr>
        <w:pStyle w:val="ListBullet"/>
      </w:pPr>
      <w:r w:rsidRPr="00C876F1">
        <w:t>locates and applies relevant legislation, documentation, policies and procedures</w:t>
      </w:r>
    </w:p>
    <w:p w:rsidR="00000000" w:rsidRPr="00C876F1" w:rsidP="00C876F1">
      <w:pPr>
        <w:pStyle w:val="ListBullet"/>
      </w:pPr>
      <w:r w:rsidRPr="00C876F1">
        <w:t>implements procedures and techniques for the safe, effective and efficient establishment and maintenance of the mine emergency preparedness and response systems including:</w:t>
      </w:r>
    </w:p>
    <w:p w:rsidR="00000000" w:rsidRPr="00C876F1" w:rsidP="00C876F1">
      <w:pPr>
        <w:pStyle w:val="ListBullet2"/>
      </w:pPr>
      <w:r w:rsidRPr="00C876F1">
        <w:t>assesses and prioritises implementation processes</w:t>
      </w:r>
    </w:p>
    <w:p w:rsidR="00000000" w:rsidRPr="00C876F1" w:rsidP="00C876F1">
      <w:pPr>
        <w:pStyle w:val="ListBullet2"/>
      </w:pPr>
      <w:r w:rsidRPr="00C876F1">
        <w:t>analyses hazards and risks to con</w:t>
      </w:r>
      <w:r w:rsidRPr="00C876F1">
        <w:t>sider in the establishment and maintenance of the mine emergency preparedness and response systems</w:t>
      </w:r>
    </w:p>
    <w:p w:rsidR="00000000" w:rsidRPr="00C876F1" w:rsidP="00C876F1">
      <w:pPr>
        <w:pStyle w:val="ListBullet2"/>
      </w:pPr>
      <w:r w:rsidRPr="00C876F1">
        <w:t>maintains standards for establishment and maintenance of the mine emergency preparedness and response systems</w:t>
      </w:r>
    </w:p>
    <w:p w:rsidR="00000000" w:rsidRPr="00C876F1" w:rsidP="00C876F1">
      <w:pPr>
        <w:pStyle w:val="ListBullet2"/>
      </w:pPr>
      <w:r w:rsidRPr="00C876F1">
        <w:t>provides clear and timely instruction and super</w:t>
      </w:r>
      <w:r w:rsidRPr="00C876F1">
        <w:t>vision to those involved in the mine emergency preparedness and response systems</w:t>
      </w:r>
    </w:p>
    <w:p w:rsidR="00000000" w:rsidRPr="00C876F1" w:rsidP="00C876F1">
      <w:pPr>
        <w:pStyle w:val="ListBullet2"/>
      </w:pPr>
      <w:r w:rsidRPr="00C876F1">
        <w:t>identifies training needs of individuals involved in the mine emergency preparedness and response systems, and prepares training plans</w:t>
      </w:r>
    </w:p>
    <w:p w:rsidR="00000000" w:rsidRPr="00C876F1" w:rsidP="00C876F1">
      <w:pPr>
        <w:pStyle w:val="ListBullet"/>
      </w:pPr>
      <w:r w:rsidRPr="00C876F1">
        <w:t>works with and leads others to undertak</w:t>
      </w:r>
      <w:r w:rsidRPr="00C876F1">
        <w:t>e and complete the establishment and maintenance of the coal mine (underground) emergency preparedness and response systems including:</w:t>
      </w:r>
    </w:p>
    <w:p w:rsidR="00000000" w:rsidRPr="00C876F1" w:rsidP="00C876F1">
      <w:pPr>
        <w:pStyle w:val="ListBullet2"/>
      </w:pPr>
      <w:r w:rsidRPr="00C876F1">
        <w:t>facilitating groups to work together</w:t>
      </w:r>
    </w:p>
    <w:p w:rsidR="00000000" w:rsidRPr="00C876F1" w:rsidP="00C876F1">
      <w:pPr>
        <w:pStyle w:val="ListBullet2"/>
      </w:pPr>
      <w:r w:rsidRPr="00C876F1">
        <w:t>establishing and maintaining a range of communication techniques and aids to advise</w:t>
      </w:r>
      <w:r w:rsidRPr="00C876F1">
        <w:t xml:space="preserve"> others of work activity </w:t>
      </w:r>
    </w:p>
    <w:p w:rsidR="00000000" w:rsidRPr="00C876F1" w:rsidP="00C876F1">
      <w:pPr>
        <w:pStyle w:val="ListBullet2"/>
      </w:pPr>
      <w:r w:rsidRPr="00C876F1">
        <w:t xml:space="preserve">using written and verbal communication systems to convey all activities and outcomes for coal mine emergency preparedness and response to others in a clear and concise manner </w:t>
      </w:r>
    </w:p>
    <w:p w:rsidR="00000000" w:rsidRPr="00C876F1" w:rsidP="00C876F1">
      <w:pPr>
        <w:pStyle w:val="ListBullet"/>
      </w:pPr>
      <w:r w:rsidRPr="00C876F1">
        <w:t>demonstrates completion of establishing and maintaini</w:t>
      </w:r>
      <w:r w:rsidRPr="00C876F1">
        <w:t>ng underground coal mine emergency preparedness and response systems that safely, effectively and efficiently meets all of the required outcomes on more than one (1) occasion including:</w:t>
      </w:r>
    </w:p>
    <w:p w:rsidR="00000000" w:rsidRPr="00C876F1" w:rsidP="00C876F1">
      <w:pPr>
        <w:pStyle w:val="ListBullet2"/>
      </w:pPr>
      <w:r w:rsidRPr="00C876F1">
        <w:t>establishing processes to investigate nature and cause of emergency/i</w:t>
      </w:r>
      <w:r w:rsidRPr="00C876F1">
        <w:t>ncident clearly and concisely communicating and explaining, plans and supporting information, in a form readily accessible to others</w:t>
      </w:r>
    </w:p>
    <w:p w:rsidR="00000000" w:rsidRPr="00C876F1" w:rsidP="00C876F1">
      <w:pPr>
        <w:pStyle w:val="ListBullet2"/>
      </w:pPr>
      <w:r w:rsidRPr="00C876F1">
        <w:t>identifying, clarifying and communicating roles and responsibilities, to all personnel</w:t>
      </w:r>
    </w:p>
    <w:p w:rsidR="00000000" w:rsidRPr="00C876F1" w:rsidP="00C876F1">
      <w:pPr>
        <w:pStyle w:val="ListBullet2"/>
      </w:pPr>
      <w:r w:rsidRPr="00C876F1">
        <w:t>implementing the allocation and inst</w:t>
      </w:r>
      <w:r w:rsidRPr="00C876F1">
        <w:t>allation of resources</w:t>
      </w:r>
    </w:p>
    <w:p w:rsidR="00000000" w:rsidRPr="00C876F1" w:rsidP="00C876F1">
      <w:pPr>
        <w:pStyle w:val="ListBullet2"/>
      </w:pPr>
      <w:r w:rsidRPr="00C876F1">
        <w:t>implementing the emergency preparedness and response training program</w:t>
      </w:r>
    </w:p>
    <w:p w:rsidR="00000000" w:rsidRPr="00C876F1" w:rsidP="00C876F1">
      <w:pPr>
        <w:pStyle w:val="ListBullet2"/>
      </w:pPr>
      <w:r w:rsidRPr="00C876F1">
        <w:t>developing review mechanisms from both internal and external sources</w:t>
      </w:r>
    </w:p>
    <w:p w:rsidR="00000000" w:rsidRPr="00C876F1" w:rsidP="00C876F1">
      <w:pPr>
        <w:pStyle w:val="ListBullet2"/>
      </w:pPr>
      <w:r w:rsidRPr="00C876F1">
        <w:t>establishing plans to manage post-incident actions</w:t>
      </w:r>
    </w:p>
    <w:p w:rsidR="00000000" w:rsidRPr="00C876F1" w:rsidP="00C876F1">
      <w:pPr>
        <w:pStyle w:val="AllowPageBreak"/>
      </w:pPr>
    </w:p>
    <w:p w:rsidR="00000000" w:rsidRPr="00C876F1" w:rsidP="00C876F1">
      <w:pPr>
        <w:pStyle w:val="Heading1"/>
      </w:pPr>
      <w:bookmarkStart w:id="3" w:name="O_687637"/>
      <w:bookmarkEnd w:id="3"/>
      <w:r w:rsidRPr="00C876F1">
        <w:t>Knowledge Evidence</w:t>
      </w:r>
    </w:p>
    <w:p w:rsidR="00000000" w:rsidRPr="00C876F1" w:rsidP="00B96623">
      <w:pPr>
        <w:pStyle w:val="BodyText"/>
      </w:pPr>
      <w:r w:rsidRPr="00C876F1">
        <w:t>The candidate must demonstrate knowledge of establishing and maintaining emergency preparedness and response systems through:</w:t>
      </w:r>
    </w:p>
    <w:p w:rsidR="00000000" w:rsidRPr="00C876F1" w:rsidP="00C876F1">
      <w:pPr>
        <w:pStyle w:val="ListBullet2"/>
      </w:pPr>
      <w:r w:rsidRPr="00C876F1">
        <w:t>audit and review processes and techniques</w:t>
      </w:r>
    </w:p>
    <w:p w:rsidR="00000000" w:rsidRPr="00C876F1" w:rsidP="00C876F1">
      <w:pPr>
        <w:pStyle w:val="ListBullet2"/>
      </w:pPr>
      <w:r w:rsidRPr="00C876F1">
        <w:t>training and assessment principles</w:t>
      </w:r>
    </w:p>
    <w:p w:rsidR="00000000" w:rsidRPr="00C876F1" w:rsidP="00C876F1">
      <w:pPr>
        <w:pStyle w:val="ListBullet2"/>
      </w:pPr>
      <w:r w:rsidRPr="00C876F1">
        <w:t>training systems</w:t>
      </w:r>
    </w:p>
    <w:p w:rsidR="00000000" w:rsidRPr="00C876F1" w:rsidP="00C876F1">
      <w:pPr>
        <w:pStyle w:val="ListBullet2"/>
      </w:pPr>
      <w:r w:rsidRPr="00C876F1">
        <w:t>emergency response and evacuation p</w:t>
      </w:r>
      <w:r w:rsidRPr="00C876F1">
        <w:t>lanning processes and techniques</w:t>
      </w:r>
    </w:p>
    <w:p w:rsidR="00000000" w:rsidRPr="00C876F1" w:rsidP="00C876F1">
      <w:pPr>
        <w:pStyle w:val="ListBullet2"/>
      </w:pPr>
      <w:r w:rsidRPr="00C876F1">
        <w:t>structure of emergency procedures guidelines</w:t>
      </w:r>
    </w:p>
    <w:p w:rsidR="00000000" w:rsidRPr="00C876F1" w:rsidP="00C876F1">
      <w:pPr>
        <w:pStyle w:val="ListBullet2"/>
      </w:pPr>
      <w:r w:rsidRPr="00C876F1">
        <w:t>intervention and control techniques for heating, fires, explosions, outburst, or inrushes</w:t>
      </w:r>
    </w:p>
    <w:p w:rsidR="00000000" w:rsidRPr="00C876F1" w:rsidP="00C876F1">
      <w:pPr>
        <w:pStyle w:val="ListBullet2"/>
      </w:pPr>
      <w:r w:rsidRPr="00C876F1">
        <w:t>the effects of hot and humid atmospheres</w:t>
      </w:r>
    </w:p>
    <w:p w:rsidR="00000000" w:rsidRPr="00C876F1" w:rsidP="00C876F1">
      <w:pPr>
        <w:pStyle w:val="ListBullet2"/>
      </w:pPr>
      <w:r w:rsidRPr="00C876F1">
        <w:t>escape strategies and technology</w:t>
      </w:r>
    </w:p>
    <w:p w:rsidR="00000000" w:rsidRPr="00C876F1" w:rsidP="00C876F1">
      <w:pPr>
        <w:pStyle w:val="ListBullet2"/>
      </w:pPr>
      <w:r w:rsidRPr="00C876F1">
        <w:t>mine environme</w:t>
      </w:r>
      <w:r w:rsidRPr="00C876F1">
        <w:t>ntal risks and controls</w:t>
      </w:r>
    </w:p>
    <w:p w:rsidR="00000000" w:rsidRPr="00C876F1" w:rsidP="00C876F1">
      <w:pPr>
        <w:pStyle w:val="ListBullet2"/>
      </w:pPr>
      <w:r w:rsidRPr="00C876F1">
        <w:t>equipment requirements for different types of emergency</w:t>
      </w:r>
    </w:p>
    <w:p w:rsidR="00000000" w:rsidRPr="00C876F1" w:rsidP="00C876F1">
      <w:pPr>
        <w:pStyle w:val="ListBullet2"/>
      </w:pPr>
      <w:r w:rsidRPr="00C876F1">
        <w:t>call-out procedures</w:t>
      </w:r>
    </w:p>
    <w:p w:rsidR="00000000" w:rsidRPr="00C876F1" w:rsidP="00C876F1">
      <w:pPr>
        <w:pStyle w:val="ListBullet2"/>
      </w:pPr>
      <w:r w:rsidRPr="00C876F1">
        <w:t>the roles of external agencies</w:t>
      </w:r>
    </w:p>
    <w:p w:rsidR="00000000" w:rsidRPr="00C876F1" w:rsidP="00C876F1">
      <w:pPr>
        <w:pStyle w:val="ListBullet2"/>
      </w:pPr>
      <w:r w:rsidRPr="00C876F1">
        <w:t xml:space="preserve">the structure, role and responsibilities of the Incident Control </w:t>
      </w:r>
    </w:p>
    <w:p w:rsidR="00000000" w:rsidRPr="00C876F1" w:rsidP="00C876F1">
      <w:pPr>
        <w:pStyle w:val="ListBullet2"/>
      </w:pPr>
      <w:r w:rsidRPr="00C876F1">
        <w:t>the trigger points to initiate emergency response to alarms</w:t>
      </w:r>
    </w:p>
    <w:p w:rsidR="00000000" w:rsidRPr="00C876F1" w:rsidP="00C876F1">
      <w:pPr>
        <w:pStyle w:val="ListBullet2"/>
      </w:pPr>
      <w:r w:rsidRPr="00C876F1">
        <w:t>understanding of guidance systems and markers</w:t>
      </w:r>
    </w:p>
    <w:p w:rsidR="00000000" w:rsidRPr="00C876F1" w:rsidP="00C876F1">
      <w:pPr>
        <w:pStyle w:val="ListBullet2"/>
      </w:pPr>
      <w:r w:rsidRPr="00C876F1">
        <w:t>site emergency plans</w:t>
      </w:r>
    </w:p>
    <w:p w:rsidR="00000000" w:rsidRPr="00C876F1" w:rsidP="00C876F1">
      <w:pPr>
        <w:pStyle w:val="ListBullet2"/>
      </w:pPr>
      <w:r w:rsidRPr="00C876F1">
        <w:t>the types of adverse environmental conditions</w:t>
      </w:r>
    </w:p>
    <w:p w:rsidR="00000000" w:rsidRPr="00C876F1" w:rsidP="00C876F1">
      <w:pPr>
        <w:pStyle w:val="ListBullet2"/>
      </w:pPr>
      <w:r w:rsidRPr="00C876F1">
        <w:t>the types of hazards and incidents on a mine site</w:t>
      </w:r>
    </w:p>
    <w:p w:rsidR="00000000" w:rsidRPr="00C876F1" w:rsidP="00C876F1">
      <w:pPr>
        <w:pStyle w:val="ListBullet2"/>
      </w:pPr>
      <w:r w:rsidRPr="00C876F1">
        <w:t>debriefing process</w:t>
      </w:r>
    </w:p>
    <w:p w:rsidR="00000000" w:rsidRPr="00C876F1" w:rsidP="00C876F1">
      <w:pPr>
        <w:pStyle w:val="ListBullet2"/>
      </w:pPr>
      <w:r w:rsidRPr="00C876F1">
        <w:t>audit review process and techniques</w:t>
      </w:r>
    </w:p>
    <w:p w:rsidR="00000000" w:rsidRPr="00C876F1" w:rsidP="00C876F1">
      <w:pPr>
        <w:pStyle w:val="ListBullet2"/>
      </w:pPr>
      <w:r w:rsidRPr="00C876F1">
        <w:t>classification of types of incidents</w:t>
      </w:r>
    </w:p>
    <w:p w:rsidR="00000000" w:rsidRPr="00C876F1" w:rsidP="00C876F1">
      <w:pPr>
        <w:pStyle w:val="ListBullet2"/>
      </w:pPr>
      <w:r w:rsidRPr="00C876F1">
        <w:t>decision making processes</w:t>
      </w:r>
    </w:p>
    <w:p w:rsidR="00000000" w:rsidRPr="00C876F1" w:rsidP="00C876F1">
      <w:pPr>
        <w:pStyle w:val="ListBullet2"/>
      </w:pPr>
      <w:r w:rsidRPr="00C876F1">
        <w:t>deployment of staff underground</w:t>
      </w:r>
    </w:p>
    <w:p w:rsidR="00000000" w:rsidRPr="00C876F1" w:rsidP="00C876F1">
      <w:pPr>
        <w:pStyle w:val="ListBullet2"/>
      </w:pPr>
      <w:r w:rsidRPr="00C876F1">
        <w:t>economic considerations and decisions</w:t>
      </w:r>
    </w:p>
    <w:p w:rsidR="00000000" w:rsidRPr="00C876F1" w:rsidP="00C876F1">
      <w:pPr>
        <w:pStyle w:val="ListBullet2"/>
      </w:pPr>
      <w:r w:rsidRPr="00C876F1">
        <w:t>media policies and procedures</w:t>
      </w:r>
    </w:p>
    <w:p w:rsidR="00000000" w:rsidRPr="00C876F1" w:rsidP="00C876F1">
      <w:pPr>
        <w:pStyle w:val="ListBullet2"/>
      </w:pPr>
      <w:r w:rsidRPr="00C876F1">
        <w:t>worksite closure procedures and the legislative implications</w:t>
      </w:r>
    </w:p>
    <w:p w:rsidR="00000000" w:rsidRPr="00C876F1" w:rsidP="00C876F1">
      <w:pPr>
        <w:pStyle w:val="ListBullet2"/>
      </w:pPr>
      <w:r w:rsidRPr="00C876F1">
        <w:t>emotional effects of emergencies on rescuers, site personnel, familie</w:t>
      </w:r>
      <w:r w:rsidRPr="00C876F1">
        <w:t>s and community</w:t>
      </w:r>
    </w:p>
    <w:p w:rsidR="00000000" w:rsidRPr="00C876F1" w:rsidP="00C876F1">
      <w:pPr>
        <w:pStyle w:val="AllowPageBreak"/>
      </w:pPr>
    </w:p>
    <w:p w:rsidR="00000000" w:rsidRPr="00C876F1" w:rsidP="00C876F1">
      <w:pPr>
        <w:pStyle w:val="Heading1"/>
      </w:pPr>
      <w:bookmarkStart w:id="4" w:name="O_687636"/>
      <w:bookmarkEnd w:id="4"/>
      <w:r w:rsidRPr="00C876F1">
        <w:t>Assessment Conditions</w:t>
      </w:r>
    </w:p>
    <w:p w:rsidR="00000000" w:rsidRPr="00C876F1" w:rsidP="00C876F1">
      <w:pPr>
        <w:pStyle w:val="ListBullet"/>
      </w:pPr>
      <w:r w:rsidRPr="00C876F1">
        <w:t xml:space="preserve">An assessor of this unit must satisfy the requirements of the NVR/AQTF or their successors; and Industry regulations for certification and licensing; and, </w:t>
      </w:r>
    </w:p>
    <w:p w:rsidR="00000000" w:rsidRPr="00C876F1" w:rsidP="00C876F1">
      <w:pPr>
        <w:pStyle w:val="ListBullet"/>
      </w:pPr>
      <w:r w:rsidRPr="00C876F1">
        <w:t>this unit is best assessed in the context of this sector’s work environment;</w:t>
      </w:r>
    </w:p>
    <w:p w:rsidR="00000000" w:rsidRPr="00C876F1" w:rsidP="00C876F1">
      <w:pPr>
        <w:pStyle w:val="ListBullet"/>
      </w:pPr>
      <w:r w:rsidRPr="00C876F1">
        <w:t>where personal safety or environmental damage are limiting factors, assessment may occur in a simulated environment provided it is realistic and sufficiently rigorous to cover all</w:t>
      </w:r>
      <w:r w:rsidRPr="00C876F1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C876F1" w:rsidP="00C876F1">
      <w:pPr>
        <w:pStyle w:val="ListBullet"/>
      </w:pPr>
      <w:r w:rsidRPr="00C876F1">
        <w:t>this unit must be assessed in compliance with relevant legislation/regulation a</w:t>
      </w:r>
      <w:r w:rsidRPr="00C876F1">
        <w:t>nd using policies, procedures, processes and operational manuals directly related to the industry sector for which it is being assessed; and,</w:t>
      </w:r>
    </w:p>
    <w:p w:rsidR="00000000" w:rsidRPr="00C876F1" w:rsidP="00C876F1">
      <w:pPr>
        <w:pStyle w:val="ListBullet"/>
      </w:pPr>
      <w:r w:rsidRPr="00C876F1">
        <w:t>assessment may be conducted in conjunction with the assessment of other Units of Competency; and,</w:t>
      </w:r>
    </w:p>
    <w:p w:rsidR="00000000" w:rsidRPr="00C876F1" w:rsidP="00C876F1">
      <w:pPr>
        <w:pStyle w:val="ListBullet"/>
      </w:pPr>
      <w:r w:rsidRPr="00C876F1">
        <w:t xml:space="preserve">assessment must </w:t>
      </w:r>
      <w:r w:rsidRPr="00C876F1">
        <w:t>confirm consistent performance can be applied in a range of relevant workplace circumstances; and,</w:t>
      </w:r>
    </w:p>
    <w:p w:rsidR="00000000" w:rsidRPr="00C876F1" w:rsidP="00C876F1">
      <w:pPr>
        <w:pStyle w:val="ListBullet"/>
      </w:pPr>
      <w:r w:rsidRPr="00C876F1">
        <w:t>assessors must demonstrate the performance evidence, and knowledge evidence as outlined in this Unit of Competency, and through the minimum years of current*</w:t>
      </w:r>
      <w:r w:rsidRPr="00C876F1">
        <w:t xml:space="preserve"> work experience specified below in an Industry sector relevant to the outcomes of the unit; or,</w:t>
      </w:r>
    </w:p>
    <w:p w:rsidR="00000000" w:rsidRPr="00C876F1" w:rsidP="00C876F1">
      <w:pPr>
        <w:pStyle w:val="ListBullet"/>
      </w:pPr>
      <w:r w:rsidRPr="00C876F1">
        <w:t>where the assessor does not meet experience requirements a co-assessment or partnership arrangement must exist between the qualified assessor and an Industry s</w:t>
      </w:r>
      <w:r w:rsidRPr="00C876F1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C876F1">
        <w:t>wledge from the minimum years of current work experience specified below in the Industry sector, including time spent in roles related to the unit being assessed; and,</w:t>
      </w:r>
    </w:p>
    <w:p w:rsidR="00000000" w:rsidRPr="00C876F1" w:rsidP="00C876F1">
      <w:pPr>
        <w:pStyle w:val="ListBullet"/>
      </w:pPr>
      <w:r w:rsidRPr="00C876F1">
        <w:t>assessor and Industry subject matter expert requirements differ depending on the Austral</w:t>
      </w:r>
      <w:r w:rsidRPr="00C876F1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876F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Required assessor or Industry subject matter expert experience</w:t>
            </w:r>
          </w:p>
        </w:tc>
      </w:tr>
      <w:tr w:rsidTr="00C876F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Drilling, Metalliferous Mining, Coal Mining, Extract</w:t>
            </w:r>
            <w:r w:rsidRPr="00C876F1">
              <w:t>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1 Year</w:t>
            </w:r>
          </w:p>
        </w:tc>
      </w:tr>
      <w:tr w:rsidTr="00C876F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2 Years</w:t>
            </w:r>
          </w:p>
        </w:tc>
      </w:tr>
      <w:tr w:rsidTr="00C876F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3 Years</w:t>
            </w:r>
          </w:p>
        </w:tc>
      </w:tr>
      <w:tr w:rsidTr="00C876F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5 Years</w:t>
            </w:r>
          </w:p>
        </w:tc>
      </w:tr>
      <w:tr w:rsidTr="00C876F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76F1">
            <w:pPr>
              <w:pStyle w:val="BodyText"/>
              <w:rPr>
                <w:lang w:val="en-NZ"/>
              </w:rPr>
            </w:pPr>
            <w:r w:rsidRPr="00C876F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76F1" w:rsidP="00C876F1">
            <w:pPr>
              <w:pStyle w:val="BodyText"/>
            </w:pPr>
            <w:r w:rsidRPr="00C876F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876F1">
              <w:t>ndard is specified should comply with any relevant regulation.</w:t>
            </w:r>
          </w:p>
        </w:tc>
      </w:tr>
    </w:tbl>
    <w:p w:rsidR="00000000" w:rsidRPr="00C876F1" w:rsidP="00B96623">
      <w:pPr>
        <w:pStyle w:val="BodyText"/>
      </w:pPr>
      <w:r w:rsidRPr="00C876F1">
        <w:t>*Assessors can demonstrate current work experience through employment within Industry in a role relevant to the outcomes of the Unit; or, for external assessors this can be demonstrated throu</w:t>
      </w:r>
      <w:r w:rsidRPr="00C876F1">
        <w:t>gh exposure to Industry by conducting frequent site assessments across various locations.</w:t>
      </w:r>
    </w:p>
    <w:p w:rsidR="00000000" w:rsidRPr="00C876F1" w:rsidP="00B96623">
      <w:pPr>
        <w:pStyle w:val="BodyText"/>
      </w:pPr>
      <w:r w:rsidRPr="00C876F1">
        <w:t>**Where a unit is being delivered outside of a Qualification the first numeric character in the Unit code should be considered to indicate the AQF level</w:t>
      </w:r>
    </w:p>
    <w:p w:rsidR="00000000" w:rsidRPr="00C876F1" w:rsidP="00C876F1">
      <w:pPr>
        <w:pStyle w:val="Heading1"/>
      </w:pPr>
      <w:bookmarkStart w:id="5" w:name="O_687648"/>
      <w:bookmarkEnd w:id="5"/>
      <w:r w:rsidRPr="00C876F1">
        <w:t>Links</w:t>
      </w:r>
    </w:p>
    <w:p w:rsidR="00000000" w:rsidRPr="00C876F1" w:rsidP="00B96623">
      <w:pPr>
        <w:pStyle w:val="BodyText"/>
      </w:pPr>
      <w:r w:rsidRPr="00C876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52F1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876F1" w:rsidP="00C876F1"/>
    <w:sectPr w:rsidSect="00C876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6F1" w:rsidRPr="00B96623" w:rsidP="00B966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23" w:rsidP="00C87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623" w:rsidP="00C87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6623" w:rsidP="00C87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76F1" w:rsidRPr="00B96623" w:rsidP="00B966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23" w:rsidRPr="002D2AF8" w:rsidP="00C87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RIIERR602D Establish and maintain underground coal mine emergency preparedness and response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B96623" w:rsidP="00C87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EA5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4AD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3ABF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6F1"/>
  </w:style>
  <w:style w:type="character" w:customStyle="1" w:styleId="Heading1Char">
    <w:name w:val="Heading 1 Char"/>
    <w:basedOn w:val="DefaultParagraphFont"/>
    <w:link w:val="Heading1"/>
    <w:rsid w:val="00C87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6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76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76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7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7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7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76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7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76F1"/>
    <w:rPr>
      <w:b/>
      <w:spacing w:val="0"/>
    </w:rPr>
  </w:style>
  <w:style w:type="paragraph" w:customStyle="1" w:styleId="SuperTitle">
    <w:name w:val="SuperTitle"/>
    <w:basedOn w:val="Title"/>
    <w:rsid w:val="00C87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7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6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76F1"/>
    <w:rPr>
      <w:i/>
    </w:rPr>
  </w:style>
  <w:style w:type="paragraph" w:styleId="Caption">
    <w:name w:val="caption"/>
    <w:basedOn w:val="BodyText"/>
    <w:next w:val="Normal"/>
    <w:qFormat/>
    <w:rsid w:val="00C87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6F1"/>
  </w:style>
  <w:style w:type="paragraph" w:styleId="TableofFigures">
    <w:name w:val="table of figures"/>
    <w:basedOn w:val="Normal"/>
    <w:next w:val="Normal"/>
    <w:semiHidden/>
    <w:rsid w:val="00C87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6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76F1"/>
    <w:rPr>
      <w:rFonts w:ascii="Wingdings" w:hAnsi="Wingdings"/>
    </w:rPr>
  </w:style>
  <w:style w:type="paragraph" w:customStyle="1" w:styleId="TableHeading">
    <w:name w:val="Table Heading"/>
    <w:basedOn w:val="HeadingBase"/>
    <w:rsid w:val="00C87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76F1"/>
    <w:rPr>
      <w:color w:val="0033CC"/>
      <w:u w:val="none"/>
    </w:rPr>
  </w:style>
  <w:style w:type="paragraph" w:customStyle="1" w:styleId="BodyTextRight">
    <w:name w:val="Body Text Right"/>
    <w:basedOn w:val="BodyText"/>
    <w:rsid w:val="00C87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6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6F1"/>
    <w:rPr>
      <w:sz w:val="32"/>
    </w:rPr>
  </w:style>
  <w:style w:type="paragraph" w:customStyle="1" w:styleId="HeadingProcedure">
    <w:name w:val="Heading Procedure"/>
    <w:basedOn w:val="HeadingBase"/>
    <w:next w:val="Normal"/>
    <w:rsid w:val="00C87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6F1"/>
    <w:pPr>
      <w:spacing w:before="60" w:after="60"/>
    </w:pPr>
  </w:style>
  <w:style w:type="paragraph" w:styleId="ListContinue">
    <w:name w:val="List Continue"/>
    <w:basedOn w:val="List"/>
    <w:rsid w:val="00C876F1"/>
    <w:pPr>
      <w:ind w:firstLine="0"/>
    </w:pPr>
  </w:style>
  <w:style w:type="paragraph" w:customStyle="1" w:styleId="ListNote">
    <w:name w:val="List Note"/>
    <w:basedOn w:val="List"/>
    <w:rsid w:val="00C87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6F1"/>
    <w:rPr>
      <w:rFonts w:ascii="Courier New" w:hAnsi="Courier New"/>
    </w:rPr>
  </w:style>
  <w:style w:type="paragraph" w:customStyle="1" w:styleId="NoteBullet">
    <w:name w:val="Note Bullet"/>
    <w:basedOn w:val="Note"/>
    <w:rsid w:val="00C87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6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7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6F1"/>
    <w:rPr>
      <w:b/>
      <w:smallCaps/>
    </w:rPr>
  </w:style>
  <w:style w:type="paragraph" w:customStyle="1" w:styleId="TableListNumber">
    <w:name w:val="Table List Number"/>
    <w:basedOn w:val="ListNumber"/>
    <w:rsid w:val="00C87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6F1"/>
    <w:pPr>
      <w:numPr>
        <w:numId w:val="9"/>
      </w:numPr>
    </w:pPr>
  </w:style>
  <w:style w:type="paragraph" w:customStyle="1" w:styleId="ListAlpha2">
    <w:name w:val="List Alpha 2"/>
    <w:basedOn w:val="List2"/>
    <w:rsid w:val="00C876F1"/>
    <w:pPr>
      <w:numPr>
        <w:numId w:val="8"/>
      </w:numPr>
    </w:pPr>
  </w:style>
  <w:style w:type="paragraph" w:styleId="List2">
    <w:name w:val="List 2"/>
    <w:basedOn w:val="BodyText"/>
    <w:rsid w:val="00C87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7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6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76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76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76F1"/>
    <w:pPr>
      <w:numPr>
        <w:numId w:val="4"/>
      </w:numPr>
    </w:pPr>
  </w:style>
  <w:style w:type="paragraph" w:styleId="ListContinue2">
    <w:name w:val="List Continue 2"/>
    <w:basedOn w:val="List2"/>
    <w:rsid w:val="00C876F1"/>
    <w:pPr>
      <w:ind w:firstLine="0"/>
    </w:pPr>
  </w:style>
  <w:style w:type="paragraph" w:styleId="ListContinue3">
    <w:name w:val="List Continue 3"/>
    <w:basedOn w:val="List3"/>
    <w:rsid w:val="00C876F1"/>
    <w:pPr>
      <w:ind w:left="1021" w:firstLine="0"/>
    </w:pPr>
  </w:style>
  <w:style w:type="paragraph" w:styleId="ListContinue4">
    <w:name w:val="List Continue 4"/>
    <w:basedOn w:val="List4"/>
    <w:rsid w:val="00C876F1"/>
    <w:pPr>
      <w:ind w:firstLine="0"/>
    </w:pPr>
  </w:style>
  <w:style w:type="paragraph" w:styleId="ListContinue5">
    <w:name w:val="List Continue 5"/>
    <w:basedOn w:val="List5"/>
    <w:rsid w:val="00C876F1"/>
    <w:pPr>
      <w:ind w:firstLine="0"/>
    </w:pPr>
  </w:style>
  <w:style w:type="paragraph" w:styleId="ListNumber3">
    <w:name w:val="List Number 3"/>
    <w:basedOn w:val="List3"/>
    <w:rsid w:val="00C876F1"/>
    <w:pPr>
      <w:numPr>
        <w:numId w:val="5"/>
      </w:numPr>
    </w:pPr>
  </w:style>
  <w:style w:type="paragraph" w:styleId="ListNumber4">
    <w:name w:val="List Number 4"/>
    <w:basedOn w:val="List4"/>
    <w:rsid w:val="00C876F1"/>
    <w:pPr>
      <w:numPr>
        <w:numId w:val="6"/>
      </w:numPr>
    </w:pPr>
  </w:style>
  <w:style w:type="paragraph" w:styleId="ListNumber5">
    <w:name w:val="List Number 5"/>
    <w:basedOn w:val="List5"/>
    <w:rsid w:val="00C876F1"/>
    <w:pPr>
      <w:numPr>
        <w:numId w:val="7"/>
      </w:numPr>
    </w:pPr>
  </w:style>
  <w:style w:type="paragraph" w:styleId="BlockText">
    <w:name w:val="Block Text"/>
    <w:basedOn w:val="Normal"/>
    <w:rsid w:val="00C87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6F1"/>
    <w:rPr>
      <w:sz w:val="16"/>
      <w:vertAlign w:val="superscript"/>
    </w:rPr>
  </w:style>
  <w:style w:type="character" w:customStyle="1" w:styleId="Symbols">
    <w:name w:val="Symbols"/>
    <w:basedOn w:val="DefaultParagraphFont"/>
    <w:rsid w:val="00C876F1"/>
    <w:rPr>
      <w:rFonts w:ascii="Symbol" w:hAnsi="Symbol"/>
    </w:rPr>
  </w:style>
  <w:style w:type="character" w:customStyle="1" w:styleId="MenuOptions">
    <w:name w:val="Menu Options"/>
    <w:basedOn w:val="DefaultParagraphFont"/>
    <w:rsid w:val="00C87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6F1"/>
    <w:rPr>
      <w:b/>
    </w:rPr>
  </w:style>
  <w:style w:type="character" w:customStyle="1" w:styleId="Underlined">
    <w:name w:val="Underlined"/>
    <w:basedOn w:val="DefaultParagraphFont"/>
    <w:rsid w:val="00C876F1"/>
    <w:rPr>
      <w:u w:val="single"/>
    </w:rPr>
  </w:style>
  <w:style w:type="paragraph" w:customStyle="1" w:styleId="TableBodyTextRight">
    <w:name w:val="Table Body Text Right"/>
    <w:basedOn w:val="TableBodyText"/>
    <w:rsid w:val="00C87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6F1"/>
    <w:rPr>
      <w:sz w:val="18"/>
    </w:rPr>
  </w:style>
  <w:style w:type="paragraph" w:customStyle="1" w:styleId="BodySmallRight">
    <w:name w:val="Body Small Right"/>
    <w:basedOn w:val="BodyTextRight"/>
    <w:rsid w:val="00C876F1"/>
    <w:rPr>
      <w:sz w:val="18"/>
      <w:szCs w:val="18"/>
    </w:rPr>
  </w:style>
  <w:style w:type="paragraph" w:customStyle="1" w:styleId="MarginEdition">
    <w:name w:val="Margin Edition"/>
    <w:basedOn w:val="MarginNote"/>
    <w:rsid w:val="00C87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6F1"/>
    <w:rPr>
      <w:sz w:val="2"/>
      <w:szCs w:val="2"/>
    </w:rPr>
  </w:style>
  <w:style w:type="character" w:customStyle="1" w:styleId="Small">
    <w:name w:val="Small"/>
    <w:basedOn w:val="DefaultParagraphFont"/>
    <w:rsid w:val="00C876F1"/>
    <w:rPr>
      <w:sz w:val="16"/>
    </w:rPr>
  </w:style>
  <w:style w:type="paragraph" w:customStyle="1" w:styleId="WideTable">
    <w:name w:val="Wide Table"/>
    <w:basedOn w:val="Normal"/>
    <w:rsid w:val="00C87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6F1"/>
  </w:style>
  <w:style w:type="paragraph" w:styleId="Quote">
    <w:name w:val="Quote"/>
    <w:basedOn w:val="Heading1"/>
    <w:link w:val="QuoteChar"/>
    <w:qFormat/>
    <w:rsid w:val="00C87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6F1"/>
    <w:pPr>
      <w:pageBreakBefore/>
    </w:pPr>
  </w:style>
  <w:style w:type="paragraph" w:customStyle="1" w:styleId="Border">
    <w:name w:val="Border"/>
    <w:basedOn w:val="Normal"/>
    <w:qFormat/>
    <w:rsid w:val="00C87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6F1"/>
    <w:rPr>
      <w:u w:val="single"/>
    </w:rPr>
  </w:style>
  <w:style w:type="character" w:customStyle="1" w:styleId="BoldandItalics">
    <w:name w:val="Bold and Italics"/>
    <w:qFormat/>
    <w:rsid w:val="00C876F1"/>
    <w:rPr>
      <w:b/>
      <w:i/>
      <w:u w:val="none"/>
    </w:rPr>
  </w:style>
  <w:style w:type="paragraph" w:styleId="BalloonText">
    <w:name w:val="Balloon Text"/>
    <w:basedOn w:val="Normal"/>
    <w:link w:val="BalloonTextChar"/>
    <w:rsid w:val="00C87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76F1"/>
    <w:pPr>
      <w:spacing w:before="0" w:after="0"/>
    </w:pPr>
  </w:style>
  <w:style w:type="paragraph" w:customStyle="1" w:styleId="BodyTextBold">
    <w:name w:val="Body Text Bold"/>
    <w:basedOn w:val="BodyText"/>
    <w:qFormat/>
    <w:rsid w:val="00C876F1"/>
    <w:rPr>
      <w:b/>
    </w:rPr>
  </w:style>
  <w:style w:type="character" w:styleId="Hyperlink">
    <w:name w:val="Hyperlink"/>
    <w:basedOn w:val="DefaultParagraphFont"/>
    <w:uiPriority w:val="99"/>
    <w:unhideWhenUsed/>
    <w:rsid w:val="00B966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6967</Characters>
  <Application>Microsoft Office Word</Application>
  <DocSecurity>0</DocSecurity>
  <Lines>165</Lines>
  <Paragraphs>108</Paragraphs>
  <ScaleCrop>false</ScaleCrop>
  <Company>Author-it Software Corporation Ltd.</Company>
  <LinksUpToDate>false</LinksUpToDate>
  <CharactersWithSpaces>7952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RIIERR602D Establish and maintain underground coal mine emergency preparedness and response systems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2020-07-08T07:09:00Z</dcterms:created>
  <dcterms:modified xsi:type="dcterms:W3CDTF">2020-07-08T07:09:00Z</dcterms:modified>
</cp:coreProperties>
</file>