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625" w:rsidP="00C26625">
      <w:pPr>
        <w:pStyle w:val="Title"/>
      </w:pPr>
      <w:r>
        <w:fldChar w:fldCharType="begin"/>
      </w:r>
      <w:r>
        <w:instrText xml:space="preserve"> TITLE   \* MERGEFORMAT </w:instrText>
      </w:r>
      <w:r>
        <w:fldChar w:fldCharType="separate"/>
      </w:r>
      <w:r>
        <w:t>RIIERR601D Establish and maintain mine emergency preparedness and response systems</w:t>
      </w:r>
      <w:r>
        <w:fldChar w:fldCharType="end"/>
      </w:r>
    </w:p>
    <w:p w:rsidR="00C26625" w:rsidP="00C26625">
      <w:pPr>
        <w:pStyle w:val="Version"/>
        <w:sectPr w:rsidSect="00DF74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74A0" w:rsidP="00DF74A0">
      <w:pPr>
        <w:pStyle w:val="SuperHeading"/>
      </w:pPr>
      <w:r w:rsidRPr="00DF74A0">
        <w:t>RIIERR601D Establish and maintain mine emergency preparedness and response systems</w:t>
      </w:r>
    </w:p>
    <w:p w:rsidR="00000000" w:rsidRPr="00DF74A0" w:rsidP="00DF74A0">
      <w:pPr>
        <w:pStyle w:val="Heading1"/>
      </w:pPr>
      <w:bookmarkStart w:id="1" w:name="O_687615"/>
      <w:bookmarkEnd w:id="1"/>
      <w:r w:rsidRPr="00DF74A0">
        <w:t>Modification History</w:t>
      </w:r>
    </w:p>
    <w:tbl>
      <w:tblPr>
        <w:tblW w:w="9270" w:type="dxa"/>
        <w:tblLayout w:type="fixed"/>
        <w:tblCellMar>
          <w:left w:w="62" w:type="dxa"/>
          <w:right w:w="62" w:type="dxa"/>
        </w:tblCellMar>
        <w:tblLook w:val="0000"/>
      </w:tblPr>
      <w:tblGrid>
        <w:gridCol w:w="1170"/>
        <w:gridCol w:w="8100"/>
      </w:tblGrid>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Comment</w:t>
            </w:r>
          </w:p>
        </w:tc>
      </w:tr>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This unit replaces RIIERR601A Establish and maintain mine emergency preparedness and response systems</w:t>
            </w:r>
          </w:p>
        </w:tc>
      </w:tr>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A0" w:rsidP="00DF74A0">
            <w:pPr>
              <w:pStyle w:val="BodyText"/>
            </w:pPr>
            <w:r w:rsidRPr="00DF74A0">
              <w:t>Required frequency and volume of evidence amended in Performance evidence.</w:t>
            </w:r>
          </w:p>
          <w:p w:rsidR="00000000" w:rsidRPr="00DF74A0" w:rsidP="00DF74A0">
            <w:pPr>
              <w:pStyle w:val="BodyText"/>
            </w:pPr>
            <w:r w:rsidRPr="00DF74A0">
              <w:t>Substantial amendments made in Assessment Conditions field, including: references to Industry Sectors, assessor and subject matter expert experience requirements, how assessment sho</w:t>
            </w:r>
            <w:r w:rsidRPr="00DF74A0">
              <w:t>uld be conducted and what it should confirm.</w:t>
            </w:r>
          </w:p>
        </w:tc>
      </w:tr>
    </w:tbl>
    <w:p w:rsidR="00000000" w:rsidRPr="00DF74A0" w:rsidP="00DF74A0">
      <w:pPr>
        <w:pStyle w:val="BodyText"/>
      </w:pPr>
    </w:p>
    <w:p w:rsidR="00000000" w:rsidRPr="00DF74A0" w:rsidP="00DF74A0">
      <w:pPr>
        <w:pStyle w:val="AllowPageBreak"/>
      </w:pPr>
    </w:p>
    <w:p w:rsidR="00000000" w:rsidRPr="00DF74A0" w:rsidP="00DF74A0">
      <w:pPr>
        <w:pStyle w:val="Heading1"/>
      </w:pPr>
      <w:bookmarkStart w:id="2" w:name="O_687614"/>
      <w:bookmarkEnd w:id="2"/>
      <w:r w:rsidRPr="00DF74A0">
        <w:t>Application</w:t>
      </w:r>
    </w:p>
    <w:p w:rsidR="00000000" w:rsidRPr="00DF74A0" w:rsidP="00C26625">
      <w:pPr>
        <w:pStyle w:val="BodyText"/>
      </w:pPr>
      <w:r w:rsidRPr="00DF74A0">
        <w:t>This unit describes a participant’s skills and knowledge required to establish and maintain mine emergency preparedness and response systems in Coal and Metalliferous mining.</w:t>
      </w:r>
    </w:p>
    <w:p w:rsidR="00000000" w:rsidRPr="00DF74A0" w:rsidP="00C26625">
      <w:pPr>
        <w:pStyle w:val="BodyText"/>
      </w:pPr>
      <w:r w:rsidRPr="00DF74A0">
        <w:t xml:space="preserve">This </w:t>
      </w:r>
      <w:r w:rsidRPr="00DF74A0">
        <w:t>unit is appropriate for those in management roles.</w:t>
      </w:r>
    </w:p>
    <w:p w:rsidR="00C26625" w:rsidP="00C26625">
      <w:pPr>
        <w:pStyle w:val="BodyText"/>
      </w:pPr>
      <w:r w:rsidRPr="00DF74A0">
        <w:t>No licensing, legislation or certification requirements apply to this unit at the time of publication.</w:t>
      </w:r>
    </w:p>
    <w:p w:rsidR="00000000" w:rsidRPr="00DF74A0" w:rsidP="00DF74A0">
      <w:pPr>
        <w:pStyle w:val="Heading1"/>
      </w:pPr>
      <w:bookmarkStart w:id="3" w:name="O_687613"/>
      <w:bookmarkEnd w:id="3"/>
      <w:r w:rsidRPr="00DF74A0">
        <w:t>Unit Sector</w:t>
      </w:r>
    </w:p>
    <w:p w:rsidR="00000000" w:rsidRPr="00DF74A0" w:rsidP="00C26625">
      <w:pPr>
        <w:pStyle w:val="List"/>
      </w:pPr>
      <w:r w:rsidRPr="00DF74A0">
        <w:t>Coal mining</w:t>
      </w:r>
    </w:p>
    <w:p w:rsidR="00C26625" w:rsidP="00C26625">
      <w:pPr>
        <w:pStyle w:val="List"/>
      </w:pPr>
      <w:r w:rsidRPr="00DF74A0">
        <w:t>Metalliferous mining</w:t>
      </w:r>
    </w:p>
    <w:p w:rsidR="00C26625" w:rsidP="00DF74A0">
      <w:pPr>
        <w:pStyle w:val="BodyText"/>
      </w:pPr>
    </w:p>
    <w:p w:rsidR="00000000" w:rsidRPr="00DF74A0" w:rsidP="00DF74A0">
      <w:pPr>
        <w:pStyle w:val="Heading1"/>
      </w:pPr>
      <w:bookmarkStart w:id="4" w:name="O_687611"/>
      <w:bookmarkEnd w:id="4"/>
      <w:r w:rsidRPr="00DF74A0">
        <w:t>Elements and Performance Criteria</w:t>
      </w:r>
    </w:p>
    <w:tbl>
      <w:tblPr>
        <w:tblW w:w="9322" w:type="dxa"/>
        <w:tblLayout w:type="fixed"/>
        <w:tblCellMar>
          <w:left w:w="62" w:type="dxa"/>
          <w:right w:w="62" w:type="dxa"/>
        </w:tblCellMar>
        <w:tblLook w:val="0000"/>
      </w:tblPr>
      <w:tblGrid>
        <w:gridCol w:w="2438"/>
        <w:gridCol w:w="6884"/>
      </w:tblGrid>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1.</w:t>
            </w:r>
            <w:r w:rsidRPr="00DF74A0">
              <w:tab/>
              <w:t>Plan and prepare mine emergency preparedness and response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1.1</w:t>
            </w:r>
            <w:r w:rsidRPr="00DF74A0">
              <w:tab/>
              <w:t xml:space="preserve">Access, interpret and apply fire team operations documentation and ensure the work activity is compliant </w:t>
            </w:r>
          </w:p>
          <w:p w:rsidR="00000000" w:rsidRPr="00DF74A0" w:rsidP="00DF74A0">
            <w:pPr>
              <w:pStyle w:val="BodyText"/>
            </w:pPr>
            <w:r w:rsidRPr="00DF74A0">
              <w:t>1.2</w:t>
            </w:r>
            <w:r w:rsidRPr="00DF74A0">
              <w:tab/>
              <w:t>Obtain, read, interpret, clarify and co</w:t>
            </w:r>
            <w:r w:rsidRPr="00DF74A0">
              <w:t xml:space="preserve">nfirm work requirements </w:t>
            </w:r>
          </w:p>
          <w:p w:rsidR="00000000" w:rsidRPr="00DF74A0" w:rsidP="00DF74A0">
            <w:pPr>
              <w:pStyle w:val="BodyText"/>
            </w:pPr>
            <w:r w:rsidRPr="00DF74A0">
              <w:t>1.3</w:t>
            </w:r>
            <w:r w:rsidRPr="00DF74A0">
              <w:tab/>
              <w:t xml:space="preserve">Identify and address potential risks, hazards and environmental issues and implement control measures </w:t>
            </w:r>
          </w:p>
          <w:p w:rsidR="00000000" w:rsidRPr="00DF74A0" w:rsidP="00DF74A0">
            <w:pPr>
              <w:pStyle w:val="BodyText"/>
            </w:pPr>
            <w:r w:rsidRPr="00DF74A0">
              <w:t>1.4</w:t>
            </w:r>
            <w:r w:rsidRPr="00DF74A0">
              <w:tab/>
              <w:t>Identify, collect, access and interpret mine survey data and historical information relating to the mine site</w:t>
            </w:r>
          </w:p>
          <w:p w:rsidR="00000000" w:rsidRPr="00DF74A0" w:rsidP="00DF74A0">
            <w:pPr>
              <w:pStyle w:val="BodyText"/>
            </w:pPr>
            <w:r w:rsidRPr="00DF74A0">
              <w:t>1.5</w:t>
            </w:r>
            <w:r w:rsidRPr="00DF74A0">
              <w:tab/>
              <w:t>Identi</w:t>
            </w:r>
            <w:r w:rsidRPr="00DF74A0">
              <w:t>fy, in consultation with key stakeholders, the requirements of the systems in accordance with legislative and organisation’s requirements, and from an analysis of all relevant technical and operational information</w:t>
            </w:r>
          </w:p>
          <w:p w:rsidR="00000000" w:rsidRPr="00DF74A0" w:rsidP="00DF74A0">
            <w:pPr>
              <w:pStyle w:val="BodyText"/>
            </w:pPr>
            <w:r w:rsidRPr="00DF74A0">
              <w:t>1.6</w:t>
            </w:r>
            <w:r w:rsidRPr="00DF74A0">
              <w:tab/>
              <w:t>Identify, and consider implications of</w:t>
            </w:r>
            <w:r w:rsidRPr="00DF74A0">
              <w:t>, the resources required to implement and apply the systems</w:t>
            </w:r>
          </w:p>
          <w:p w:rsidR="00000000" w:rsidRPr="00DF74A0" w:rsidP="00DF74A0">
            <w:pPr>
              <w:pStyle w:val="BodyText"/>
            </w:pPr>
            <w:r w:rsidRPr="00DF74A0">
              <w:t>1.7</w:t>
            </w:r>
            <w:r w:rsidRPr="00DF74A0">
              <w:tab/>
              <w:t>Identify, in consultation, the key reporting areas and timeframes</w:t>
            </w:r>
          </w:p>
          <w:p w:rsidR="00000000" w:rsidRPr="00DF74A0" w:rsidP="00DF74A0">
            <w:pPr>
              <w:pStyle w:val="BodyText"/>
            </w:pPr>
            <w:r w:rsidRPr="00DF74A0">
              <w:t>1.8</w:t>
            </w:r>
            <w:r w:rsidRPr="00DF74A0">
              <w:tab/>
              <w:t>Include budgetary requirements/evaluations into the development of the systems</w:t>
            </w:r>
          </w:p>
          <w:p w:rsidR="00000000" w:rsidRPr="00DF74A0" w:rsidP="00DF74A0">
            <w:pPr>
              <w:pStyle w:val="BodyText"/>
            </w:pPr>
            <w:r w:rsidRPr="00DF74A0">
              <w:t>1.9</w:t>
            </w:r>
            <w:r w:rsidRPr="00DF74A0">
              <w:tab/>
              <w:t>Identify the internal and external comm</w:t>
            </w:r>
            <w:r w:rsidRPr="00DF74A0">
              <w:t>unication requirements of the systems</w:t>
            </w:r>
          </w:p>
          <w:p w:rsidR="00000000" w:rsidRPr="00DF74A0" w:rsidP="00DF74A0">
            <w:pPr>
              <w:pStyle w:val="BodyText"/>
            </w:pPr>
            <w:r w:rsidRPr="00DF74A0">
              <w:t>1.10 Identify training program requirements to implement the systems</w:t>
            </w:r>
          </w:p>
          <w:p w:rsidR="00000000" w:rsidRPr="00DF74A0" w:rsidP="00DF74A0">
            <w:pPr>
              <w:pStyle w:val="BodyText"/>
            </w:pPr>
            <w:r w:rsidRPr="00DF74A0">
              <w:t>1.11 Consult with others on how the system is to be implemented, clarify intent and receive feedback</w:t>
            </w:r>
          </w:p>
          <w:p w:rsidR="00000000" w:rsidRPr="00DF74A0" w:rsidP="00DF74A0">
            <w:pPr>
              <w:pStyle w:val="BodyText"/>
            </w:pPr>
            <w:r w:rsidRPr="00DF74A0">
              <w:t>1.12 Identify training needs of emergency respon</w:t>
            </w:r>
            <w:r w:rsidRPr="00DF74A0">
              <w:t>se personnel and prepare training plans</w:t>
            </w:r>
          </w:p>
          <w:p w:rsidR="00000000" w:rsidP="00DF74A0">
            <w:pPr>
              <w:pStyle w:val="BodyText"/>
              <w:rPr>
                <w:lang w:val="en-NZ"/>
              </w:rPr>
            </w:pPr>
            <w:r w:rsidRPr="00DF74A0">
              <w:t>1.13 Prepare and schedule the system review activity</w:t>
            </w:r>
          </w:p>
        </w:tc>
      </w:tr>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2.</w:t>
            </w:r>
            <w:r w:rsidRPr="00DF74A0">
              <w:tab/>
              <w:t>Establish mine emergency preparedness and response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2.1</w:t>
            </w:r>
            <w:r w:rsidRPr="00DF74A0">
              <w:tab/>
              <w:t xml:space="preserve">Identify and obtain the resources required to establish and implement the system </w:t>
            </w:r>
          </w:p>
          <w:p w:rsidR="00000000" w:rsidRPr="00DF74A0" w:rsidP="00DF74A0">
            <w:pPr>
              <w:pStyle w:val="BodyText"/>
            </w:pPr>
            <w:r w:rsidRPr="00DF74A0">
              <w:t>2.2</w:t>
            </w:r>
            <w:r w:rsidRPr="00DF74A0">
              <w:tab/>
            </w:r>
            <w:r w:rsidRPr="00DF74A0">
              <w:t>Design and develop the emergency preparedness plan</w:t>
            </w:r>
          </w:p>
          <w:p w:rsidR="00000000" w:rsidRPr="00DF74A0" w:rsidP="00DF74A0">
            <w:pPr>
              <w:pStyle w:val="BodyText"/>
            </w:pPr>
            <w:r w:rsidRPr="00DF74A0">
              <w:t>2.3</w:t>
            </w:r>
            <w:r w:rsidRPr="00DF74A0">
              <w:tab/>
              <w:t xml:space="preserve">Design and develop an organisational structure for the management of emergency preparedness and response </w:t>
            </w:r>
          </w:p>
          <w:p w:rsidR="00000000" w:rsidRPr="00DF74A0" w:rsidP="00DF74A0">
            <w:pPr>
              <w:pStyle w:val="BodyText"/>
            </w:pPr>
            <w:r w:rsidRPr="00DF74A0">
              <w:t>2.4</w:t>
            </w:r>
            <w:r w:rsidRPr="00DF74A0">
              <w:tab/>
              <w:t xml:space="preserve">Develop emergency response procedures for management of classes of incident from </w:t>
            </w:r>
          </w:p>
          <w:p w:rsidR="00000000" w:rsidRPr="00DF74A0" w:rsidP="00DF74A0">
            <w:pPr>
              <w:pStyle w:val="BodyText"/>
            </w:pPr>
            <w:r w:rsidRPr="00DF74A0">
              <w:t>2.5</w:t>
            </w:r>
            <w:r w:rsidRPr="00DF74A0">
              <w:tab/>
              <w:t>Estab</w:t>
            </w:r>
            <w:r w:rsidRPr="00DF74A0">
              <w:t>lish emergency response procedures for management of decision-making processes and decision monitoring systems</w:t>
            </w:r>
          </w:p>
          <w:p w:rsidR="00000000" w:rsidRPr="00DF74A0" w:rsidP="00DF74A0">
            <w:pPr>
              <w:pStyle w:val="BodyText"/>
            </w:pPr>
            <w:r w:rsidRPr="00DF74A0">
              <w:t>2.6</w:t>
            </w:r>
            <w:r w:rsidRPr="00DF74A0">
              <w:tab/>
              <w:t>Review the plan with relevant stakeholders and specialists</w:t>
            </w:r>
          </w:p>
          <w:p w:rsidR="00000000" w:rsidRPr="00DF74A0" w:rsidP="00DF74A0">
            <w:pPr>
              <w:pStyle w:val="BodyText"/>
            </w:pPr>
            <w:r w:rsidRPr="00DF74A0">
              <w:t>2.7</w:t>
            </w:r>
            <w:r w:rsidRPr="00DF74A0">
              <w:tab/>
              <w:t>Establish a program, including systems and procedures, to satisfy identified o</w:t>
            </w:r>
            <w:r w:rsidRPr="00DF74A0">
              <w:t>rganisation’s emergency preparedness and response training requirements</w:t>
            </w:r>
          </w:p>
          <w:p w:rsidR="00000000" w:rsidRPr="00DF74A0" w:rsidP="00DF74A0">
            <w:pPr>
              <w:pStyle w:val="BodyText"/>
            </w:pPr>
            <w:r w:rsidRPr="00DF74A0">
              <w:t>2.8</w:t>
            </w:r>
            <w:r w:rsidRPr="00DF74A0">
              <w:tab/>
              <w:t>Establish procedures to audit and review organisation’s emergency preparedness and response compliance with statutory and organisation’s requirements</w:t>
            </w:r>
          </w:p>
          <w:p w:rsidR="00000000" w:rsidP="00DF74A0">
            <w:pPr>
              <w:pStyle w:val="BodyText"/>
              <w:rPr>
                <w:lang w:val="en-NZ"/>
              </w:rPr>
            </w:pPr>
            <w:r w:rsidRPr="00DF74A0">
              <w:t>2.9</w:t>
            </w:r>
            <w:r w:rsidRPr="00DF74A0">
              <w:tab/>
              <w:t>Establish procedures for i</w:t>
            </w:r>
            <w:r w:rsidRPr="00DF74A0">
              <w:t>ncorporating feedback into the audit/review system</w:t>
            </w:r>
          </w:p>
        </w:tc>
      </w:tr>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3.</w:t>
            </w:r>
            <w:r w:rsidRPr="00DF74A0">
              <w:tab/>
              <w:t xml:space="preserve">Establish support systems for the mine emergency </w:t>
            </w:r>
            <w:r w:rsidRPr="00DF74A0">
              <w:t xml:space="preserve">preparedness and response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3.1</w:t>
            </w:r>
            <w:r w:rsidRPr="00DF74A0">
              <w:tab/>
              <w:t xml:space="preserve">Establish incident information receiver and recording systems </w:t>
            </w:r>
          </w:p>
          <w:p w:rsidR="00000000" w:rsidRPr="00DF74A0" w:rsidP="00DF74A0">
            <w:pPr>
              <w:pStyle w:val="BodyText"/>
            </w:pPr>
            <w:r w:rsidRPr="00DF74A0">
              <w:t>3.2</w:t>
            </w:r>
            <w:r w:rsidRPr="00DF74A0">
              <w:tab/>
              <w:t>Establish emergency response and evacuation pl</w:t>
            </w:r>
            <w:r w:rsidRPr="00DF74A0">
              <w:t xml:space="preserve">ans and </w:t>
            </w:r>
            <w:r w:rsidRPr="00DF74A0">
              <w:t>procedures</w:t>
            </w:r>
          </w:p>
          <w:p w:rsidR="00000000" w:rsidRPr="00DF74A0" w:rsidP="00DF74A0">
            <w:pPr>
              <w:pStyle w:val="BodyText"/>
            </w:pPr>
            <w:r w:rsidRPr="00DF74A0">
              <w:t>3.3</w:t>
            </w:r>
            <w:r w:rsidRPr="00DF74A0">
              <w:tab/>
              <w:t>Establish operations facilities, including communications to support them</w:t>
            </w:r>
          </w:p>
          <w:p w:rsidR="00000000" w:rsidRPr="00DF74A0" w:rsidP="00DF74A0">
            <w:pPr>
              <w:pStyle w:val="BodyText"/>
            </w:pPr>
            <w:r w:rsidRPr="00DF74A0">
              <w:t>3.4</w:t>
            </w:r>
            <w:r w:rsidRPr="00DF74A0">
              <w:tab/>
              <w:t>Develop action planning processes to manage the situation/incident</w:t>
            </w:r>
          </w:p>
          <w:p w:rsidR="00000000" w:rsidRPr="00DF74A0" w:rsidP="00DF74A0">
            <w:pPr>
              <w:pStyle w:val="BodyText"/>
            </w:pPr>
            <w:r w:rsidRPr="00DF74A0">
              <w:t>3.5</w:t>
            </w:r>
            <w:r w:rsidRPr="00DF74A0">
              <w:tab/>
              <w:t>Identify required services, personnel, equipment and resources for types of incident</w:t>
            </w:r>
            <w:r w:rsidRPr="00DF74A0">
              <w:t>s</w:t>
            </w:r>
          </w:p>
          <w:p w:rsidR="00000000" w:rsidP="00DF74A0">
            <w:pPr>
              <w:pStyle w:val="BodyText"/>
              <w:rPr>
                <w:lang w:val="en-NZ"/>
              </w:rPr>
            </w:pPr>
            <w:r w:rsidRPr="00DF74A0">
              <w:t>3.6</w:t>
            </w:r>
            <w:r w:rsidRPr="00DF74A0">
              <w:tab/>
              <w:t>Determine and establish documentation and reporting requirements</w:t>
            </w:r>
          </w:p>
        </w:tc>
      </w:tr>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4.</w:t>
            </w:r>
            <w:r w:rsidRPr="00DF74A0">
              <w:tab/>
              <w:t>Plan and prepare for the implementation of the mine emergency preparedness and response plans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4.1</w:t>
            </w:r>
            <w:r w:rsidRPr="00DF74A0">
              <w:tab/>
              <w:t>Clearly and concisely communicate and explain, plans and supporting information, in</w:t>
            </w:r>
            <w:r w:rsidRPr="00DF74A0">
              <w:t xml:space="preserve"> a form readily accessible to others</w:t>
            </w:r>
          </w:p>
          <w:p w:rsidR="00000000" w:rsidRPr="00DF74A0" w:rsidP="00DF74A0">
            <w:pPr>
              <w:pStyle w:val="BodyText"/>
            </w:pPr>
            <w:r w:rsidRPr="00DF74A0">
              <w:t>4.2</w:t>
            </w:r>
            <w:r w:rsidRPr="00DF74A0">
              <w:tab/>
              <w:t>Identify, clarify and communicate roles and responsibilities, to all personnel</w:t>
            </w:r>
          </w:p>
          <w:p w:rsidR="00000000" w:rsidRPr="00DF74A0" w:rsidP="00DF74A0">
            <w:pPr>
              <w:pStyle w:val="BodyText"/>
            </w:pPr>
            <w:r w:rsidRPr="00DF74A0">
              <w:t>4.3</w:t>
            </w:r>
            <w:r w:rsidRPr="00DF74A0">
              <w:tab/>
              <w:t>Implement the allocation and installation of resources</w:t>
            </w:r>
          </w:p>
          <w:p w:rsidR="00000000" w:rsidRPr="00DF74A0" w:rsidP="00DF74A0">
            <w:pPr>
              <w:pStyle w:val="BodyText"/>
            </w:pPr>
            <w:r w:rsidRPr="00DF74A0">
              <w:t>4.4</w:t>
            </w:r>
            <w:r w:rsidRPr="00DF74A0">
              <w:tab/>
              <w:t>Implement the emergency preparedness and response training program</w:t>
            </w:r>
          </w:p>
          <w:p w:rsidR="00000000" w:rsidP="00DF74A0">
            <w:pPr>
              <w:pStyle w:val="BodyText"/>
              <w:rPr>
                <w:lang w:val="en-NZ"/>
              </w:rPr>
            </w:pPr>
            <w:r w:rsidRPr="00DF74A0">
              <w:t>4.5</w:t>
            </w:r>
            <w:r w:rsidRPr="00DF74A0">
              <w:tab/>
            </w:r>
            <w:r w:rsidRPr="00DF74A0">
              <w:t>Develop review mechanisms from both internal and external sources</w:t>
            </w:r>
          </w:p>
        </w:tc>
      </w:tr>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5.</w:t>
            </w:r>
            <w:r w:rsidRPr="00DF74A0">
              <w:tab/>
              <w:t>Establish post-incident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5.1</w:t>
            </w:r>
            <w:r w:rsidRPr="00DF74A0">
              <w:tab/>
              <w:t>Establish plans to manage post-incident actions</w:t>
            </w:r>
          </w:p>
          <w:p w:rsidR="00000000" w:rsidRPr="00DF74A0" w:rsidP="00DF74A0">
            <w:pPr>
              <w:pStyle w:val="BodyText"/>
            </w:pPr>
            <w:r w:rsidRPr="00DF74A0">
              <w:t>5.2</w:t>
            </w:r>
            <w:r w:rsidRPr="00DF74A0">
              <w:tab/>
              <w:t>Establish processes to investigate nature and cause of situation/incident</w:t>
            </w:r>
          </w:p>
          <w:p w:rsidR="00000000" w:rsidP="00DF74A0">
            <w:pPr>
              <w:pStyle w:val="BodyText"/>
              <w:rPr>
                <w:lang w:val="en-NZ"/>
              </w:rPr>
            </w:pPr>
            <w:r w:rsidRPr="00DF74A0">
              <w:t>5.3</w:t>
            </w:r>
            <w:r w:rsidRPr="00DF74A0">
              <w:tab/>
              <w:t>Establ</w:t>
            </w:r>
            <w:r w:rsidRPr="00DF74A0">
              <w:t>ish processes to evaluate the effectiveness of emergency response and action plans against objectives</w:t>
            </w:r>
          </w:p>
        </w:tc>
      </w:tr>
      <w:tr w:rsidTr="00DF74A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4A0">
            <w:pPr>
              <w:pStyle w:val="BodyText"/>
              <w:rPr>
                <w:lang w:val="en-NZ"/>
              </w:rPr>
            </w:pPr>
            <w:r w:rsidRPr="00DF74A0">
              <w:t>6.</w:t>
            </w:r>
            <w:r w:rsidRPr="00DF74A0">
              <w:tab/>
              <w:t>Audit and review the mine emergency preparedness and response systems plan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4A0" w:rsidP="00DF74A0">
            <w:pPr>
              <w:pStyle w:val="BodyText"/>
            </w:pPr>
            <w:r w:rsidRPr="00DF74A0">
              <w:t>6.1</w:t>
            </w:r>
            <w:r w:rsidRPr="00DF74A0">
              <w:tab/>
              <w:t xml:space="preserve">Audit and review effectiveness of emergency preparedness </w:t>
            </w:r>
            <w:r w:rsidRPr="00DF74A0">
              <w:t>and response monitoring systems</w:t>
            </w:r>
          </w:p>
          <w:p w:rsidR="00000000" w:rsidRPr="00DF74A0" w:rsidP="00DF74A0">
            <w:pPr>
              <w:pStyle w:val="BodyText"/>
            </w:pPr>
            <w:r w:rsidRPr="00DF74A0">
              <w:t>6.2</w:t>
            </w:r>
            <w:r w:rsidRPr="00DF74A0">
              <w:tab/>
              <w:t>Audit and review effectiveness of emergency preparedness and response processes, resources, and equipment</w:t>
            </w:r>
          </w:p>
          <w:p w:rsidR="00000000" w:rsidRPr="00DF74A0" w:rsidP="00DF74A0">
            <w:pPr>
              <w:pStyle w:val="BodyText"/>
            </w:pPr>
            <w:r w:rsidRPr="00DF74A0">
              <w:t>6.3</w:t>
            </w:r>
            <w:r w:rsidRPr="00DF74A0">
              <w:tab/>
              <w:t>Audit and review effectiveness of recording and reporting systems</w:t>
            </w:r>
          </w:p>
          <w:p w:rsidR="00000000" w:rsidRPr="00DF74A0" w:rsidP="00DF74A0">
            <w:pPr>
              <w:pStyle w:val="BodyText"/>
            </w:pPr>
            <w:r w:rsidRPr="00DF74A0">
              <w:t>6.4</w:t>
            </w:r>
            <w:r w:rsidRPr="00DF74A0">
              <w:tab/>
              <w:t>Audit emergency preparedness and respons</w:t>
            </w:r>
            <w:r w:rsidRPr="00DF74A0">
              <w:t xml:space="preserve">e training program for currency and relevance, and ensure it meets the needs of the, personnel, the site and the system </w:t>
            </w:r>
          </w:p>
          <w:p w:rsidR="00000000" w:rsidRPr="00DF74A0" w:rsidP="00DF74A0">
            <w:pPr>
              <w:pStyle w:val="BodyText"/>
            </w:pPr>
            <w:r w:rsidRPr="00DF74A0">
              <w:t>6.5</w:t>
            </w:r>
            <w:r w:rsidRPr="00DF74A0">
              <w:tab/>
              <w:t>Identify and correct non-compliance or other discrepancies/deficiencies revealed by audit</w:t>
            </w:r>
          </w:p>
        </w:tc>
      </w:tr>
    </w:tbl>
    <w:p w:rsidR="00C26625" w:rsidP="00DF74A0">
      <w:pPr>
        <w:pStyle w:val="BodyText"/>
      </w:pPr>
    </w:p>
    <w:p w:rsidR="00C26625" w:rsidP="00DF74A0">
      <w:pPr>
        <w:pStyle w:val="BodyText"/>
      </w:pPr>
    </w:p>
    <w:p w:rsidR="00000000" w:rsidRPr="00DF74A0" w:rsidP="00DF74A0">
      <w:pPr>
        <w:pStyle w:val="Heading1"/>
      </w:pPr>
      <w:bookmarkStart w:id="5" w:name="O_687610"/>
      <w:bookmarkEnd w:id="5"/>
      <w:r w:rsidRPr="00DF74A0">
        <w:t>Foundation Skills</w:t>
      </w:r>
    </w:p>
    <w:p w:rsidR="00C26625" w:rsidP="00C26625">
      <w:pPr>
        <w:pStyle w:val="BodyText"/>
      </w:pPr>
      <w:r w:rsidRPr="00DF74A0">
        <w:t>Fou</w:t>
      </w:r>
      <w:r w:rsidRPr="00DF74A0">
        <w:t>ndation skills essential to performance are explicit in the performance criteria of this unit. Further information is available in the Resources and Infrastructure Industry Training Package Companion Volume.</w:t>
      </w:r>
    </w:p>
    <w:p w:rsidR="00000000" w:rsidRPr="00DF74A0" w:rsidP="00DF74A0">
      <w:pPr>
        <w:pStyle w:val="Heading1"/>
      </w:pPr>
      <w:bookmarkStart w:id="6" w:name="O_687609"/>
      <w:bookmarkEnd w:id="6"/>
      <w:r w:rsidRPr="00DF74A0">
        <w:t>Unit Mapping Information</w:t>
      </w:r>
    </w:p>
    <w:p w:rsidR="00000000" w:rsidRPr="00DF74A0" w:rsidP="00C26625">
      <w:pPr>
        <w:pStyle w:val="BodyText"/>
      </w:pPr>
      <w:r w:rsidRPr="00DF74A0">
        <w:t>RIIERR601A Establish and maintain mine emergency preparedness and response systems</w:t>
      </w:r>
    </w:p>
    <w:p w:rsidR="00000000" w:rsidRPr="00DF74A0" w:rsidP="00DF74A0">
      <w:pPr>
        <w:pStyle w:val="Heading1"/>
      </w:pPr>
      <w:bookmarkStart w:id="7" w:name="O_687617"/>
      <w:bookmarkEnd w:id="7"/>
      <w:r w:rsidRPr="00DF74A0">
        <w:t>Links</w:t>
      </w:r>
    </w:p>
    <w:p w:rsidR="00000000" w:rsidRPr="00DF74A0" w:rsidP="00C26625">
      <w:pPr>
        <w:pStyle w:val="BodyText"/>
      </w:pPr>
      <w:r w:rsidRPr="00DF74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6D5E">
        <w:rPr>
          <w:rStyle w:val="Hyperlink"/>
        </w:rPr>
        <w:t>https://vetnet.gov.au/Pages/TrainingDocs.aspx?q=88a61002-9a21-4386-aaf8-69c76e675272</w:t>
      </w:r>
      <w:r>
        <w:fldChar w:fldCharType="end"/>
      </w:r>
    </w:p>
    <w:p w:rsidR="00000000" w:rsidRPr="00DF74A0" w:rsidP="00C26625">
      <w:pPr>
        <w:pStyle w:val="BodyText"/>
        <w:sectPr w:rsidSect="00DF74A0">
          <w:headerReference w:type="default" r:id="rId10"/>
          <w:footerReference w:type="default" r:id="rId11"/>
          <w:pgSz w:w="11908" w:h="16833"/>
          <w:pgMar w:top="1702" w:right="1418" w:bottom="1702" w:left="1418" w:header="992" w:footer="992" w:gutter="0"/>
          <w:cols w:space="720"/>
          <w:noEndnote/>
          <w:docGrid w:linePitch="299"/>
        </w:sectPr>
      </w:pPr>
    </w:p>
    <w:p w:rsidR="00000000" w:rsidRPr="00DF74A0" w:rsidP="00DF74A0">
      <w:pPr>
        <w:pStyle w:val="SuperHeading"/>
      </w:pPr>
      <w:r w:rsidRPr="00DF74A0">
        <w:t>Assessment Requirements for RIIERR601D Establish and maintain mine emergency preparedness and response systems</w:t>
      </w:r>
    </w:p>
    <w:p w:rsidR="00000000" w:rsidRPr="00DF74A0" w:rsidP="00DF74A0">
      <w:pPr>
        <w:pStyle w:val="Heading1"/>
      </w:pPr>
      <w:bookmarkStart w:id="8" w:name="O_687607"/>
      <w:bookmarkEnd w:id="8"/>
      <w:r w:rsidRPr="00DF74A0">
        <w:t>Modification History</w:t>
      </w:r>
    </w:p>
    <w:tbl>
      <w:tblPr>
        <w:tblW w:w="9270" w:type="dxa"/>
        <w:tblLayout w:type="fixed"/>
        <w:tblCellMar>
          <w:left w:w="62" w:type="dxa"/>
          <w:right w:w="62" w:type="dxa"/>
        </w:tblCellMar>
        <w:tblLook w:val="0000"/>
      </w:tblPr>
      <w:tblGrid>
        <w:gridCol w:w="1170"/>
        <w:gridCol w:w="8100"/>
      </w:tblGrid>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Comment</w:t>
            </w:r>
          </w:p>
        </w:tc>
      </w:tr>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This unit replaces RIIERR601A Establish and</w:t>
            </w:r>
            <w:r w:rsidRPr="00DF74A0">
              <w:t xml:space="preserve"> maintain mine emergency preparedness and response systems</w:t>
            </w:r>
          </w:p>
        </w:tc>
      </w:tr>
      <w:tr w:rsidTr="00C266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A0">
            <w:pPr>
              <w:pStyle w:val="BodyText"/>
              <w:rPr>
                <w:lang w:val="en-NZ"/>
              </w:rPr>
            </w:pPr>
            <w:r w:rsidRPr="00DF74A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A0" w:rsidP="00DF74A0">
            <w:pPr>
              <w:pStyle w:val="BodyText"/>
            </w:pPr>
            <w:r w:rsidRPr="00DF74A0">
              <w:t>Required frequency and volume of evidence amended in Performance evidence.</w:t>
            </w:r>
          </w:p>
          <w:p w:rsidR="00000000" w:rsidRPr="00DF74A0" w:rsidP="00DF74A0">
            <w:pPr>
              <w:pStyle w:val="BodyText"/>
            </w:pPr>
            <w:r w:rsidRPr="00DF74A0">
              <w:t>Substantial amendments made in Assessment Conditions field, including: references to Industry Sectors, assessor and sub</w:t>
            </w:r>
            <w:r w:rsidRPr="00DF74A0">
              <w:t>ject matter expert experience requirements, how assessment should be conducted and what it should confirm.</w:t>
            </w:r>
          </w:p>
        </w:tc>
      </w:tr>
    </w:tbl>
    <w:p w:rsidR="00000000" w:rsidRPr="00DF74A0" w:rsidP="00DF74A0">
      <w:pPr>
        <w:pStyle w:val="BodyText"/>
      </w:pPr>
    </w:p>
    <w:p w:rsidR="00000000" w:rsidRPr="00DF74A0" w:rsidP="00DF74A0">
      <w:pPr>
        <w:pStyle w:val="AllowPageBreak"/>
      </w:pPr>
    </w:p>
    <w:p w:rsidR="00000000" w:rsidRPr="00DF74A0" w:rsidP="00DF74A0">
      <w:pPr>
        <w:pStyle w:val="Heading1"/>
      </w:pPr>
      <w:bookmarkStart w:id="9" w:name="O_687605"/>
      <w:bookmarkEnd w:id="9"/>
      <w:r w:rsidRPr="00DF74A0">
        <w:t>Performance Evidence</w:t>
      </w:r>
    </w:p>
    <w:p w:rsidR="00000000" w:rsidRPr="00DF74A0" w:rsidP="00C26625">
      <w:pPr>
        <w:pStyle w:val="BodyText"/>
      </w:pPr>
      <w:r w:rsidRPr="00DF74A0">
        <w:t>Evidence is required to be collected that demonstrates a candidate’</w:t>
      </w:r>
      <w:r w:rsidRPr="00DF74A0">
        <w:t>s competency in this unit. Evidence must be relevant to the roles within this sector’s work operations and satisfy all of the requirements of the performance criteria of this unit and include evidence that the candidate:</w:t>
      </w:r>
    </w:p>
    <w:p w:rsidR="00000000" w:rsidRPr="00DF74A0" w:rsidP="00DF74A0">
      <w:pPr>
        <w:pStyle w:val="ListBullet"/>
      </w:pPr>
      <w:r w:rsidRPr="00DF74A0">
        <w:t>locate and apply relevant legislat</w:t>
      </w:r>
      <w:r w:rsidRPr="00DF74A0">
        <w:t>ion, documentation, policies and procedures</w:t>
      </w:r>
    </w:p>
    <w:p w:rsidR="00000000" w:rsidRPr="00DF74A0" w:rsidP="00DF74A0">
      <w:pPr>
        <w:pStyle w:val="ListBullet"/>
      </w:pPr>
      <w:r w:rsidRPr="00DF74A0">
        <w:t>implements procedures and techniques for the safe, effective and efficient establishment and maintenance of the mine emergency preparedness and response systems including:</w:t>
      </w:r>
    </w:p>
    <w:p w:rsidR="00000000" w:rsidRPr="00DF74A0" w:rsidP="00DF74A0">
      <w:pPr>
        <w:pStyle w:val="ListBullet2"/>
      </w:pPr>
      <w:r w:rsidRPr="00DF74A0">
        <w:t>assesses and prioritises implementation</w:t>
      </w:r>
      <w:r w:rsidRPr="00DF74A0">
        <w:t xml:space="preserve"> processes</w:t>
      </w:r>
    </w:p>
    <w:p w:rsidR="00000000" w:rsidRPr="00DF74A0" w:rsidP="00DF74A0">
      <w:pPr>
        <w:pStyle w:val="ListBullet2"/>
      </w:pPr>
      <w:r w:rsidRPr="00DF74A0">
        <w:t>analyses hazards and risks to consider in the establishment and maintenance of the mine emergency preparedness and response systems</w:t>
      </w:r>
    </w:p>
    <w:p w:rsidR="00000000" w:rsidRPr="00DF74A0" w:rsidP="00DF74A0">
      <w:pPr>
        <w:pStyle w:val="ListBullet2"/>
      </w:pPr>
      <w:r w:rsidRPr="00DF74A0">
        <w:t>maintains standards for establishment and maintenance of the mine emergency preparedness and response systems</w:t>
      </w:r>
    </w:p>
    <w:p w:rsidR="00000000" w:rsidRPr="00DF74A0" w:rsidP="00DF74A0">
      <w:pPr>
        <w:pStyle w:val="ListBullet2"/>
      </w:pPr>
      <w:r w:rsidRPr="00DF74A0">
        <w:t>provides clear and timely instruction and supervision to those involved in the mine emergency preparedness and response systems</w:t>
      </w:r>
    </w:p>
    <w:p w:rsidR="00000000" w:rsidRPr="00DF74A0" w:rsidP="00DF74A0">
      <w:pPr>
        <w:pStyle w:val="ListBullet2"/>
      </w:pPr>
      <w:r w:rsidRPr="00DF74A0">
        <w:t>identifies training needs of individuals involved in the mine emergency preparedness and response systems, and prepares training</w:t>
      </w:r>
      <w:r w:rsidRPr="00DF74A0">
        <w:t xml:space="preserve"> plans</w:t>
      </w:r>
    </w:p>
    <w:p w:rsidR="00000000" w:rsidRPr="00DF74A0" w:rsidP="00DF74A0">
      <w:pPr>
        <w:pStyle w:val="ListBullet"/>
      </w:pPr>
      <w:r w:rsidRPr="00DF74A0">
        <w:t xml:space="preserve">works with and leads others to undertake and complete the establishment and maintenance of the mine emergency preparedness and response systems including: </w:t>
      </w:r>
    </w:p>
    <w:p w:rsidR="00000000" w:rsidRPr="00DF74A0" w:rsidP="00DF74A0">
      <w:pPr>
        <w:pStyle w:val="ListBullet2"/>
      </w:pPr>
      <w:r w:rsidRPr="00DF74A0">
        <w:t>facilitating groups to work together</w:t>
      </w:r>
    </w:p>
    <w:p w:rsidR="00000000" w:rsidRPr="00DF74A0" w:rsidP="00DF74A0">
      <w:pPr>
        <w:pStyle w:val="ListBullet2"/>
      </w:pPr>
      <w:r w:rsidRPr="00DF74A0">
        <w:t xml:space="preserve">establishing and maintaining a range of communication </w:t>
      </w:r>
      <w:r w:rsidRPr="00DF74A0">
        <w:t xml:space="preserve">techniques and aids to advise others of work activity </w:t>
      </w:r>
    </w:p>
    <w:p w:rsidR="00000000" w:rsidRPr="00DF74A0" w:rsidP="00DF74A0">
      <w:pPr>
        <w:pStyle w:val="ListBullet2"/>
      </w:pPr>
      <w:r w:rsidRPr="00DF74A0">
        <w:t xml:space="preserve">using written and verbal communication systems to convey all activities and outcomes for coal mine emergency preparedness and response to others in a clear and concise manner </w:t>
      </w:r>
    </w:p>
    <w:p w:rsidR="00000000" w:rsidRPr="00DF74A0" w:rsidP="00DF74A0">
      <w:pPr>
        <w:pStyle w:val="ListBullet"/>
      </w:pPr>
      <w:r w:rsidRPr="00DF74A0">
        <w:t xml:space="preserve">demonstrates completion </w:t>
      </w:r>
      <w:r w:rsidRPr="00DF74A0">
        <w:t>of establishing and maintaining mine emergency preparedness and response systems that safely, effectively and efficiently meets all of the required outcomes on more than one (1) occasion including:</w:t>
      </w:r>
    </w:p>
    <w:p w:rsidR="00000000" w:rsidRPr="00DF74A0" w:rsidP="00DF74A0">
      <w:pPr>
        <w:pStyle w:val="ListBullet2"/>
      </w:pPr>
      <w:r w:rsidRPr="00DF74A0">
        <w:t>establishing processes to investigate nature and cause of</w:t>
      </w:r>
      <w:r w:rsidRPr="00DF74A0">
        <w:t xml:space="preserve"> emergency/incident clearly and concisely communicating and explaining, plans and supporting information, in a form readily accessible to others</w:t>
      </w:r>
    </w:p>
    <w:p w:rsidR="00000000" w:rsidRPr="00DF74A0" w:rsidP="00DF74A0">
      <w:pPr>
        <w:pStyle w:val="ListBullet2"/>
      </w:pPr>
      <w:r w:rsidRPr="00DF74A0">
        <w:t>identifying, clarifying and communicating roles and responsibilities, to all personnel</w:t>
      </w:r>
    </w:p>
    <w:p w:rsidR="00000000" w:rsidRPr="00DF74A0" w:rsidP="00DF74A0">
      <w:pPr>
        <w:pStyle w:val="ListBullet2"/>
      </w:pPr>
      <w:r w:rsidRPr="00DF74A0">
        <w:t>implementing the allocat</w:t>
      </w:r>
      <w:r w:rsidRPr="00DF74A0">
        <w:t>ion and installation of resources</w:t>
      </w:r>
    </w:p>
    <w:p w:rsidR="00000000" w:rsidRPr="00DF74A0" w:rsidP="00DF74A0">
      <w:pPr>
        <w:pStyle w:val="ListBullet2"/>
      </w:pPr>
      <w:r w:rsidRPr="00DF74A0">
        <w:t>implementing the emergency preparedness and response training program</w:t>
      </w:r>
    </w:p>
    <w:p w:rsidR="00000000" w:rsidRPr="00DF74A0" w:rsidP="00DF74A0">
      <w:pPr>
        <w:pStyle w:val="ListBullet2"/>
      </w:pPr>
      <w:r w:rsidRPr="00DF74A0">
        <w:t>developing review mechanisms from both internal and external sources</w:t>
      </w:r>
    </w:p>
    <w:p w:rsidR="00000000" w:rsidRPr="00DF74A0" w:rsidP="00DF74A0">
      <w:pPr>
        <w:pStyle w:val="ListBullet2"/>
      </w:pPr>
      <w:r w:rsidRPr="00DF74A0">
        <w:t>establishing plans to manage post-incident actions</w:t>
      </w:r>
    </w:p>
    <w:p w:rsidR="00000000" w:rsidRPr="00DF74A0" w:rsidP="00DF74A0">
      <w:pPr>
        <w:pStyle w:val="AllowPageBreak"/>
      </w:pPr>
    </w:p>
    <w:p w:rsidR="00000000" w:rsidRPr="00DF74A0" w:rsidP="00DF74A0">
      <w:pPr>
        <w:pStyle w:val="Heading1"/>
      </w:pPr>
      <w:bookmarkStart w:id="10" w:name="O_687603"/>
      <w:bookmarkEnd w:id="10"/>
      <w:r w:rsidRPr="00DF74A0">
        <w:t>Knowledge Evidence</w:t>
      </w:r>
    </w:p>
    <w:p w:rsidR="00000000" w:rsidRPr="00DF74A0" w:rsidP="00C26625">
      <w:pPr>
        <w:pStyle w:val="BodyText"/>
      </w:pPr>
      <w:r w:rsidRPr="00DF74A0">
        <w:t>The candidate must demonstrate knowledge of the following in applying the establish and maintain mine emergency preparedness and response systems through:</w:t>
      </w:r>
    </w:p>
    <w:p w:rsidR="00000000" w:rsidRPr="00DF74A0" w:rsidP="00DF74A0">
      <w:pPr>
        <w:pStyle w:val="ListBullet2"/>
      </w:pPr>
      <w:r w:rsidRPr="00DF74A0">
        <w:t>legislative, regulatory and certification requirements</w:t>
      </w:r>
    </w:p>
    <w:p w:rsidR="00000000" w:rsidRPr="00DF74A0" w:rsidP="00DF74A0">
      <w:pPr>
        <w:pStyle w:val="ListBullet2"/>
      </w:pPr>
      <w:r w:rsidRPr="00DF74A0">
        <w:t>communicating verbally and</w:t>
      </w:r>
      <w:r w:rsidRPr="00DF74A0">
        <w:t xml:space="preserve"> in writing the roles and responsibilities requirements of stakeholders </w:t>
      </w:r>
    </w:p>
    <w:p w:rsidR="00000000" w:rsidRPr="00DF74A0" w:rsidP="00DF74A0">
      <w:pPr>
        <w:pStyle w:val="ListBullet2"/>
      </w:pPr>
      <w:r w:rsidRPr="00DF74A0">
        <w:t>the hazard identification, risk assessment and risk treatment processes</w:t>
      </w:r>
    </w:p>
    <w:p w:rsidR="00000000" w:rsidRPr="00DF74A0" w:rsidP="00DF74A0">
      <w:pPr>
        <w:pStyle w:val="ListBullet2"/>
      </w:pPr>
      <w:r w:rsidRPr="00DF74A0">
        <w:t>incidents and risk analysis data</w:t>
      </w:r>
    </w:p>
    <w:p w:rsidR="00000000" w:rsidRPr="00DF74A0" w:rsidP="00DF74A0">
      <w:pPr>
        <w:pStyle w:val="ListBullet2"/>
      </w:pPr>
      <w:r w:rsidRPr="00DF74A0">
        <w:t>document control requirements</w:t>
      </w:r>
    </w:p>
    <w:p w:rsidR="00000000" w:rsidRPr="00DF74A0" w:rsidP="00DF74A0">
      <w:pPr>
        <w:pStyle w:val="ListBullet2"/>
      </w:pPr>
      <w:r w:rsidRPr="00DF74A0">
        <w:t>consultative, coaching and leadership techniques</w:t>
      </w:r>
    </w:p>
    <w:p w:rsidR="00000000" w:rsidRPr="00DF74A0" w:rsidP="00DF74A0">
      <w:pPr>
        <w:pStyle w:val="ListBullet2"/>
      </w:pPr>
      <w:r w:rsidRPr="00DF74A0">
        <w:t>plant and equipment capabilities and limitations</w:t>
      </w:r>
    </w:p>
    <w:p w:rsidR="00000000" w:rsidRPr="00DF74A0" w:rsidP="00DF74A0">
      <w:pPr>
        <w:pStyle w:val="ListBullet2"/>
      </w:pPr>
      <w:r w:rsidRPr="00DF74A0">
        <w:t>work planning techniques</w:t>
      </w:r>
    </w:p>
    <w:p w:rsidR="00000000" w:rsidRPr="00DF74A0" w:rsidP="00DF74A0">
      <w:pPr>
        <w:pStyle w:val="ListBullet2"/>
      </w:pPr>
      <w:r w:rsidRPr="00DF74A0">
        <w:t>establishing auditing, monitoring, recording and reporting systems, in consultation with stakeholders</w:t>
      </w:r>
    </w:p>
    <w:p w:rsidR="00000000" w:rsidRPr="00DF74A0" w:rsidP="00DF74A0">
      <w:pPr>
        <w:pStyle w:val="ListBullet2"/>
      </w:pPr>
      <w:r w:rsidRPr="00DF74A0">
        <w:t>training systems, identification of training needs for individuals and work gro</w:t>
      </w:r>
      <w:r w:rsidRPr="00DF74A0">
        <w:t>ups, and implementation of training plans</w:t>
      </w:r>
    </w:p>
    <w:p w:rsidR="00000000" w:rsidRPr="00DF74A0" w:rsidP="00DF74A0">
      <w:pPr>
        <w:pStyle w:val="ListBullet2"/>
      </w:pPr>
      <w:r w:rsidRPr="00DF74A0">
        <w:t>consultation, mine emergency response and evacuation planning processes and techniques</w:t>
      </w:r>
    </w:p>
    <w:p w:rsidR="00000000" w:rsidRPr="00DF74A0" w:rsidP="00DF74A0">
      <w:pPr>
        <w:pStyle w:val="ListBullet2"/>
      </w:pPr>
      <w:r w:rsidRPr="00DF74A0">
        <w:t>exploration techniques, ground support methods and systems</w:t>
      </w:r>
    </w:p>
    <w:p w:rsidR="00000000" w:rsidRPr="00DF74A0" w:rsidP="00DF74A0">
      <w:pPr>
        <w:pStyle w:val="ListBullet2"/>
      </w:pPr>
      <w:r w:rsidRPr="00DF74A0">
        <w:t>mine planning and design</w:t>
      </w:r>
    </w:p>
    <w:p w:rsidR="00000000" w:rsidRPr="00DF74A0" w:rsidP="00DF74A0">
      <w:pPr>
        <w:pStyle w:val="ListBullet2"/>
      </w:pPr>
      <w:r w:rsidRPr="00DF74A0">
        <w:t>analysis and use of mine surveying data</w:t>
      </w:r>
    </w:p>
    <w:p w:rsidR="00000000" w:rsidRPr="00DF74A0" w:rsidP="00DF74A0">
      <w:pPr>
        <w:pStyle w:val="ListBullet2"/>
      </w:pPr>
      <w:r w:rsidRPr="00DF74A0">
        <w:t>min</w:t>
      </w:r>
      <w:r w:rsidRPr="00DF74A0">
        <w:t>ing and general engineering principles</w:t>
      </w:r>
    </w:p>
    <w:p w:rsidR="00000000" w:rsidRPr="00DF74A0" w:rsidP="00DF74A0">
      <w:pPr>
        <w:pStyle w:val="ListBullet2"/>
      </w:pPr>
      <w:r w:rsidRPr="00DF74A0">
        <w:t>operational techniques in execution of the systems</w:t>
      </w:r>
    </w:p>
    <w:p w:rsidR="00000000" w:rsidRPr="00DF74A0" w:rsidP="00DF74A0">
      <w:pPr>
        <w:pStyle w:val="ListBullet2"/>
      </w:pPr>
      <w:r w:rsidRPr="00DF74A0">
        <w:t>structure of emergency procedures guidelines</w:t>
      </w:r>
    </w:p>
    <w:p w:rsidR="00000000" w:rsidRPr="00DF74A0" w:rsidP="00DF74A0">
      <w:pPr>
        <w:pStyle w:val="ListBullet2"/>
      </w:pPr>
      <w:r w:rsidRPr="00DF74A0">
        <w:t>legal requirements of incident management teams</w:t>
      </w:r>
    </w:p>
    <w:p w:rsidR="00000000" w:rsidRPr="00DF74A0" w:rsidP="00DF74A0">
      <w:pPr>
        <w:pStyle w:val="ListBullet2"/>
      </w:pPr>
      <w:r w:rsidRPr="00DF74A0">
        <w:t xml:space="preserve">self-escape, aided rescue and respond to incident philosophies, </w:t>
      </w:r>
      <w:r w:rsidRPr="00DF74A0">
        <w:t>systems and equipment</w:t>
      </w:r>
    </w:p>
    <w:p w:rsidR="00000000" w:rsidRPr="00DF74A0" w:rsidP="00DF74A0">
      <w:pPr>
        <w:pStyle w:val="ListBullet2"/>
      </w:pPr>
      <w:r w:rsidRPr="00DF74A0">
        <w:t>structure, roles, capabilities and limitations of external services and agencies relevant to emergency preparedness and response</w:t>
      </w:r>
    </w:p>
    <w:p w:rsidR="00000000" w:rsidRPr="00DF74A0" w:rsidP="00DF74A0">
      <w:pPr>
        <w:pStyle w:val="ListBullet2"/>
      </w:pPr>
      <w:r w:rsidRPr="00DF74A0">
        <w:t>intervention and control techniques for heating, fires, explosions, outburst, extrication or inrushes</w:t>
      </w:r>
    </w:p>
    <w:p w:rsidR="00000000" w:rsidRPr="00DF74A0" w:rsidP="00DF74A0">
      <w:pPr>
        <w:pStyle w:val="ListBullet2"/>
      </w:pPr>
      <w:r w:rsidRPr="00DF74A0">
        <w:t>eff</w:t>
      </w:r>
      <w:r w:rsidRPr="00DF74A0">
        <w:t>ects of heat and humidity on emergency rescue and response</w:t>
      </w:r>
    </w:p>
    <w:p w:rsidR="00000000" w:rsidRPr="00DF74A0" w:rsidP="00DF74A0">
      <w:pPr>
        <w:pStyle w:val="ListBullet2"/>
      </w:pPr>
      <w:r w:rsidRPr="00DF74A0">
        <w:t>effects of impaired visibility on emergency rescue and response</w:t>
      </w:r>
    </w:p>
    <w:p w:rsidR="00000000" w:rsidRPr="00DF74A0" w:rsidP="00DF74A0">
      <w:pPr>
        <w:pStyle w:val="ListBullet2"/>
      </w:pPr>
      <w:r w:rsidRPr="00DF74A0">
        <w:t>escape strategies and technology</w:t>
      </w:r>
    </w:p>
    <w:p w:rsidR="00000000" w:rsidRPr="00DF74A0" w:rsidP="00DF74A0">
      <w:pPr>
        <w:pStyle w:val="ListBullet2"/>
      </w:pPr>
      <w:r w:rsidRPr="00DF74A0">
        <w:t>equipment requirements for different types of emergency</w:t>
      </w:r>
    </w:p>
    <w:p w:rsidR="00000000" w:rsidRPr="00DF74A0" w:rsidP="00DF74A0">
      <w:pPr>
        <w:pStyle w:val="ListBullet2"/>
      </w:pPr>
      <w:r w:rsidRPr="00DF74A0">
        <w:t>ventilation and its influence on incidents</w:t>
      </w:r>
    </w:p>
    <w:p w:rsidR="00000000" w:rsidRPr="00DF74A0" w:rsidP="00DF74A0">
      <w:pPr>
        <w:pStyle w:val="ListBullet2"/>
      </w:pPr>
      <w:r w:rsidRPr="00DF74A0">
        <w:t>c</w:t>
      </w:r>
      <w:r w:rsidRPr="00DF74A0">
        <w:t>all-out procedures</w:t>
      </w:r>
    </w:p>
    <w:p w:rsidR="00000000" w:rsidRPr="00DF74A0" w:rsidP="00DF74A0">
      <w:pPr>
        <w:pStyle w:val="ListBullet2"/>
      </w:pPr>
      <w:r w:rsidRPr="00DF74A0">
        <w:t>emotional effects of emergencies on rescuers and mine personnel</w:t>
      </w:r>
    </w:p>
    <w:p w:rsidR="00000000" w:rsidRPr="00DF74A0" w:rsidP="00DF74A0">
      <w:pPr>
        <w:pStyle w:val="ListBullet2"/>
      </w:pPr>
      <w:r w:rsidRPr="00DF74A0">
        <w:t>titles and roles of members of incident management team</w:t>
      </w:r>
    </w:p>
    <w:p w:rsidR="00000000" w:rsidRPr="00DF74A0" w:rsidP="00DF74A0">
      <w:pPr>
        <w:pStyle w:val="ListBullet2"/>
      </w:pPr>
      <w:r w:rsidRPr="00DF74A0">
        <w:t>use of de-briefing processes</w:t>
      </w:r>
    </w:p>
    <w:p w:rsidR="00000000" w:rsidRPr="00DF74A0" w:rsidP="00DF74A0">
      <w:pPr>
        <w:pStyle w:val="ListBullet2"/>
      </w:pPr>
      <w:r w:rsidRPr="00DF74A0">
        <w:t xml:space="preserve">experience with deployment of staff, and re-deployment after emergency/evacuation </w:t>
      </w:r>
    </w:p>
    <w:p w:rsidR="00000000" w:rsidRPr="00DF74A0" w:rsidP="00DF74A0">
      <w:pPr>
        <w:pStyle w:val="ListBullet2"/>
      </w:pPr>
      <w:r w:rsidRPr="00DF74A0">
        <w:t>aware</w:t>
      </w:r>
      <w:r w:rsidRPr="00DF74A0">
        <w:t>ness of number of personnel needed to run the site at planned operational levels</w:t>
      </w:r>
    </w:p>
    <w:p w:rsidR="00000000" w:rsidRPr="00DF74A0" w:rsidP="00DF74A0">
      <w:pPr>
        <w:pStyle w:val="ListBullet2"/>
      </w:pPr>
      <w:r w:rsidRPr="00DF74A0">
        <w:t>knowledge of the requirements and structure for fresh air base</w:t>
      </w:r>
    </w:p>
    <w:p w:rsidR="00000000" w:rsidRPr="00DF74A0" w:rsidP="00DF74A0">
      <w:pPr>
        <w:pStyle w:val="ListBullet2"/>
      </w:pPr>
      <w:r w:rsidRPr="00DF74A0">
        <w:t>decision-making processes</w:t>
      </w:r>
    </w:p>
    <w:p w:rsidR="00000000" w:rsidRPr="00DF74A0" w:rsidP="00DF74A0">
      <w:pPr>
        <w:pStyle w:val="ListBullet2"/>
      </w:pPr>
      <w:r w:rsidRPr="00DF74A0">
        <w:t>use of the legislation regarding resumption of normal operations</w:t>
      </w:r>
    </w:p>
    <w:p w:rsidR="00000000" w:rsidRPr="00DF74A0" w:rsidP="00DF74A0">
      <w:pPr>
        <w:pStyle w:val="ListBullet2"/>
      </w:pPr>
      <w:r w:rsidRPr="00DF74A0">
        <w:t>experience with the m</w:t>
      </w:r>
      <w:r w:rsidRPr="00DF74A0">
        <w:t>obilisation, deployment and utilisation of equipment</w:t>
      </w:r>
    </w:p>
    <w:p w:rsidR="00000000" w:rsidRPr="00DF74A0" w:rsidP="00DF74A0">
      <w:pPr>
        <w:pStyle w:val="ListBullet2"/>
      </w:pPr>
      <w:r w:rsidRPr="00DF74A0">
        <w:t>consideration of insurance policies and requirements</w:t>
      </w:r>
    </w:p>
    <w:p w:rsidR="00000000" w:rsidRPr="00DF74A0" w:rsidP="00DF74A0">
      <w:pPr>
        <w:pStyle w:val="ListBullet2"/>
      </w:pPr>
      <w:r w:rsidRPr="00DF74A0">
        <w:t>mine closure procedures and the legislative implications</w:t>
      </w:r>
    </w:p>
    <w:p w:rsidR="00000000" w:rsidRPr="00DF74A0" w:rsidP="00DF74A0">
      <w:pPr>
        <w:pStyle w:val="ListBullet2"/>
      </w:pPr>
      <w:r w:rsidRPr="00DF74A0">
        <w:t>sealing procedures and the legislative implications</w:t>
      </w:r>
    </w:p>
    <w:p w:rsidR="00000000" w:rsidRPr="00DF74A0" w:rsidP="00DF74A0">
      <w:pPr>
        <w:pStyle w:val="ListBullet2"/>
      </w:pPr>
      <w:r w:rsidRPr="00DF74A0">
        <w:t>requirements for site security and access control</w:t>
      </w:r>
    </w:p>
    <w:p w:rsidR="00000000" w:rsidRPr="00DF74A0" w:rsidP="00DF74A0">
      <w:pPr>
        <w:pStyle w:val="ListBullet2"/>
      </w:pPr>
      <w:r w:rsidRPr="00DF74A0">
        <w:t>economic considerations and impacts on decisions</w:t>
      </w:r>
    </w:p>
    <w:p w:rsidR="00000000" w:rsidRPr="00DF74A0" w:rsidP="00DF74A0">
      <w:pPr>
        <w:pStyle w:val="AllowPageBreak"/>
      </w:pPr>
    </w:p>
    <w:p w:rsidR="00000000" w:rsidRPr="00DF74A0" w:rsidP="00DF74A0">
      <w:pPr>
        <w:pStyle w:val="Heading1"/>
      </w:pPr>
      <w:bookmarkStart w:id="11" w:name="O_687602"/>
      <w:bookmarkEnd w:id="11"/>
      <w:r w:rsidRPr="00DF74A0">
        <w:t>Assessment Conditions</w:t>
      </w:r>
    </w:p>
    <w:p w:rsidR="00000000" w:rsidRPr="00DF74A0" w:rsidP="00DF74A0">
      <w:pPr>
        <w:pStyle w:val="ListBullet"/>
      </w:pPr>
      <w:r w:rsidRPr="00DF74A0">
        <w:t xml:space="preserve">An assessor of this unit must satisfy the requirements of the NVR/AQTF or their successors; and Industry regulations </w:t>
      </w:r>
      <w:r w:rsidRPr="00DF74A0">
        <w:t xml:space="preserve">for certification and licensing; and, </w:t>
      </w:r>
    </w:p>
    <w:p w:rsidR="00000000" w:rsidRPr="00DF74A0" w:rsidP="00DF74A0">
      <w:pPr>
        <w:pStyle w:val="ListBullet"/>
      </w:pPr>
      <w:r w:rsidRPr="00DF74A0">
        <w:t>this unit is best assessed in the context of this sector’s work environment;</w:t>
      </w:r>
    </w:p>
    <w:p w:rsidR="00000000" w:rsidRPr="00DF74A0" w:rsidP="00DF74A0">
      <w:pPr>
        <w:pStyle w:val="ListBullet"/>
      </w:pPr>
      <w:r w:rsidRPr="00DF74A0">
        <w:t>where personal safety or environmental damage are limiting factors, assessment may occur in a simulated environment provided it is realistic</w:t>
      </w:r>
      <w:r w:rsidRPr="00DF74A0">
        <w:t xml:space="preserve"> and sufficiently rigorous to cover all aspects of this sector’s workplace performance, including environment, task skills, task management skills, contingency management skills and job role environment skills; and,</w:t>
      </w:r>
    </w:p>
    <w:p w:rsidR="00000000" w:rsidRPr="00DF74A0" w:rsidP="00DF74A0">
      <w:pPr>
        <w:pStyle w:val="ListBullet"/>
      </w:pPr>
      <w:r w:rsidRPr="00DF74A0">
        <w:t>this unit must be assessed in compliance</w:t>
      </w:r>
      <w:r w:rsidRPr="00DF74A0">
        <w:t xml:space="preserve"> with relevant legislation/regulation and using policies, procedures, processes and operational manuals directly related to the industry sector for which it is being assessed; and,</w:t>
      </w:r>
    </w:p>
    <w:p w:rsidR="00000000" w:rsidRPr="00DF74A0" w:rsidP="00DF74A0">
      <w:pPr>
        <w:pStyle w:val="ListBullet"/>
      </w:pPr>
      <w:r w:rsidRPr="00DF74A0">
        <w:t>assessment may be conducted in conjunction with the assessment of other Uni</w:t>
      </w:r>
      <w:r w:rsidRPr="00DF74A0">
        <w:t>ts of Competency; and,</w:t>
      </w:r>
    </w:p>
    <w:p w:rsidR="00000000" w:rsidRPr="00DF74A0" w:rsidP="00DF74A0">
      <w:pPr>
        <w:pStyle w:val="ListBullet"/>
      </w:pPr>
      <w:r w:rsidRPr="00DF74A0">
        <w:t>assessment must confirm consistent performance can be applied in a range of relevant workplace circumstances; and,</w:t>
      </w:r>
    </w:p>
    <w:p w:rsidR="00000000" w:rsidRPr="00DF74A0" w:rsidP="00DF74A0">
      <w:pPr>
        <w:pStyle w:val="ListBullet"/>
      </w:pPr>
      <w:r w:rsidRPr="00DF74A0">
        <w:t>assessors must demonstrate the performance evidence, and knowledge evidence as outlined in this Unit of Competency, an</w:t>
      </w:r>
      <w:r w:rsidRPr="00DF74A0">
        <w:t>d through the minimum years of current* work experience specified below in an Industry sector relevant to the outcomes of the unit; or,</w:t>
      </w:r>
    </w:p>
    <w:p w:rsidR="00000000" w:rsidRPr="00DF74A0" w:rsidP="00DF74A0">
      <w:pPr>
        <w:pStyle w:val="ListBullet"/>
      </w:pPr>
      <w:r w:rsidRPr="00DF74A0">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DF74A0">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DF74A0">
        <w:t>including time spent in roles related to the unit being assessed; and,</w:t>
      </w:r>
    </w:p>
    <w:p w:rsidR="00000000" w:rsidRPr="00DF74A0" w:rsidP="00DF74A0">
      <w:pPr>
        <w:pStyle w:val="ListBullet"/>
      </w:pPr>
      <w:r w:rsidRPr="00DF74A0">
        <w:t>assessor and Industry subject matter expert requirements differ depending on the Australian Qualifications Framework Level (AQF) of the qualification being assessed and/or Industry Sect</w:t>
      </w:r>
      <w:r w:rsidRPr="00DF74A0">
        <w:t>or as follows:</w:t>
      </w:r>
    </w:p>
    <w:tbl>
      <w:tblPr>
        <w:tblW w:w="8896" w:type="dxa"/>
        <w:tblInd w:w="360" w:type="dxa"/>
        <w:tblLayout w:type="fixed"/>
        <w:tblCellMar>
          <w:left w:w="62" w:type="dxa"/>
          <w:right w:w="62" w:type="dxa"/>
        </w:tblCellMar>
        <w:tblLook w:val="0000"/>
      </w:tblPr>
      <w:tblGrid>
        <w:gridCol w:w="4218"/>
        <w:gridCol w:w="1559"/>
        <w:gridCol w:w="3119"/>
      </w:tblGrid>
      <w:tr w:rsidTr="00DF74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Required assessor or Industry subject matter expert experience</w:t>
            </w:r>
          </w:p>
        </w:tc>
      </w:tr>
      <w:tr w:rsidTr="00DF74A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1 Year</w:t>
            </w:r>
          </w:p>
        </w:tc>
      </w:tr>
      <w:tr w:rsidTr="00DF74A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2 Years</w:t>
            </w:r>
          </w:p>
        </w:tc>
      </w:tr>
      <w:tr w:rsidTr="00DF74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3 Years</w:t>
            </w:r>
          </w:p>
        </w:tc>
      </w:tr>
      <w:tr w:rsidTr="00DF74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5 Years</w:t>
            </w:r>
          </w:p>
        </w:tc>
      </w:tr>
      <w:tr w:rsidTr="00DF74A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74A0">
            <w:pPr>
              <w:pStyle w:val="BodyText"/>
              <w:rPr>
                <w:lang w:val="en-NZ"/>
              </w:rPr>
            </w:pPr>
            <w:r w:rsidRPr="00DF74A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74A0" w:rsidP="00DF74A0">
            <w:pPr>
              <w:pStyle w:val="BodyText"/>
            </w:pPr>
            <w:r w:rsidRPr="00DF74A0">
              <w:t>Where this Unit is being assessed outside of the Resources and Infrastructure Sectors assessor and/or Industry subject matter expert experience should be in-line with industry standards for the sector in which it is being assessed and where no Industry sta</w:t>
            </w:r>
            <w:r w:rsidRPr="00DF74A0">
              <w:t>ndard is specified should comply with any relevant regulation.</w:t>
            </w:r>
          </w:p>
        </w:tc>
      </w:tr>
    </w:tbl>
    <w:p w:rsidR="00000000" w:rsidRPr="00DF74A0" w:rsidP="00C26625">
      <w:pPr>
        <w:pStyle w:val="BodyText"/>
      </w:pPr>
      <w:r w:rsidRPr="00DF74A0">
        <w:t>*Assessors can demonstrate current work experience through employment within Industry in a role relevant to the outcomes of the Unit; or, for external assessors this can be demonstrated throu</w:t>
      </w:r>
      <w:r w:rsidRPr="00DF74A0">
        <w:t>gh exposure to Industry by conducting frequent site assessments across various locations.</w:t>
      </w:r>
    </w:p>
    <w:p w:rsidR="00000000" w:rsidRPr="00DF74A0" w:rsidP="00C26625">
      <w:pPr>
        <w:pStyle w:val="BodyText"/>
      </w:pPr>
      <w:r w:rsidRPr="00DF74A0">
        <w:t>**Where a unit is being delivered outside of a Qualification the first numeric character in the Unit code should be considered to indicate the AQF level</w:t>
      </w:r>
    </w:p>
    <w:p w:rsidR="00000000" w:rsidRPr="00DF74A0" w:rsidP="00DF74A0">
      <w:pPr>
        <w:pStyle w:val="Heading1"/>
      </w:pPr>
      <w:bookmarkStart w:id="12" w:name="O_687618"/>
      <w:bookmarkEnd w:id="12"/>
      <w:r w:rsidRPr="00DF74A0">
        <w:t>Links</w:t>
      </w:r>
    </w:p>
    <w:p w:rsidR="00000000" w:rsidRPr="00DF74A0" w:rsidP="00C26625">
      <w:pPr>
        <w:pStyle w:val="BodyText"/>
      </w:pPr>
      <w:r w:rsidRPr="00DF74A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6D5E">
        <w:rPr>
          <w:rStyle w:val="Hyperlink"/>
        </w:rPr>
        <w:t>https://vetnet.gov.au/Pages/TrainingDocs.aspx?q=88a61002-9a21-4386-aaf8-69c76e675272</w:t>
      </w:r>
      <w:r>
        <w:fldChar w:fldCharType="end"/>
      </w:r>
    </w:p>
    <w:p w:rsidR="00000000" w:rsidRPr="00DF74A0" w:rsidP="00DF74A0"/>
    <w:sectPr w:rsidSect="00DF74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rsidRPr="00C26625" w:rsidP="00C2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25" w:rsidP="00DF7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6625" w:rsidP="00DF74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6625" w:rsidP="00DF74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rsidP="00DF74A0">
    <w:pPr>
      <w:pStyle w:val="Footer"/>
      <w:framePr w:wrap="around"/>
    </w:pPr>
    <w:r>
      <w:fldChar w:fldCharType="begin"/>
    </w:r>
    <w:r>
      <w:instrText xml:space="preserve"> DOCPROPERTY  Subject  \* MERGEFORMAT </w:instrText>
    </w:r>
    <w:r>
      <w:fldChar w:fldCharType="separate"/>
    </w:r>
    <w:r w:rsidR="00C26625">
      <w:t>Approved</w:t>
    </w:r>
    <w:r w:rsidR="00C26625">
      <w:fldChar w:fldCharType="end"/>
    </w:r>
    <w:r>
      <w:tab/>
      <w:t xml:space="preserve">Page </w:t>
    </w:r>
    <w:r>
      <w:fldChar w:fldCharType="begin"/>
    </w:r>
    <w:r>
      <w:instrText xml:space="preserve"> PAGE  \* Arabic  \* MERGEFORMAT </w:instrText>
    </w:r>
    <w:r>
      <w:fldChar w:fldCharType="separate"/>
    </w:r>
    <w:r w:rsidR="00C266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625">
      <w:rPr>
        <w:noProof/>
      </w:rPr>
      <w:t>6</w:t>
    </w:r>
    <w:r>
      <w:rPr>
        <w:noProof/>
      </w:rPr>
      <w:fldChar w:fldCharType="end"/>
    </w:r>
  </w:p>
  <w:p w:rsidR="00DF74A0" w:rsidP="00DF74A0">
    <w:pPr>
      <w:pStyle w:val="Footer"/>
      <w:framePr w:wrap="around"/>
    </w:pPr>
    <w:r>
      <w:t xml:space="preserve">© Commonwealth of Australia, </w:t>
    </w:r>
    <w:r>
      <w:fldChar w:fldCharType="begin"/>
    </w:r>
    <w:r>
      <w:instrText xml:space="preserve"> DATE  \@ "yyyy"  \* MERGEFORMAT </w:instrText>
    </w:r>
    <w:r>
      <w:fldChar w:fldCharType="separate"/>
    </w:r>
    <w:r w:rsidR="00C26625">
      <w:rPr>
        <w:noProof/>
      </w:rPr>
      <w:t>2025</w:t>
    </w:r>
    <w:r>
      <w:fldChar w:fldCharType="end"/>
    </w:r>
    <w:r>
      <w:tab/>
    </w:r>
    <w:r>
      <w:fldChar w:fldCharType="begin"/>
    </w:r>
    <w:r>
      <w:instrText xml:space="preserve"> DOCPROPERTY  Author  \* MERGEFORMAT </w:instrText>
    </w:r>
    <w:r>
      <w:fldChar w:fldCharType="separate"/>
    </w:r>
    <w:r w:rsidR="00C26625">
      <w:t>Mining and Automotive Skills Alliance</w:t>
    </w:r>
    <w:r w:rsidR="00C26625">
      <w:fldChar w:fldCharType="end"/>
    </w:r>
  </w:p>
  <w:p w:rsidR="00DF74A0" w:rsidP="00DF7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4A0" w:rsidRPr="00C26625" w:rsidP="00C26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25" w:rsidRPr="002D2AF8" w:rsidP="00DF74A0">
    <w:pPr>
      <w:pStyle w:val="Header"/>
      <w:framePr w:wrap="around"/>
    </w:pPr>
    <w:r>
      <w:fldChar w:fldCharType="begin"/>
    </w:r>
    <w:r>
      <w:instrText xml:space="preserve"> TITLE   \* MERGEFORMAT </w:instrText>
    </w:r>
    <w:r>
      <w:fldChar w:fldCharType="separate"/>
    </w:r>
    <w:r>
      <w:t>RIIERR601D Establish and maintain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26625" w:rsidP="00DF74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A0" w:rsidRPr="002D2AF8" w:rsidP="00DF74A0">
    <w:pPr>
      <w:pStyle w:val="Header"/>
      <w:framePr w:wrap="around"/>
    </w:pPr>
    <w:r>
      <w:fldChar w:fldCharType="begin"/>
    </w:r>
    <w:r>
      <w:instrText xml:space="preserve"> TITLE   \* MERGEFORMAT </w:instrText>
    </w:r>
    <w:r>
      <w:fldChar w:fldCharType="separate"/>
    </w:r>
    <w:r w:rsidR="00C26625">
      <w:t>RIIERR601D Establish and maintain mine emergency preparedness and response systems</w:t>
    </w:r>
    <w:r w:rsidR="00C26625">
      <w:fldChar w:fldCharType="end"/>
    </w:r>
    <w:r>
      <w:tab/>
      <w:t xml:space="preserve">Date this document was generated: </w:t>
    </w:r>
    <w:r>
      <w:fldChar w:fldCharType="begin"/>
    </w:r>
    <w:r>
      <w:instrText xml:space="preserve"> CREATEDATE  \@ "d MMMM yyyy"  \* MERGEFORMAT </w:instrText>
    </w:r>
    <w:r>
      <w:fldChar w:fldCharType="separate"/>
    </w:r>
    <w:r w:rsidR="00C26625">
      <w:rPr>
        <w:noProof/>
      </w:rPr>
      <w:t>1 March 2025</w:t>
    </w:r>
    <w:r>
      <w:fldChar w:fldCharType="end"/>
    </w:r>
  </w:p>
  <w:p w:rsidR="00DF74A0" w:rsidP="00DF7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CC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C7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60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4A0"/>
    <w:pPr>
      <w:spacing w:before="360" w:after="60"/>
      <w:outlineLvl w:val="0"/>
    </w:pPr>
    <w:rPr>
      <w:sz w:val="32"/>
    </w:rPr>
  </w:style>
  <w:style w:type="paragraph" w:styleId="Heading2">
    <w:name w:val="heading 2"/>
    <w:basedOn w:val="HeadingBase"/>
    <w:next w:val="BodyText"/>
    <w:link w:val="Heading2Char"/>
    <w:qFormat/>
    <w:rsid w:val="00DF74A0"/>
    <w:pPr>
      <w:keepLines/>
      <w:spacing w:before="240" w:after="120"/>
      <w:outlineLvl w:val="1"/>
    </w:pPr>
    <w:rPr>
      <w:sz w:val="28"/>
      <w:szCs w:val="40"/>
    </w:rPr>
  </w:style>
  <w:style w:type="paragraph" w:styleId="Heading3">
    <w:name w:val="heading 3"/>
    <w:basedOn w:val="HeadingBase"/>
    <w:next w:val="BodyText"/>
    <w:link w:val="Heading3Char"/>
    <w:qFormat/>
    <w:rsid w:val="00DF74A0"/>
    <w:pPr>
      <w:spacing w:before="180" w:after="120"/>
      <w:outlineLvl w:val="2"/>
    </w:pPr>
    <w:rPr>
      <w:spacing w:val="-10"/>
      <w:kern w:val="32"/>
    </w:rPr>
  </w:style>
  <w:style w:type="paragraph" w:styleId="Heading4">
    <w:name w:val="heading 4"/>
    <w:basedOn w:val="HeadingBase"/>
    <w:next w:val="BodyText"/>
    <w:link w:val="Heading4Char"/>
    <w:qFormat/>
    <w:rsid w:val="00DF74A0"/>
    <w:pPr>
      <w:spacing w:before="160" w:after="120"/>
      <w:outlineLvl w:val="3"/>
    </w:pPr>
    <w:rPr>
      <w:sz w:val="22"/>
    </w:rPr>
  </w:style>
  <w:style w:type="paragraph" w:styleId="Heading5">
    <w:name w:val="heading 5"/>
    <w:basedOn w:val="HeadingBase"/>
    <w:next w:val="Normal"/>
    <w:link w:val="Heading5Char"/>
    <w:qFormat/>
    <w:rsid w:val="00DF74A0"/>
    <w:pPr>
      <w:spacing w:before="80"/>
      <w:outlineLvl w:val="4"/>
    </w:pPr>
    <w:rPr>
      <w:color w:val="918585"/>
      <w:sz w:val="20"/>
    </w:rPr>
  </w:style>
  <w:style w:type="paragraph" w:styleId="Heading6">
    <w:name w:val="heading 6"/>
    <w:basedOn w:val="HeadingBase"/>
    <w:next w:val="Normal"/>
    <w:link w:val="Heading6Char"/>
    <w:qFormat/>
    <w:rsid w:val="00DF74A0"/>
    <w:pPr>
      <w:spacing w:before="60"/>
      <w:outlineLvl w:val="5"/>
    </w:pPr>
    <w:rPr>
      <w:color w:val="918585"/>
      <w:sz w:val="20"/>
    </w:rPr>
  </w:style>
  <w:style w:type="paragraph" w:styleId="Heading7">
    <w:name w:val="heading 7"/>
    <w:basedOn w:val="Normal"/>
    <w:next w:val="Normal"/>
    <w:link w:val="Heading7Char"/>
    <w:qFormat/>
    <w:rsid w:val="00DF74A0"/>
    <w:pPr>
      <w:ind w:left="720"/>
      <w:outlineLvl w:val="6"/>
    </w:pPr>
    <w:rPr>
      <w:i/>
    </w:rPr>
  </w:style>
  <w:style w:type="paragraph" w:styleId="Heading8">
    <w:name w:val="heading 8"/>
    <w:basedOn w:val="Normal"/>
    <w:next w:val="Normal"/>
    <w:link w:val="Heading8Char"/>
    <w:qFormat/>
    <w:rsid w:val="00DF74A0"/>
    <w:pPr>
      <w:ind w:left="720"/>
      <w:outlineLvl w:val="7"/>
    </w:pPr>
    <w:rPr>
      <w:i/>
    </w:rPr>
  </w:style>
  <w:style w:type="paragraph" w:styleId="Heading9">
    <w:name w:val="heading 9"/>
    <w:basedOn w:val="Normal"/>
    <w:next w:val="Normal"/>
    <w:link w:val="Heading9Char"/>
    <w:qFormat/>
    <w:rsid w:val="00DF74A0"/>
    <w:pPr>
      <w:ind w:left="720"/>
      <w:outlineLvl w:val="8"/>
    </w:pPr>
    <w:rPr>
      <w:i/>
    </w:rPr>
  </w:style>
  <w:style w:type="character" w:default="1" w:styleId="DefaultParagraphFont">
    <w:name w:val="Default Paragraph Font"/>
    <w:uiPriority w:val="1"/>
    <w:unhideWhenUsed/>
    <w:rsid w:val="00DF7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4A0"/>
  </w:style>
  <w:style w:type="character" w:customStyle="1" w:styleId="Heading1Char">
    <w:name w:val="Heading 1 Char"/>
    <w:basedOn w:val="DefaultParagraphFont"/>
    <w:link w:val="Heading1"/>
    <w:rsid w:val="00DF74A0"/>
    <w:rPr>
      <w:rFonts w:ascii="Times New Roman" w:eastAsia="Times New Roman" w:hAnsi="Times New Roman" w:cs="Times New Roman"/>
      <w:b/>
      <w:sz w:val="32"/>
      <w:szCs w:val="20"/>
      <w:lang w:eastAsia="en-US"/>
    </w:rPr>
  </w:style>
  <w:style w:type="paragraph" w:styleId="BodyText">
    <w:name w:val="Body Text"/>
    <w:basedOn w:val="Normal"/>
    <w:link w:val="BodyTextChar"/>
    <w:rsid w:val="00DF7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4A0"/>
    <w:rPr>
      <w:rFonts w:ascii="Times New Roman" w:eastAsia="Times New Roman" w:hAnsi="Times New Roman" w:cs="Times New Roman"/>
      <w:sz w:val="24"/>
      <w:lang w:eastAsia="en-US"/>
    </w:rPr>
  </w:style>
  <w:style w:type="paragraph" w:styleId="ListBullet">
    <w:name w:val="List Bullet"/>
    <w:basedOn w:val="List"/>
    <w:rsid w:val="00DF74A0"/>
    <w:pPr>
      <w:numPr>
        <w:numId w:val="12"/>
      </w:numPr>
      <w:tabs>
        <w:tab w:val="clear" w:pos="340"/>
      </w:tabs>
      <w:spacing w:before="40" w:after="40"/>
    </w:pPr>
  </w:style>
  <w:style w:type="paragraph" w:styleId="ListBullet2">
    <w:name w:val="List Bullet 2"/>
    <w:basedOn w:val="List2"/>
    <w:rsid w:val="00DF74A0"/>
    <w:pPr>
      <w:numPr>
        <w:numId w:val="13"/>
      </w:numPr>
      <w:tabs>
        <w:tab w:val="clear" w:pos="680"/>
      </w:tabs>
    </w:pPr>
  </w:style>
  <w:style w:type="paragraph" w:customStyle="1" w:styleId="SuperHeading">
    <w:name w:val="SuperHeading"/>
    <w:basedOn w:val="Normal"/>
    <w:rsid w:val="00DF74A0"/>
    <w:pPr>
      <w:spacing w:before="240" w:after="120"/>
      <w:outlineLvl w:val="0"/>
    </w:pPr>
    <w:rPr>
      <w:rFonts w:ascii="Times New Roman" w:hAnsi="Times New Roman"/>
      <w:b/>
      <w:sz w:val="32"/>
    </w:rPr>
  </w:style>
  <w:style w:type="paragraph" w:customStyle="1" w:styleId="AllowPageBreak">
    <w:name w:val="AllowPageBreak"/>
    <w:rsid w:val="00DF74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4A0"/>
    <w:rPr>
      <w:rFonts w:ascii="Courier New" w:eastAsia="Times New Roman" w:hAnsi="Courier New" w:cs="Times New Roman"/>
      <w:i/>
      <w:szCs w:val="20"/>
      <w:lang w:eastAsia="en-US"/>
    </w:rPr>
  </w:style>
  <w:style w:type="paragraph" w:customStyle="1" w:styleId="HeadingBase">
    <w:name w:val="Heading Base"/>
    <w:rsid w:val="00DF7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4A0"/>
    <w:pPr>
      <w:tabs>
        <w:tab w:val="right" w:leader="dot" w:pos="9072"/>
      </w:tabs>
      <w:ind w:left="567"/>
    </w:pPr>
    <w:rPr>
      <w:szCs w:val="22"/>
    </w:rPr>
  </w:style>
  <w:style w:type="paragraph" w:customStyle="1" w:styleId="TOCBase">
    <w:name w:val="TOC Base"/>
    <w:rsid w:val="00DF7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4A0"/>
    <w:pPr>
      <w:tabs>
        <w:tab w:val="right" w:leader="dot" w:pos="9072"/>
      </w:tabs>
      <w:spacing w:before="40" w:after="40"/>
      <w:ind w:left="284"/>
    </w:pPr>
    <w:rPr>
      <w:rFonts w:ascii="Times New Roman" w:hAnsi="Times New Roman"/>
    </w:rPr>
  </w:style>
  <w:style w:type="paragraph" w:styleId="TOC1">
    <w:name w:val="toc 1"/>
    <w:basedOn w:val="TOCBase"/>
    <w:next w:val="Normal"/>
    <w:rsid w:val="00DF7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4A0"/>
    <w:rPr>
      <w:rFonts w:ascii="Times New Roman" w:eastAsia="Times New Roman" w:hAnsi="Times New Roman" w:cs="Times New Roman"/>
      <w:sz w:val="16"/>
      <w:lang w:eastAsia="en-US"/>
    </w:rPr>
  </w:style>
  <w:style w:type="paragraph" w:styleId="Title">
    <w:name w:val="Title"/>
    <w:basedOn w:val="HeadingBase"/>
    <w:link w:val="TitleChar"/>
    <w:qFormat/>
    <w:rsid w:val="00DF74A0"/>
    <w:pPr>
      <w:spacing w:before="5040"/>
      <w:jc w:val="center"/>
    </w:pPr>
    <w:rPr>
      <w:sz w:val="48"/>
      <w:szCs w:val="72"/>
      <w:lang w:val="en-US"/>
    </w:rPr>
  </w:style>
  <w:style w:type="character" w:customStyle="1" w:styleId="TitleChar">
    <w:name w:val="Title Char"/>
    <w:basedOn w:val="DefaultParagraphFont"/>
    <w:link w:val="Title"/>
    <w:rsid w:val="00DF7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4A0"/>
    <w:pPr>
      <w:tabs>
        <w:tab w:val="left" w:pos="3600"/>
        <w:tab w:val="left" w:pos="3958"/>
      </w:tabs>
    </w:pPr>
  </w:style>
  <w:style w:type="paragraph" w:styleId="List">
    <w:name w:val="List"/>
    <w:basedOn w:val="BodyText"/>
    <w:next w:val="BodyText"/>
    <w:rsid w:val="00DF74A0"/>
    <w:pPr>
      <w:tabs>
        <w:tab w:val="left" w:pos="340"/>
      </w:tabs>
      <w:spacing w:before="60" w:after="60"/>
      <w:ind w:left="340" w:hanging="340"/>
    </w:pPr>
  </w:style>
  <w:style w:type="paragraph" w:customStyle="1" w:styleId="Note">
    <w:name w:val="Note"/>
    <w:basedOn w:val="BodyText"/>
    <w:rsid w:val="00DF74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74A0"/>
    <w:rPr>
      <w:b/>
      <w:spacing w:val="0"/>
    </w:rPr>
  </w:style>
  <w:style w:type="paragraph" w:customStyle="1" w:styleId="SuperTitle">
    <w:name w:val="SuperTitle"/>
    <w:basedOn w:val="Title"/>
    <w:rsid w:val="00DF74A0"/>
    <w:pPr>
      <w:framePr w:wrap="auto" w:hAnchor="text" w:y="6049"/>
    </w:pPr>
    <w:rPr>
      <w:color w:val="000000"/>
      <w:sz w:val="40"/>
    </w:rPr>
  </w:style>
  <w:style w:type="paragraph" w:customStyle="1" w:styleId="TOCTitle">
    <w:name w:val="TOCTitle"/>
    <w:basedOn w:val="Heading1"/>
    <w:rsid w:val="00DF74A0"/>
    <w:pPr>
      <w:spacing w:after="240"/>
      <w:jc w:val="center"/>
      <w:outlineLvl w:val="9"/>
    </w:pPr>
    <w:rPr>
      <w:caps/>
    </w:rPr>
  </w:style>
  <w:style w:type="paragraph" w:customStyle="1" w:styleId="Version">
    <w:name w:val="Version"/>
    <w:rsid w:val="00DF7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4A0"/>
    <w:pPr>
      <w:keepNext w:val="0"/>
      <w:tabs>
        <w:tab w:val="right" w:pos="4176"/>
      </w:tabs>
      <w:ind w:left="198" w:hanging="198"/>
    </w:pPr>
    <w:rPr>
      <w:rFonts w:ascii="Garamond" w:hAnsi="Garamond"/>
    </w:rPr>
  </w:style>
  <w:style w:type="paragraph" w:styleId="IndexHeading">
    <w:name w:val="index heading"/>
    <w:basedOn w:val="Normal"/>
    <w:next w:val="Index1"/>
    <w:semiHidden/>
    <w:rsid w:val="00DF74A0"/>
    <w:pPr>
      <w:spacing w:before="120" w:after="120"/>
    </w:pPr>
    <w:rPr>
      <w:rFonts w:ascii="Arial" w:hAnsi="Arial"/>
      <w:b/>
      <w:color w:val="918585"/>
      <w:sz w:val="24"/>
    </w:rPr>
  </w:style>
  <w:style w:type="paragraph" w:styleId="Header">
    <w:name w:val="header"/>
    <w:basedOn w:val="Normal"/>
    <w:link w:val="HeaderChar"/>
    <w:rsid w:val="00DF7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4A0"/>
    <w:rPr>
      <w:rFonts w:ascii="Times New Roman" w:eastAsia="Times New Roman" w:hAnsi="Times New Roman" w:cs="Times New Roman"/>
      <w:sz w:val="16"/>
      <w:szCs w:val="20"/>
      <w:lang w:val="en-GB" w:eastAsia="en-US"/>
    </w:rPr>
  </w:style>
  <w:style w:type="paragraph" w:customStyle="1" w:styleId="Chapter">
    <w:name w:val="Chapter"/>
    <w:basedOn w:val="Normal"/>
    <w:rsid w:val="00DF74A0"/>
    <w:pPr>
      <w:spacing w:before="240"/>
    </w:pPr>
    <w:rPr>
      <w:rFonts w:ascii="Times New Roman" w:hAnsi="Times New Roman"/>
      <w:smallCaps/>
      <w:spacing w:val="80"/>
      <w:sz w:val="28"/>
    </w:rPr>
  </w:style>
  <w:style w:type="paragraph" w:customStyle="1" w:styleId="InChapter">
    <w:name w:val="InChapter"/>
    <w:basedOn w:val="Heading3"/>
    <w:rsid w:val="00DF74A0"/>
    <w:pPr>
      <w:spacing w:after="240"/>
      <w:outlineLvl w:val="9"/>
    </w:pPr>
    <w:rPr>
      <w:noProof/>
    </w:rPr>
  </w:style>
  <w:style w:type="paragraph" w:styleId="Index2">
    <w:name w:val="index 2"/>
    <w:basedOn w:val="Normal"/>
    <w:next w:val="Normal"/>
    <w:semiHidden/>
    <w:rsid w:val="00DF74A0"/>
    <w:pPr>
      <w:tabs>
        <w:tab w:val="right" w:pos="4176"/>
      </w:tabs>
      <w:ind w:left="568" w:hanging="284"/>
    </w:pPr>
    <w:rPr>
      <w:rFonts w:ascii="Garamond" w:hAnsi="Garamond"/>
    </w:rPr>
  </w:style>
  <w:style w:type="paragraph" w:customStyle="1" w:styleId="Byline">
    <w:name w:val="Byline"/>
    <w:rsid w:val="00DF7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4A0"/>
    <w:pPr>
      <w:tabs>
        <w:tab w:val="clear" w:pos="3600"/>
        <w:tab w:val="clear" w:pos="3958"/>
      </w:tabs>
      <w:jc w:val="right"/>
    </w:pPr>
  </w:style>
  <w:style w:type="character" w:styleId="Emphasis">
    <w:name w:val="Emphasis"/>
    <w:basedOn w:val="DefaultParagraphFont"/>
    <w:qFormat/>
    <w:rsid w:val="00DF74A0"/>
    <w:rPr>
      <w:i/>
    </w:rPr>
  </w:style>
  <w:style w:type="paragraph" w:styleId="Caption">
    <w:name w:val="caption"/>
    <w:basedOn w:val="BodyText"/>
    <w:next w:val="Normal"/>
    <w:qFormat/>
    <w:rsid w:val="00DF74A0"/>
    <w:pPr>
      <w:framePr w:w="2268" w:hSpace="181" w:vSpace="181" w:wrap="around" w:vAnchor="text" w:hAnchor="page" w:x="1135" w:y="285" w:anchorLock="1"/>
    </w:pPr>
    <w:rPr>
      <w:i/>
    </w:rPr>
  </w:style>
  <w:style w:type="paragraph" w:customStyle="1" w:styleId="MiniTOCTitle">
    <w:name w:val="MiniTOCTitle"/>
    <w:basedOn w:val="Heading4"/>
    <w:rsid w:val="00DF74A0"/>
    <w:pPr>
      <w:spacing w:before="240"/>
      <w:outlineLvl w:val="9"/>
    </w:pPr>
    <w:rPr>
      <w:noProof/>
      <w:sz w:val="24"/>
    </w:rPr>
  </w:style>
  <w:style w:type="paragraph" w:customStyle="1" w:styleId="MiniTOCItem">
    <w:name w:val="MiniTOCItem"/>
    <w:basedOn w:val="ListBullet"/>
    <w:rsid w:val="00DF74A0"/>
    <w:pPr>
      <w:numPr>
        <w:numId w:val="0"/>
      </w:numPr>
      <w:tabs>
        <w:tab w:val="right" w:leader="dot" w:pos="6521"/>
      </w:tabs>
      <w:spacing w:before="0" w:after="0"/>
    </w:pPr>
  </w:style>
  <w:style w:type="paragraph" w:customStyle="1" w:styleId="TOFTitle">
    <w:name w:val="TOFTitle"/>
    <w:basedOn w:val="TOCTitle"/>
    <w:rsid w:val="00DF74A0"/>
  </w:style>
  <w:style w:type="paragraph" w:styleId="TableofFigures">
    <w:name w:val="table of figures"/>
    <w:basedOn w:val="Normal"/>
    <w:next w:val="Normal"/>
    <w:semiHidden/>
    <w:rsid w:val="00DF74A0"/>
    <w:pPr>
      <w:tabs>
        <w:tab w:val="right" w:leader="dot" w:pos="9072"/>
      </w:tabs>
      <w:ind w:left="970" w:hanging="403"/>
    </w:pPr>
    <w:rPr>
      <w:rFonts w:ascii="Times New Roman" w:hAnsi="Times New Roman"/>
      <w:b/>
    </w:rPr>
  </w:style>
  <w:style w:type="paragraph" w:styleId="ListNumber">
    <w:name w:val="List Number"/>
    <w:basedOn w:val="List"/>
    <w:rsid w:val="00DF74A0"/>
    <w:pPr>
      <w:numPr>
        <w:numId w:val="15"/>
      </w:numPr>
      <w:tabs>
        <w:tab w:val="clear" w:pos="340"/>
      </w:tabs>
    </w:pPr>
  </w:style>
  <w:style w:type="character" w:customStyle="1" w:styleId="WingdingSymbols">
    <w:name w:val="Wingding Symbols"/>
    <w:rsid w:val="00DF74A0"/>
    <w:rPr>
      <w:rFonts w:ascii="Wingdings" w:hAnsi="Wingdings"/>
    </w:rPr>
  </w:style>
  <w:style w:type="paragraph" w:customStyle="1" w:styleId="TableHeading">
    <w:name w:val="Table Heading"/>
    <w:basedOn w:val="HeadingBase"/>
    <w:rsid w:val="00DF74A0"/>
    <w:pPr>
      <w:keepLines/>
      <w:pBdr>
        <w:bottom w:val="single" w:sz="6" w:space="1" w:color="918585"/>
      </w:pBdr>
      <w:spacing w:before="240"/>
    </w:pPr>
  </w:style>
  <w:style w:type="character" w:customStyle="1" w:styleId="HotSpot">
    <w:name w:val="HotSpot"/>
    <w:rsid w:val="00DF74A0"/>
    <w:rPr>
      <w:color w:val="0033CC"/>
      <w:u w:val="none"/>
    </w:rPr>
  </w:style>
  <w:style w:type="paragraph" w:customStyle="1" w:styleId="BodyTextRight">
    <w:name w:val="Body Text Right"/>
    <w:basedOn w:val="BodyText"/>
    <w:rsid w:val="00DF74A0"/>
    <w:pPr>
      <w:spacing w:before="0" w:after="0"/>
      <w:jc w:val="right"/>
    </w:pPr>
  </w:style>
  <w:style w:type="paragraph" w:styleId="Index3">
    <w:name w:val="index 3"/>
    <w:basedOn w:val="ListNumber2"/>
    <w:next w:val="Normal"/>
    <w:semiHidden/>
    <w:rsid w:val="00DF74A0"/>
    <w:pPr>
      <w:numPr>
        <w:numId w:val="0"/>
      </w:numPr>
      <w:tabs>
        <w:tab w:val="right" w:leader="dot" w:pos="4176"/>
      </w:tabs>
    </w:pPr>
  </w:style>
  <w:style w:type="paragraph" w:styleId="ListNumber2">
    <w:name w:val="List Number 2"/>
    <w:basedOn w:val="List2"/>
    <w:rsid w:val="00DF74A0"/>
    <w:pPr>
      <w:numPr>
        <w:numId w:val="10"/>
      </w:numPr>
      <w:tabs>
        <w:tab w:val="clear" w:pos="1060"/>
      </w:tabs>
    </w:pPr>
  </w:style>
  <w:style w:type="paragraph" w:customStyle="1" w:styleId="MarginNote">
    <w:name w:val="Margin Note"/>
    <w:basedOn w:val="BodyText"/>
    <w:rsid w:val="00DF7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4A0"/>
    <w:rPr>
      <w:sz w:val="32"/>
    </w:rPr>
  </w:style>
  <w:style w:type="paragraph" w:customStyle="1" w:styleId="HeadingProcedure">
    <w:name w:val="Heading Procedure"/>
    <w:basedOn w:val="HeadingBase"/>
    <w:next w:val="Normal"/>
    <w:rsid w:val="00DF74A0"/>
    <w:pPr>
      <w:tabs>
        <w:tab w:val="left" w:pos="0"/>
      </w:tabs>
      <w:spacing w:before="120" w:after="60"/>
    </w:pPr>
    <w:rPr>
      <w:i/>
      <w:color w:val="918585"/>
      <w:sz w:val="22"/>
    </w:rPr>
  </w:style>
  <w:style w:type="paragraph" w:customStyle="1" w:styleId="TableBodyText">
    <w:name w:val="Table Body Text"/>
    <w:basedOn w:val="BodyText"/>
    <w:rsid w:val="00DF74A0"/>
    <w:pPr>
      <w:spacing w:before="60" w:after="60"/>
    </w:pPr>
  </w:style>
  <w:style w:type="paragraph" w:styleId="ListContinue">
    <w:name w:val="List Continue"/>
    <w:basedOn w:val="List"/>
    <w:rsid w:val="00DF74A0"/>
    <w:pPr>
      <w:ind w:firstLine="0"/>
    </w:pPr>
  </w:style>
  <w:style w:type="paragraph" w:customStyle="1" w:styleId="ListNote">
    <w:name w:val="List Note"/>
    <w:basedOn w:val="List"/>
    <w:rsid w:val="00DF74A0"/>
    <w:pPr>
      <w:pBdr>
        <w:top w:val="single" w:sz="6" w:space="2" w:color="918585"/>
        <w:bottom w:val="single" w:sz="6" w:space="2" w:color="918585"/>
      </w:pBdr>
      <w:tabs>
        <w:tab w:val="left" w:pos="1021"/>
      </w:tabs>
      <w:ind w:firstLine="0"/>
    </w:pPr>
  </w:style>
  <w:style w:type="paragraph" w:customStyle="1" w:styleId="Warning">
    <w:name w:val="Warning"/>
    <w:basedOn w:val="BodyText"/>
    <w:rsid w:val="00DF74A0"/>
    <w:pPr>
      <w:shd w:val="clear" w:color="auto" w:fill="D9D9D9"/>
      <w:tabs>
        <w:tab w:val="left" w:pos="992"/>
      </w:tabs>
      <w:ind w:left="119" w:right="119"/>
    </w:pPr>
    <w:rPr>
      <w:sz w:val="20"/>
    </w:rPr>
  </w:style>
  <w:style w:type="paragraph" w:customStyle="1" w:styleId="MarginIcons">
    <w:name w:val="Margin Icons"/>
    <w:basedOn w:val="BodyText"/>
    <w:rsid w:val="00DF7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4A0"/>
    <w:rPr>
      <w:rFonts w:ascii="Courier New" w:hAnsi="Courier New"/>
    </w:rPr>
  </w:style>
  <w:style w:type="paragraph" w:customStyle="1" w:styleId="NoteBullet">
    <w:name w:val="Note Bullet"/>
    <w:basedOn w:val="Note"/>
    <w:rsid w:val="00DF74A0"/>
    <w:pPr>
      <w:tabs>
        <w:tab w:val="clear" w:pos="680"/>
      </w:tabs>
      <w:spacing w:before="60" w:after="60"/>
    </w:pPr>
  </w:style>
  <w:style w:type="paragraph" w:customStyle="1" w:styleId="SubHeading2">
    <w:name w:val="SubHeading2"/>
    <w:basedOn w:val="HeadingBase"/>
    <w:rsid w:val="00DF74A0"/>
    <w:pPr>
      <w:spacing w:before="240" w:after="60"/>
    </w:pPr>
    <w:rPr>
      <w:sz w:val="20"/>
    </w:rPr>
  </w:style>
  <w:style w:type="paragraph" w:customStyle="1" w:styleId="SubHeading1">
    <w:name w:val="SubHeading1"/>
    <w:basedOn w:val="HeadingBase"/>
    <w:rsid w:val="00DF74A0"/>
    <w:pPr>
      <w:spacing w:before="240" w:after="60"/>
    </w:pPr>
    <w:rPr>
      <w:color w:val="918585"/>
      <w:sz w:val="22"/>
    </w:rPr>
  </w:style>
  <w:style w:type="paragraph" w:customStyle="1" w:styleId="SideHeading">
    <w:name w:val="Side Heading"/>
    <w:basedOn w:val="HeadingBase"/>
    <w:rsid w:val="00DF7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4A0"/>
    <w:pPr>
      <w:tabs>
        <w:tab w:val="num" w:pos="360"/>
      </w:tabs>
    </w:pPr>
  </w:style>
  <w:style w:type="paragraph" w:styleId="PlainText">
    <w:name w:val="Plain Text"/>
    <w:basedOn w:val="Normal"/>
    <w:link w:val="PlainTextChar"/>
    <w:rsid w:val="00DF74A0"/>
    <w:rPr>
      <w:sz w:val="20"/>
    </w:rPr>
  </w:style>
  <w:style w:type="character" w:customStyle="1" w:styleId="PlainTextChar">
    <w:name w:val="Plain Text Char"/>
    <w:basedOn w:val="DefaultParagraphFont"/>
    <w:link w:val="PlainText"/>
    <w:rsid w:val="00DF74A0"/>
    <w:rPr>
      <w:rFonts w:ascii="Courier New" w:eastAsia="Times New Roman" w:hAnsi="Courier New" w:cs="Times New Roman"/>
      <w:sz w:val="20"/>
      <w:szCs w:val="20"/>
      <w:lang w:eastAsia="en-US"/>
    </w:rPr>
  </w:style>
  <w:style w:type="character" w:customStyle="1" w:styleId="MenuOption">
    <w:name w:val="Menu Option"/>
    <w:basedOn w:val="DefaultParagraphFont"/>
    <w:rsid w:val="00DF74A0"/>
    <w:rPr>
      <w:b/>
      <w:smallCaps/>
    </w:rPr>
  </w:style>
  <w:style w:type="paragraph" w:customStyle="1" w:styleId="TableListNumber">
    <w:name w:val="Table List Number"/>
    <w:basedOn w:val="ListNumber"/>
    <w:rsid w:val="00DF74A0"/>
    <w:pPr>
      <w:numPr>
        <w:numId w:val="0"/>
      </w:numPr>
    </w:pPr>
  </w:style>
  <w:style w:type="paragraph" w:styleId="TOC4">
    <w:name w:val="toc 4"/>
    <w:basedOn w:val="TOCBase"/>
    <w:next w:val="Normal"/>
    <w:semiHidden/>
    <w:rsid w:val="00DF74A0"/>
    <w:pPr>
      <w:tabs>
        <w:tab w:val="right" w:leader="dot" w:pos="9071"/>
      </w:tabs>
      <w:ind w:left="1701"/>
    </w:pPr>
  </w:style>
  <w:style w:type="paragraph" w:customStyle="1" w:styleId="ListAlpha">
    <w:name w:val="List Alpha"/>
    <w:basedOn w:val="List"/>
    <w:rsid w:val="00DF74A0"/>
    <w:pPr>
      <w:numPr>
        <w:numId w:val="9"/>
      </w:numPr>
    </w:pPr>
  </w:style>
  <w:style w:type="paragraph" w:customStyle="1" w:styleId="ListAlpha2">
    <w:name w:val="List Alpha 2"/>
    <w:basedOn w:val="List2"/>
    <w:rsid w:val="00DF74A0"/>
    <w:pPr>
      <w:numPr>
        <w:numId w:val="8"/>
      </w:numPr>
    </w:pPr>
  </w:style>
  <w:style w:type="paragraph" w:styleId="List2">
    <w:name w:val="List 2"/>
    <w:basedOn w:val="BodyText"/>
    <w:rsid w:val="00DF74A0"/>
    <w:pPr>
      <w:tabs>
        <w:tab w:val="left" w:pos="680"/>
      </w:tabs>
      <w:spacing w:before="60" w:after="60"/>
      <w:ind w:left="680" w:hanging="340"/>
    </w:pPr>
  </w:style>
  <w:style w:type="paragraph" w:styleId="List3">
    <w:name w:val="List 3"/>
    <w:basedOn w:val="BodyText"/>
    <w:rsid w:val="00DF74A0"/>
    <w:pPr>
      <w:tabs>
        <w:tab w:val="left" w:pos="1021"/>
      </w:tabs>
      <w:spacing w:before="60" w:after="60"/>
      <w:ind w:left="1020" w:hanging="340"/>
    </w:pPr>
  </w:style>
  <w:style w:type="paragraph" w:styleId="List4">
    <w:name w:val="List 4"/>
    <w:basedOn w:val="BodyText"/>
    <w:rsid w:val="00DF74A0"/>
    <w:pPr>
      <w:tabs>
        <w:tab w:val="left" w:pos="1361"/>
      </w:tabs>
      <w:spacing w:before="60" w:after="60"/>
      <w:ind w:left="1361" w:hanging="340"/>
    </w:pPr>
  </w:style>
  <w:style w:type="paragraph" w:styleId="List5">
    <w:name w:val="List 5"/>
    <w:basedOn w:val="BodyText"/>
    <w:rsid w:val="00DF74A0"/>
    <w:pPr>
      <w:tabs>
        <w:tab w:val="left" w:pos="1701"/>
      </w:tabs>
      <w:spacing w:before="60" w:after="60"/>
      <w:ind w:left="1701" w:hanging="340"/>
    </w:pPr>
  </w:style>
  <w:style w:type="paragraph" w:styleId="ListBullet3">
    <w:name w:val="List Bullet 3"/>
    <w:basedOn w:val="List3"/>
    <w:rsid w:val="00DF74A0"/>
    <w:pPr>
      <w:numPr>
        <w:numId w:val="14"/>
      </w:numPr>
      <w:tabs>
        <w:tab w:val="clear" w:pos="1021"/>
      </w:tabs>
      <w:ind w:left="1037" w:hanging="357"/>
    </w:pPr>
  </w:style>
  <w:style w:type="paragraph" w:styleId="ListBullet4">
    <w:name w:val="List Bullet 4"/>
    <w:basedOn w:val="List4"/>
    <w:rsid w:val="00DF74A0"/>
    <w:pPr>
      <w:numPr>
        <w:numId w:val="3"/>
      </w:numPr>
      <w:tabs>
        <w:tab w:val="clear" w:pos="1361"/>
      </w:tabs>
    </w:pPr>
  </w:style>
  <w:style w:type="paragraph" w:styleId="ListBullet5">
    <w:name w:val="List Bullet 5"/>
    <w:basedOn w:val="List5"/>
    <w:rsid w:val="00DF74A0"/>
    <w:pPr>
      <w:numPr>
        <w:numId w:val="4"/>
      </w:numPr>
    </w:pPr>
  </w:style>
  <w:style w:type="paragraph" w:styleId="ListContinue2">
    <w:name w:val="List Continue 2"/>
    <w:basedOn w:val="List2"/>
    <w:rsid w:val="00DF74A0"/>
    <w:pPr>
      <w:ind w:firstLine="0"/>
    </w:pPr>
  </w:style>
  <w:style w:type="paragraph" w:styleId="ListContinue3">
    <w:name w:val="List Continue 3"/>
    <w:basedOn w:val="List3"/>
    <w:rsid w:val="00DF74A0"/>
    <w:pPr>
      <w:ind w:left="1021" w:firstLine="0"/>
    </w:pPr>
  </w:style>
  <w:style w:type="paragraph" w:styleId="ListContinue4">
    <w:name w:val="List Continue 4"/>
    <w:basedOn w:val="List4"/>
    <w:rsid w:val="00DF74A0"/>
    <w:pPr>
      <w:ind w:firstLine="0"/>
    </w:pPr>
  </w:style>
  <w:style w:type="paragraph" w:styleId="ListContinue5">
    <w:name w:val="List Continue 5"/>
    <w:basedOn w:val="List5"/>
    <w:rsid w:val="00DF74A0"/>
    <w:pPr>
      <w:ind w:firstLine="0"/>
    </w:pPr>
  </w:style>
  <w:style w:type="paragraph" w:styleId="ListNumber3">
    <w:name w:val="List Number 3"/>
    <w:basedOn w:val="List3"/>
    <w:rsid w:val="00DF74A0"/>
    <w:pPr>
      <w:numPr>
        <w:numId w:val="5"/>
      </w:numPr>
    </w:pPr>
  </w:style>
  <w:style w:type="paragraph" w:styleId="ListNumber4">
    <w:name w:val="List Number 4"/>
    <w:basedOn w:val="List4"/>
    <w:rsid w:val="00DF74A0"/>
    <w:pPr>
      <w:numPr>
        <w:numId w:val="6"/>
      </w:numPr>
    </w:pPr>
  </w:style>
  <w:style w:type="paragraph" w:styleId="ListNumber5">
    <w:name w:val="List Number 5"/>
    <w:basedOn w:val="List5"/>
    <w:rsid w:val="00DF74A0"/>
    <w:pPr>
      <w:numPr>
        <w:numId w:val="7"/>
      </w:numPr>
    </w:pPr>
  </w:style>
  <w:style w:type="paragraph" w:styleId="BlockText">
    <w:name w:val="Block Text"/>
    <w:basedOn w:val="Normal"/>
    <w:rsid w:val="00DF74A0"/>
    <w:pPr>
      <w:spacing w:after="120"/>
      <w:ind w:left="1440" w:right="1440"/>
    </w:pPr>
  </w:style>
  <w:style w:type="character" w:customStyle="1" w:styleId="Subscript">
    <w:name w:val="Subscript"/>
    <w:basedOn w:val="DefaultParagraphFont"/>
    <w:rsid w:val="00DF74A0"/>
    <w:rPr>
      <w:sz w:val="16"/>
      <w:vertAlign w:val="subscript"/>
    </w:rPr>
  </w:style>
  <w:style w:type="character" w:customStyle="1" w:styleId="Superscript">
    <w:name w:val="Superscript"/>
    <w:basedOn w:val="DefaultParagraphFont"/>
    <w:rsid w:val="00DF74A0"/>
    <w:rPr>
      <w:sz w:val="16"/>
      <w:vertAlign w:val="superscript"/>
    </w:rPr>
  </w:style>
  <w:style w:type="character" w:customStyle="1" w:styleId="Symbols">
    <w:name w:val="Symbols"/>
    <w:basedOn w:val="DefaultParagraphFont"/>
    <w:rsid w:val="00DF74A0"/>
    <w:rPr>
      <w:rFonts w:ascii="Symbol" w:hAnsi="Symbol"/>
    </w:rPr>
  </w:style>
  <w:style w:type="character" w:customStyle="1" w:styleId="MenuOptions">
    <w:name w:val="Menu Options"/>
    <w:basedOn w:val="DefaultParagraphFont"/>
    <w:rsid w:val="00DF74A0"/>
    <w:rPr>
      <w:rFonts w:ascii="Arial Narrow" w:hAnsi="Arial Narrow"/>
      <w:smallCaps/>
    </w:rPr>
  </w:style>
  <w:style w:type="character" w:customStyle="1" w:styleId="Buttons">
    <w:name w:val="Buttons"/>
    <w:basedOn w:val="DefaultParagraphFont"/>
    <w:rsid w:val="00DF74A0"/>
    <w:rPr>
      <w:b/>
    </w:rPr>
  </w:style>
  <w:style w:type="character" w:customStyle="1" w:styleId="Underlined">
    <w:name w:val="Underlined"/>
    <w:basedOn w:val="DefaultParagraphFont"/>
    <w:rsid w:val="00DF74A0"/>
    <w:rPr>
      <w:u w:val="single"/>
    </w:rPr>
  </w:style>
  <w:style w:type="paragraph" w:customStyle="1" w:styleId="TableBodyTextRight">
    <w:name w:val="Table Body Text Right"/>
    <w:basedOn w:val="TableBodyText"/>
    <w:rsid w:val="00DF74A0"/>
    <w:pPr>
      <w:widowControl w:val="0"/>
      <w:autoSpaceDE w:val="0"/>
      <w:autoSpaceDN w:val="0"/>
      <w:adjustRightInd w:val="0"/>
      <w:jc w:val="right"/>
    </w:pPr>
    <w:rPr>
      <w:rFonts w:cs="Arial"/>
      <w:szCs w:val="18"/>
    </w:rPr>
  </w:style>
  <w:style w:type="paragraph" w:customStyle="1" w:styleId="CopyrightText">
    <w:name w:val="Copyright Text"/>
    <w:basedOn w:val="BodyText"/>
    <w:rsid w:val="00DF74A0"/>
    <w:rPr>
      <w:sz w:val="18"/>
    </w:rPr>
  </w:style>
  <w:style w:type="paragraph" w:customStyle="1" w:styleId="BodySmallRight">
    <w:name w:val="Body Small Right"/>
    <w:basedOn w:val="BodyTextRight"/>
    <w:rsid w:val="00DF74A0"/>
    <w:rPr>
      <w:sz w:val="18"/>
      <w:szCs w:val="18"/>
    </w:rPr>
  </w:style>
  <w:style w:type="paragraph" w:customStyle="1" w:styleId="MarginEdition">
    <w:name w:val="Margin Edition"/>
    <w:basedOn w:val="MarginNote"/>
    <w:rsid w:val="00DF74A0"/>
    <w:pPr>
      <w:spacing w:before="0" w:after="0"/>
    </w:pPr>
    <w:rPr>
      <w:rFonts w:ascii="Times New Roman" w:hAnsi="Times New Roman"/>
      <w:color w:val="999999"/>
    </w:rPr>
  </w:style>
  <w:style w:type="paragraph" w:customStyle="1" w:styleId="Spacer">
    <w:name w:val="Spacer"/>
    <w:basedOn w:val="Normal"/>
    <w:rsid w:val="00DF74A0"/>
    <w:rPr>
      <w:sz w:val="2"/>
      <w:szCs w:val="2"/>
    </w:rPr>
  </w:style>
  <w:style w:type="character" w:customStyle="1" w:styleId="Small">
    <w:name w:val="Small"/>
    <w:basedOn w:val="DefaultParagraphFont"/>
    <w:rsid w:val="00DF74A0"/>
    <w:rPr>
      <w:sz w:val="16"/>
    </w:rPr>
  </w:style>
  <w:style w:type="paragraph" w:customStyle="1" w:styleId="WideTable">
    <w:name w:val="Wide Table"/>
    <w:basedOn w:val="Normal"/>
    <w:rsid w:val="00DF74A0"/>
    <w:pPr>
      <w:ind w:left="-1418"/>
    </w:pPr>
    <w:rPr>
      <w:sz w:val="2"/>
      <w:szCs w:val="2"/>
    </w:rPr>
  </w:style>
  <w:style w:type="character" w:styleId="PageNumber">
    <w:name w:val="page number"/>
    <w:basedOn w:val="DefaultParagraphFont"/>
    <w:rsid w:val="00DF74A0"/>
  </w:style>
  <w:style w:type="paragraph" w:styleId="Quote">
    <w:name w:val="Quote"/>
    <w:basedOn w:val="Heading1"/>
    <w:link w:val="QuoteChar"/>
    <w:qFormat/>
    <w:rsid w:val="00DF74A0"/>
    <w:rPr>
      <w:b w:val="0"/>
      <w:sz w:val="72"/>
      <w:szCs w:val="72"/>
      <w:lang w:val="en-NZ"/>
    </w:rPr>
  </w:style>
  <w:style w:type="character" w:customStyle="1" w:styleId="QuoteChar">
    <w:name w:val="Quote Char"/>
    <w:basedOn w:val="DefaultParagraphFont"/>
    <w:link w:val="Quote"/>
    <w:rsid w:val="00DF7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4A0"/>
    <w:pPr>
      <w:pageBreakBefore/>
    </w:pPr>
  </w:style>
  <w:style w:type="paragraph" w:customStyle="1" w:styleId="Border">
    <w:name w:val="Border"/>
    <w:basedOn w:val="Normal"/>
    <w:qFormat/>
    <w:rsid w:val="00DF7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4A0"/>
    <w:rPr>
      <w:b/>
      <w:bCs/>
      <w:i/>
      <w:iCs/>
      <w:color w:val="auto"/>
    </w:rPr>
  </w:style>
  <w:style w:type="paragraph" w:styleId="IntenseQuote">
    <w:name w:val="Intense Quote"/>
    <w:basedOn w:val="Normal"/>
    <w:next w:val="Normal"/>
    <w:link w:val="IntenseQuoteChar"/>
    <w:uiPriority w:val="30"/>
    <w:qFormat/>
    <w:rsid w:val="00DF7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4A0"/>
    <w:rPr>
      <w:smallCaps/>
      <w:color w:val="auto"/>
      <w:u w:val="single"/>
    </w:rPr>
  </w:style>
  <w:style w:type="character" w:styleId="IntenseReference">
    <w:name w:val="Intense Reference"/>
    <w:basedOn w:val="DefaultParagraphFont"/>
    <w:uiPriority w:val="32"/>
    <w:qFormat/>
    <w:rsid w:val="00DF74A0"/>
    <w:rPr>
      <w:b/>
      <w:bCs/>
      <w:smallCaps/>
      <w:color w:val="auto"/>
      <w:spacing w:val="5"/>
      <w:u w:val="single"/>
    </w:rPr>
  </w:style>
  <w:style w:type="paragraph" w:customStyle="1" w:styleId="2ColumnHeading">
    <w:name w:val="2Column Heading"/>
    <w:basedOn w:val="BodyText"/>
    <w:qFormat/>
    <w:rsid w:val="00DF74A0"/>
    <w:pPr>
      <w:spacing w:after="60"/>
      <w:ind w:left="-2268"/>
    </w:pPr>
    <w:rPr>
      <w:b/>
    </w:rPr>
  </w:style>
  <w:style w:type="paragraph" w:customStyle="1" w:styleId="Heading1TOC">
    <w:name w:val="Heading1 TOC"/>
    <w:basedOn w:val="Normal"/>
    <w:qFormat/>
    <w:rsid w:val="00DF74A0"/>
    <w:pPr>
      <w:spacing w:before="240" w:after="120"/>
    </w:pPr>
    <w:rPr>
      <w:rFonts w:ascii="Times New Roman" w:hAnsi="Times New Roman"/>
      <w:b/>
      <w:sz w:val="32"/>
    </w:rPr>
  </w:style>
  <w:style w:type="paragraph" w:customStyle="1" w:styleId="Heading2TOC">
    <w:name w:val="Heading2 TOC"/>
    <w:basedOn w:val="Normal"/>
    <w:qFormat/>
    <w:rsid w:val="00DF74A0"/>
    <w:pPr>
      <w:spacing w:before="240" w:after="60"/>
    </w:pPr>
    <w:rPr>
      <w:rFonts w:ascii="Times New Roman" w:hAnsi="Times New Roman"/>
      <w:b/>
      <w:sz w:val="28"/>
    </w:rPr>
  </w:style>
  <w:style w:type="character" w:customStyle="1" w:styleId="Underline">
    <w:name w:val="Underline"/>
    <w:basedOn w:val="DefaultParagraphFont"/>
    <w:qFormat/>
    <w:rsid w:val="00DF74A0"/>
    <w:rPr>
      <w:u w:val="single"/>
    </w:rPr>
  </w:style>
  <w:style w:type="character" w:customStyle="1" w:styleId="BoldandItalics">
    <w:name w:val="Bold and Italics"/>
    <w:qFormat/>
    <w:rsid w:val="00DF74A0"/>
    <w:rPr>
      <w:b/>
      <w:i/>
      <w:u w:val="none"/>
    </w:rPr>
  </w:style>
  <w:style w:type="paragraph" w:styleId="BalloonText">
    <w:name w:val="Balloon Text"/>
    <w:basedOn w:val="Normal"/>
    <w:link w:val="BalloonTextChar"/>
    <w:rsid w:val="00DF74A0"/>
    <w:rPr>
      <w:rFonts w:ascii="Tahoma" w:hAnsi="Tahoma" w:cs="Tahoma"/>
      <w:sz w:val="16"/>
      <w:szCs w:val="16"/>
    </w:rPr>
  </w:style>
  <w:style w:type="character" w:customStyle="1" w:styleId="BalloonTextChar">
    <w:name w:val="Balloon Text Char"/>
    <w:basedOn w:val="DefaultParagraphFont"/>
    <w:link w:val="BalloonText"/>
    <w:rsid w:val="00DF7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4A0"/>
    <w:rPr>
      <w:b/>
      <w:color w:val="660033"/>
      <w:spacing w:val="0"/>
    </w:rPr>
  </w:style>
  <w:style w:type="paragraph" w:customStyle="1" w:styleId="Nameditemlist">
    <w:name w:val="Named item list"/>
    <w:basedOn w:val="BodyText"/>
    <w:qFormat/>
    <w:rsid w:val="00DF74A0"/>
    <w:pPr>
      <w:tabs>
        <w:tab w:val="left" w:pos="2835"/>
      </w:tabs>
      <w:ind w:left="2835" w:hanging="2835"/>
    </w:pPr>
  </w:style>
  <w:style w:type="paragraph" w:customStyle="1" w:styleId="BodyTextnopadding">
    <w:name w:val="Body Text no padding"/>
    <w:basedOn w:val="BodyText"/>
    <w:qFormat/>
    <w:rsid w:val="00DF74A0"/>
    <w:pPr>
      <w:spacing w:before="0" w:after="0"/>
    </w:pPr>
  </w:style>
  <w:style w:type="paragraph" w:customStyle="1" w:styleId="BodyTextBold">
    <w:name w:val="Body Text Bold"/>
    <w:basedOn w:val="BodyText"/>
    <w:qFormat/>
    <w:rsid w:val="00DF74A0"/>
    <w:rPr>
      <w:b/>
    </w:rPr>
  </w:style>
  <w:style w:type="character" w:styleId="Hyperlink">
    <w:name w:val="Hyperlink"/>
    <w:basedOn w:val="DefaultParagraphFont"/>
    <w:uiPriority w:val="99"/>
    <w:unhideWhenUsed/>
    <w:rsid w:val="00C26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1995</Words>
  <Characters>12935</Characters>
  <Application>Microsoft Office Word</Application>
  <DocSecurity>0</DocSecurity>
  <Lines>340</Lines>
  <Paragraphs>201</Paragraphs>
  <ScaleCrop>false</ScaleCrop>
  <Company>Author-it Software Corporation Ltd.</Company>
  <LinksUpToDate>false</LinksUpToDate>
  <CharactersWithSpaces>14729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RIIERR601D Establish and maintain mine emergency preparedness and response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