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C19" w:rsidP="00AD1C19">
      <w:pPr>
        <w:pStyle w:val="Title"/>
      </w:pPr>
      <w:r>
        <w:fldChar w:fldCharType="begin"/>
      </w:r>
      <w:r>
        <w:instrText xml:space="preserve"> TITLE   \* MERGEFORMAT </w:instrText>
      </w:r>
      <w:r>
        <w:fldChar w:fldCharType="separate"/>
      </w:r>
      <w:r>
        <w:t>Assessment Requirements for RIIERR601D Establish and maintain mine emergency preparedness and response systems</w:t>
      </w:r>
      <w:r>
        <w:fldChar w:fldCharType="end"/>
      </w:r>
    </w:p>
    <w:p w:rsidR="00AD1C19" w:rsidP="00AD1C19">
      <w:pPr>
        <w:pStyle w:val="Version"/>
        <w:sectPr w:rsidSect="000E45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4586" w:rsidP="000E4586">
      <w:pPr>
        <w:pStyle w:val="SuperHeading"/>
      </w:pPr>
      <w:r w:rsidRPr="000E4586">
        <w:t>Assessment Requirements for RIIERR601D Establish and maintain mine emergency preparedness and response systems</w:t>
      </w:r>
    </w:p>
    <w:p w:rsidR="00000000" w:rsidRPr="000E4586" w:rsidP="000E4586">
      <w:pPr>
        <w:pStyle w:val="Heading1"/>
      </w:pPr>
      <w:bookmarkStart w:id="1" w:name="O_687607"/>
      <w:bookmarkEnd w:id="1"/>
      <w:r w:rsidRPr="000E4586">
        <w:t>Modification History</w:t>
      </w:r>
    </w:p>
    <w:tbl>
      <w:tblPr>
        <w:tblW w:w="9270" w:type="dxa"/>
        <w:tblLayout w:type="fixed"/>
        <w:tblCellMar>
          <w:left w:w="62" w:type="dxa"/>
          <w:right w:w="62" w:type="dxa"/>
        </w:tblCellMar>
        <w:tblLook w:val="0000"/>
      </w:tblPr>
      <w:tblGrid>
        <w:gridCol w:w="1170"/>
        <w:gridCol w:w="8100"/>
      </w:tblGrid>
      <w:tr w:rsidTr="00AD1C1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586">
            <w:pPr>
              <w:pStyle w:val="BodyText"/>
              <w:rPr>
                <w:lang w:val="en-NZ"/>
              </w:rPr>
            </w:pPr>
            <w:r w:rsidRPr="000E458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586">
            <w:pPr>
              <w:pStyle w:val="BodyText"/>
              <w:rPr>
                <w:lang w:val="en-NZ"/>
              </w:rPr>
            </w:pPr>
            <w:r w:rsidRPr="000E4586">
              <w:t>Comment</w:t>
            </w:r>
          </w:p>
        </w:tc>
      </w:tr>
      <w:tr w:rsidTr="00AD1C1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586">
            <w:pPr>
              <w:pStyle w:val="BodyText"/>
              <w:rPr>
                <w:lang w:val="en-NZ"/>
              </w:rPr>
            </w:pPr>
            <w:r w:rsidRPr="000E458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586">
            <w:pPr>
              <w:pStyle w:val="BodyText"/>
              <w:rPr>
                <w:lang w:val="en-NZ"/>
              </w:rPr>
            </w:pPr>
            <w:r w:rsidRPr="000E4586">
              <w:t>This unit replaces RIIERR601A Establish and maintain mine emergency preparedness and response systems</w:t>
            </w:r>
          </w:p>
        </w:tc>
      </w:tr>
      <w:tr w:rsidTr="00AD1C1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586">
            <w:pPr>
              <w:pStyle w:val="BodyText"/>
              <w:rPr>
                <w:lang w:val="en-NZ"/>
              </w:rPr>
            </w:pPr>
            <w:r w:rsidRPr="000E458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586" w:rsidP="000E4586">
            <w:pPr>
              <w:pStyle w:val="BodyText"/>
            </w:pPr>
            <w:r w:rsidRPr="000E4586">
              <w:t>Required frequency and volume of evidence amended in Performance evidence.</w:t>
            </w:r>
          </w:p>
          <w:p w:rsidR="00000000" w:rsidRPr="000E4586" w:rsidP="000E4586">
            <w:pPr>
              <w:pStyle w:val="BodyText"/>
            </w:pPr>
            <w:r w:rsidRPr="000E4586">
              <w:t>Substantial amendments made in Assessment Conditions field, including: refer</w:t>
            </w:r>
            <w:r w:rsidRPr="000E4586">
              <w:t>ences to Industry Sectors, assessor and subject matter expert experience requirements, how assessment should be conducted and what it should confirm.</w:t>
            </w:r>
          </w:p>
        </w:tc>
      </w:tr>
    </w:tbl>
    <w:p w:rsidR="00000000" w:rsidRPr="000E4586" w:rsidP="000E4586">
      <w:pPr>
        <w:pStyle w:val="BodyText"/>
      </w:pPr>
    </w:p>
    <w:p w:rsidR="00000000" w:rsidRPr="000E4586" w:rsidP="000E4586">
      <w:pPr>
        <w:pStyle w:val="AllowPageBreak"/>
      </w:pPr>
    </w:p>
    <w:p w:rsidR="00000000" w:rsidRPr="000E4586" w:rsidP="000E4586">
      <w:pPr>
        <w:pStyle w:val="Heading1"/>
      </w:pPr>
      <w:bookmarkStart w:id="2" w:name="O_687605"/>
      <w:bookmarkEnd w:id="2"/>
      <w:r w:rsidRPr="000E4586">
        <w:t>Performance Evidence</w:t>
      </w:r>
    </w:p>
    <w:p w:rsidR="00000000" w:rsidRPr="000E4586" w:rsidP="00AD1C19">
      <w:pPr>
        <w:pStyle w:val="BodyText"/>
      </w:pPr>
      <w:r w:rsidRPr="000E4586">
        <w:t>Evidence is required to be collected that demonstrates a candidate</w:t>
      </w:r>
      <w:r w:rsidRPr="000E4586">
        <w:t>’s competency in this unit. Evidence must be relevant to the roles within this sector’s work operations and satisfy all of the requirements of the performance criteria of this unit and include evidence that the candidate:</w:t>
      </w:r>
    </w:p>
    <w:p w:rsidR="00000000" w:rsidRPr="000E4586" w:rsidP="000E4586">
      <w:pPr>
        <w:pStyle w:val="ListBullet"/>
      </w:pPr>
      <w:r w:rsidRPr="000E4586">
        <w:t>locate and apply relevant legisla</w:t>
      </w:r>
      <w:r w:rsidRPr="000E4586">
        <w:t>tion, documentation, policies and procedures</w:t>
      </w:r>
    </w:p>
    <w:p w:rsidR="00000000" w:rsidRPr="000E4586" w:rsidP="000E4586">
      <w:pPr>
        <w:pStyle w:val="ListBullet"/>
      </w:pPr>
      <w:r w:rsidRPr="000E4586">
        <w:t>implements procedures and techniques for the safe, effective and efficient establishment and maintenance of the mine emergency preparedness and response systems including:</w:t>
      </w:r>
    </w:p>
    <w:p w:rsidR="00000000" w:rsidRPr="000E4586" w:rsidP="000E4586">
      <w:pPr>
        <w:pStyle w:val="ListBullet2"/>
      </w:pPr>
      <w:r w:rsidRPr="000E4586">
        <w:t>assesses and prioritises implementation processes</w:t>
      </w:r>
    </w:p>
    <w:p w:rsidR="00000000" w:rsidRPr="000E4586" w:rsidP="000E4586">
      <w:pPr>
        <w:pStyle w:val="ListBullet2"/>
      </w:pPr>
      <w:r w:rsidRPr="000E4586">
        <w:t>analyses hazards and risks to consider in the establishment and maintenance of the mine emergency preparedness and response systems</w:t>
      </w:r>
    </w:p>
    <w:p w:rsidR="00000000" w:rsidRPr="000E4586" w:rsidP="000E4586">
      <w:pPr>
        <w:pStyle w:val="ListBullet2"/>
      </w:pPr>
      <w:r w:rsidRPr="000E4586">
        <w:t>maintains standards for establishment and maintenance of the mine emergenc</w:t>
      </w:r>
      <w:r w:rsidRPr="000E4586">
        <w:t>y preparedness and response systems</w:t>
      </w:r>
    </w:p>
    <w:p w:rsidR="00000000" w:rsidRPr="000E4586" w:rsidP="000E4586">
      <w:pPr>
        <w:pStyle w:val="ListBullet2"/>
      </w:pPr>
      <w:r w:rsidRPr="000E4586">
        <w:t>provides clear and timely instruction and supervision to those involved in the mine emergency preparedness and response systems</w:t>
      </w:r>
    </w:p>
    <w:p w:rsidR="00000000" w:rsidRPr="000E4586" w:rsidP="000E4586">
      <w:pPr>
        <w:pStyle w:val="ListBullet2"/>
      </w:pPr>
      <w:r w:rsidRPr="000E4586">
        <w:t>identifies training needs of individuals involved in the mine emergency preparedness and res</w:t>
      </w:r>
      <w:r w:rsidRPr="000E4586">
        <w:t>ponse systems, and prepares training plans</w:t>
      </w:r>
    </w:p>
    <w:p w:rsidR="00000000" w:rsidRPr="000E4586" w:rsidP="000E4586">
      <w:pPr>
        <w:pStyle w:val="ListBullet"/>
      </w:pPr>
      <w:r w:rsidRPr="000E4586">
        <w:t xml:space="preserve">works with and leads others to undertake and complete the establishment and maintenance of the mine emergency preparedness and response systems including: </w:t>
      </w:r>
    </w:p>
    <w:p w:rsidR="00000000" w:rsidRPr="000E4586" w:rsidP="000E4586">
      <w:pPr>
        <w:pStyle w:val="ListBullet2"/>
      </w:pPr>
      <w:r w:rsidRPr="000E4586">
        <w:t>facilitating groups to work together</w:t>
      </w:r>
    </w:p>
    <w:p w:rsidR="00000000" w:rsidRPr="000E4586" w:rsidP="000E4586">
      <w:pPr>
        <w:pStyle w:val="ListBullet2"/>
      </w:pPr>
      <w:r w:rsidRPr="000E4586">
        <w:t>establishing and m</w:t>
      </w:r>
      <w:r w:rsidRPr="000E4586">
        <w:t xml:space="preserve">aintaining a range of communication techniques and aids to advise others of work activity </w:t>
      </w:r>
    </w:p>
    <w:p w:rsidR="00000000" w:rsidRPr="000E4586" w:rsidP="000E4586">
      <w:pPr>
        <w:pStyle w:val="ListBullet2"/>
      </w:pPr>
      <w:r w:rsidRPr="000E4586">
        <w:t>using written and verbal communication systems to convey all activities and outcomes for coal mine emergency preparedness and response to others in a clear and conci</w:t>
      </w:r>
      <w:r w:rsidRPr="000E4586">
        <w:t xml:space="preserve">se manner </w:t>
      </w:r>
    </w:p>
    <w:p w:rsidR="00000000" w:rsidRPr="000E4586" w:rsidP="000E4586">
      <w:pPr>
        <w:pStyle w:val="ListBullet"/>
      </w:pPr>
      <w:r w:rsidRPr="000E4586">
        <w:t>demonstrates completion of establishing and maintaining mine emergency preparedness and response systems that safely, effectively and efficiently meets all of the required outcomes on more than one (1) occasion including:</w:t>
      </w:r>
    </w:p>
    <w:p w:rsidR="00000000" w:rsidRPr="000E4586" w:rsidP="000E4586">
      <w:pPr>
        <w:pStyle w:val="ListBullet2"/>
      </w:pPr>
      <w:r w:rsidRPr="000E4586">
        <w:t>establishing processe</w:t>
      </w:r>
      <w:r w:rsidRPr="000E4586">
        <w:t>s to investigate nature and cause of emergency/incident clearly and concisely communicating and explaining, plans and supporting information, in a form readily accessible to others</w:t>
      </w:r>
    </w:p>
    <w:p w:rsidR="00000000" w:rsidRPr="000E4586" w:rsidP="000E4586">
      <w:pPr>
        <w:pStyle w:val="ListBullet2"/>
      </w:pPr>
      <w:r w:rsidRPr="000E4586">
        <w:t>identifying, clarifying and communicating roles and responsibilities, to al</w:t>
      </w:r>
      <w:r w:rsidRPr="000E4586">
        <w:t>l personnel</w:t>
      </w:r>
    </w:p>
    <w:p w:rsidR="00000000" w:rsidRPr="000E4586" w:rsidP="000E4586">
      <w:pPr>
        <w:pStyle w:val="ListBullet2"/>
      </w:pPr>
      <w:r w:rsidRPr="000E4586">
        <w:t>implementing the allocation and installation of resources</w:t>
      </w:r>
    </w:p>
    <w:p w:rsidR="00000000" w:rsidRPr="000E4586" w:rsidP="000E4586">
      <w:pPr>
        <w:pStyle w:val="ListBullet2"/>
      </w:pPr>
      <w:r w:rsidRPr="000E4586">
        <w:t>implementing the emergency preparedness and response training program</w:t>
      </w:r>
    </w:p>
    <w:p w:rsidR="00000000" w:rsidRPr="000E4586" w:rsidP="000E4586">
      <w:pPr>
        <w:pStyle w:val="ListBullet2"/>
      </w:pPr>
      <w:r w:rsidRPr="000E4586">
        <w:t>developing review mechanisms from both internal and external sources</w:t>
      </w:r>
    </w:p>
    <w:p w:rsidR="00000000" w:rsidRPr="000E4586" w:rsidP="000E4586">
      <w:pPr>
        <w:pStyle w:val="ListBullet2"/>
      </w:pPr>
      <w:r w:rsidRPr="000E4586">
        <w:t>establishing plans to manage post-incident actions</w:t>
      </w:r>
    </w:p>
    <w:p w:rsidR="00000000" w:rsidRPr="000E4586" w:rsidP="000E4586">
      <w:pPr>
        <w:pStyle w:val="AllowPageBreak"/>
      </w:pPr>
    </w:p>
    <w:p w:rsidR="00000000" w:rsidRPr="000E4586" w:rsidP="000E4586">
      <w:pPr>
        <w:pStyle w:val="Heading1"/>
      </w:pPr>
      <w:bookmarkStart w:id="3" w:name="O_687603"/>
      <w:bookmarkEnd w:id="3"/>
      <w:r w:rsidRPr="000E4586">
        <w:t>Knowledge Evidence</w:t>
      </w:r>
    </w:p>
    <w:p w:rsidR="00000000" w:rsidRPr="000E4586" w:rsidP="00AD1C19">
      <w:pPr>
        <w:pStyle w:val="BodyText"/>
      </w:pPr>
      <w:r w:rsidRPr="000E4586">
        <w:t>The candidate must demonstrate knowledge of the following in applying the establish and maintain mine emergency preparedness and response systems through:</w:t>
      </w:r>
    </w:p>
    <w:p w:rsidR="00000000" w:rsidRPr="000E4586" w:rsidP="000E4586">
      <w:pPr>
        <w:pStyle w:val="ListBullet2"/>
      </w:pPr>
      <w:r w:rsidRPr="000E4586">
        <w:t xml:space="preserve">legislative, </w:t>
      </w:r>
      <w:r w:rsidRPr="000E4586">
        <w:t>regulatory and certification requirements</w:t>
      </w:r>
    </w:p>
    <w:p w:rsidR="00000000" w:rsidRPr="000E4586" w:rsidP="000E4586">
      <w:pPr>
        <w:pStyle w:val="ListBullet2"/>
      </w:pPr>
      <w:r w:rsidRPr="000E4586">
        <w:t xml:space="preserve">communicating verbally and in writing the roles and responsibilities requirements of stakeholders </w:t>
      </w:r>
    </w:p>
    <w:p w:rsidR="00000000" w:rsidRPr="000E4586" w:rsidP="000E4586">
      <w:pPr>
        <w:pStyle w:val="ListBullet2"/>
      </w:pPr>
      <w:r w:rsidRPr="000E4586">
        <w:t>the hazard identification, risk assessment and risk treatment processes</w:t>
      </w:r>
    </w:p>
    <w:p w:rsidR="00000000" w:rsidRPr="000E4586" w:rsidP="000E4586">
      <w:pPr>
        <w:pStyle w:val="ListBullet2"/>
      </w:pPr>
      <w:r w:rsidRPr="000E4586">
        <w:t>incidents and risk analysis data</w:t>
      </w:r>
    </w:p>
    <w:p w:rsidR="00000000" w:rsidRPr="000E4586" w:rsidP="000E4586">
      <w:pPr>
        <w:pStyle w:val="ListBullet2"/>
      </w:pPr>
      <w:r w:rsidRPr="000E4586">
        <w:t>document c</w:t>
      </w:r>
      <w:r w:rsidRPr="000E4586">
        <w:t>ontrol requirements</w:t>
      </w:r>
    </w:p>
    <w:p w:rsidR="00000000" w:rsidRPr="000E4586" w:rsidP="000E4586">
      <w:pPr>
        <w:pStyle w:val="ListBullet2"/>
      </w:pPr>
      <w:r w:rsidRPr="000E4586">
        <w:t>consultative, coaching and leadership techniques</w:t>
      </w:r>
    </w:p>
    <w:p w:rsidR="00000000" w:rsidRPr="000E4586" w:rsidP="000E4586">
      <w:pPr>
        <w:pStyle w:val="ListBullet2"/>
      </w:pPr>
      <w:r w:rsidRPr="000E4586">
        <w:t>plant and equipment capabilities and limitations</w:t>
      </w:r>
    </w:p>
    <w:p w:rsidR="00000000" w:rsidRPr="000E4586" w:rsidP="000E4586">
      <w:pPr>
        <w:pStyle w:val="ListBullet2"/>
      </w:pPr>
      <w:r w:rsidRPr="000E4586">
        <w:t>work planning techniques</w:t>
      </w:r>
    </w:p>
    <w:p w:rsidR="00000000" w:rsidRPr="000E4586" w:rsidP="000E4586">
      <w:pPr>
        <w:pStyle w:val="ListBullet2"/>
      </w:pPr>
      <w:r w:rsidRPr="000E4586">
        <w:t>establishing auditing, monitoring, recording and reporting systems, in consultation with stakeholders</w:t>
      </w:r>
    </w:p>
    <w:p w:rsidR="00000000" w:rsidRPr="000E4586" w:rsidP="000E4586">
      <w:pPr>
        <w:pStyle w:val="ListBullet2"/>
      </w:pPr>
      <w:r w:rsidRPr="000E4586">
        <w:t>training sy</w:t>
      </w:r>
      <w:r w:rsidRPr="000E4586">
        <w:t>stems, identification of training needs for individuals and work groups, and implementation of training plans</w:t>
      </w:r>
    </w:p>
    <w:p w:rsidR="00000000" w:rsidRPr="000E4586" w:rsidP="000E4586">
      <w:pPr>
        <w:pStyle w:val="ListBullet2"/>
      </w:pPr>
      <w:r w:rsidRPr="000E4586">
        <w:t>consultation, mine emergency response and evacuation planning processes and techniques</w:t>
      </w:r>
    </w:p>
    <w:p w:rsidR="00000000" w:rsidRPr="000E4586" w:rsidP="000E4586">
      <w:pPr>
        <w:pStyle w:val="ListBullet2"/>
      </w:pPr>
      <w:r w:rsidRPr="000E4586">
        <w:t>exploration techniques, ground support methods and systems</w:t>
      </w:r>
    </w:p>
    <w:p w:rsidR="00000000" w:rsidRPr="000E4586" w:rsidP="000E4586">
      <w:pPr>
        <w:pStyle w:val="ListBullet2"/>
      </w:pPr>
      <w:r w:rsidRPr="000E4586">
        <w:t>mine planning and design</w:t>
      </w:r>
    </w:p>
    <w:p w:rsidR="00000000" w:rsidRPr="000E4586" w:rsidP="000E4586">
      <w:pPr>
        <w:pStyle w:val="ListBullet2"/>
      </w:pPr>
      <w:r w:rsidRPr="000E4586">
        <w:t>analysis and use of mine surveying data</w:t>
      </w:r>
    </w:p>
    <w:p w:rsidR="00000000" w:rsidRPr="000E4586" w:rsidP="000E4586">
      <w:pPr>
        <w:pStyle w:val="ListBullet2"/>
      </w:pPr>
      <w:r w:rsidRPr="000E4586">
        <w:t>mining and general engineering principles</w:t>
      </w:r>
    </w:p>
    <w:p w:rsidR="00000000" w:rsidRPr="000E4586" w:rsidP="000E4586">
      <w:pPr>
        <w:pStyle w:val="ListBullet2"/>
      </w:pPr>
      <w:r w:rsidRPr="000E4586">
        <w:t>operational techniques in execution of the systems</w:t>
      </w:r>
    </w:p>
    <w:p w:rsidR="00000000" w:rsidRPr="000E4586" w:rsidP="000E4586">
      <w:pPr>
        <w:pStyle w:val="ListBullet2"/>
      </w:pPr>
      <w:r w:rsidRPr="000E4586">
        <w:t>structure of emergency procedures guidelines</w:t>
      </w:r>
    </w:p>
    <w:p w:rsidR="00000000" w:rsidRPr="000E4586" w:rsidP="000E4586">
      <w:pPr>
        <w:pStyle w:val="ListBullet2"/>
      </w:pPr>
      <w:r w:rsidRPr="000E4586">
        <w:t>legal requirements of incident management teams</w:t>
      </w:r>
    </w:p>
    <w:p w:rsidR="00000000" w:rsidRPr="000E4586" w:rsidP="000E4586">
      <w:pPr>
        <w:pStyle w:val="ListBullet2"/>
      </w:pPr>
      <w:r w:rsidRPr="000E4586">
        <w:t>self-escape, aided rescue and respond to incident philosophies, systems and equipment</w:t>
      </w:r>
    </w:p>
    <w:p w:rsidR="00000000" w:rsidRPr="000E4586" w:rsidP="000E4586">
      <w:pPr>
        <w:pStyle w:val="ListBullet2"/>
      </w:pPr>
      <w:r w:rsidRPr="000E4586">
        <w:t>structure, roles, capabilities and limitations of external services and agencies relevant to emergency preparedness and response</w:t>
      </w:r>
    </w:p>
    <w:p w:rsidR="00000000" w:rsidRPr="000E4586" w:rsidP="000E4586">
      <w:pPr>
        <w:pStyle w:val="ListBullet2"/>
      </w:pPr>
      <w:r w:rsidRPr="000E4586">
        <w:t>intervention and control techniques for h</w:t>
      </w:r>
      <w:r w:rsidRPr="000E4586">
        <w:t>eating, fires, explosions, outburst, extrication or inrushes</w:t>
      </w:r>
    </w:p>
    <w:p w:rsidR="00000000" w:rsidRPr="000E4586" w:rsidP="000E4586">
      <w:pPr>
        <w:pStyle w:val="ListBullet2"/>
      </w:pPr>
      <w:r w:rsidRPr="000E4586">
        <w:t>effects of heat and humidity on emergency rescue and response</w:t>
      </w:r>
    </w:p>
    <w:p w:rsidR="00000000" w:rsidRPr="000E4586" w:rsidP="000E4586">
      <w:pPr>
        <w:pStyle w:val="ListBullet2"/>
      </w:pPr>
      <w:r w:rsidRPr="000E4586">
        <w:t>effects of impaired visibility on emergency rescue and response</w:t>
      </w:r>
    </w:p>
    <w:p w:rsidR="00000000" w:rsidRPr="000E4586" w:rsidP="000E4586">
      <w:pPr>
        <w:pStyle w:val="ListBullet2"/>
      </w:pPr>
      <w:r w:rsidRPr="000E4586">
        <w:t>escape strategies and technology</w:t>
      </w:r>
    </w:p>
    <w:p w:rsidR="00000000" w:rsidRPr="000E4586" w:rsidP="000E4586">
      <w:pPr>
        <w:pStyle w:val="ListBullet2"/>
      </w:pPr>
      <w:r w:rsidRPr="000E4586">
        <w:t>equipment requirements for different</w:t>
      </w:r>
      <w:r w:rsidRPr="000E4586">
        <w:t xml:space="preserve"> types of emergency</w:t>
      </w:r>
    </w:p>
    <w:p w:rsidR="00000000" w:rsidRPr="000E4586" w:rsidP="000E4586">
      <w:pPr>
        <w:pStyle w:val="ListBullet2"/>
      </w:pPr>
      <w:r w:rsidRPr="000E4586">
        <w:t>ventilation and its influence on incidents</w:t>
      </w:r>
    </w:p>
    <w:p w:rsidR="00000000" w:rsidRPr="000E4586" w:rsidP="000E4586">
      <w:pPr>
        <w:pStyle w:val="ListBullet2"/>
      </w:pPr>
      <w:r w:rsidRPr="000E4586">
        <w:t>call-out procedures</w:t>
      </w:r>
    </w:p>
    <w:p w:rsidR="00000000" w:rsidRPr="000E4586" w:rsidP="000E4586">
      <w:pPr>
        <w:pStyle w:val="ListBullet2"/>
      </w:pPr>
      <w:r w:rsidRPr="000E4586">
        <w:t>emotional effects of emergencies on rescuers and mine personnel</w:t>
      </w:r>
    </w:p>
    <w:p w:rsidR="00000000" w:rsidRPr="000E4586" w:rsidP="000E4586">
      <w:pPr>
        <w:pStyle w:val="ListBullet2"/>
      </w:pPr>
      <w:r w:rsidRPr="000E4586">
        <w:t>titles and roles of members of incident management team</w:t>
      </w:r>
    </w:p>
    <w:p w:rsidR="00000000" w:rsidRPr="000E4586" w:rsidP="000E4586">
      <w:pPr>
        <w:pStyle w:val="ListBullet2"/>
      </w:pPr>
      <w:r w:rsidRPr="000E4586">
        <w:t>use of de-briefing processes</w:t>
      </w:r>
    </w:p>
    <w:p w:rsidR="00000000" w:rsidRPr="000E4586" w:rsidP="000E4586">
      <w:pPr>
        <w:pStyle w:val="ListBullet2"/>
      </w:pPr>
      <w:r w:rsidRPr="000E4586">
        <w:t>experience with deployme</w:t>
      </w:r>
      <w:r w:rsidRPr="000E4586">
        <w:t xml:space="preserve">nt of staff, and re-deployment after emergency/evacuation </w:t>
      </w:r>
    </w:p>
    <w:p w:rsidR="00000000" w:rsidRPr="000E4586" w:rsidP="000E4586">
      <w:pPr>
        <w:pStyle w:val="ListBullet2"/>
      </w:pPr>
      <w:r w:rsidRPr="000E4586">
        <w:t>awareness of number of personnel needed to run the site at planned operational levels</w:t>
      </w:r>
    </w:p>
    <w:p w:rsidR="00000000" w:rsidRPr="000E4586" w:rsidP="000E4586">
      <w:pPr>
        <w:pStyle w:val="ListBullet2"/>
      </w:pPr>
      <w:r w:rsidRPr="000E4586">
        <w:t>knowledge of the requirements and structure for fresh air base</w:t>
      </w:r>
    </w:p>
    <w:p w:rsidR="00000000" w:rsidRPr="000E4586" w:rsidP="000E4586">
      <w:pPr>
        <w:pStyle w:val="ListBullet2"/>
      </w:pPr>
      <w:r w:rsidRPr="000E4586">
        <w:t>decision-making processes</w:t>
      </w:r>
    </w:p>
    <w:p w:rsidR="00000000" w:rsidRPr="000E4586" w:rsidP="000E4586">
      <w:pPr>
        <w:pStyle w:val="ListBullet2"/>
      </w:pPr>
      <w:r w:rsidRPr="000E4586">
        <w:t>use of the legislation</w:t>
      </w:r>
      <w:r w:rsidRPr="000E4586">
        <w:t xml:space="preserve"> regarding resumption of normal operations</w:t>
      </w:r>
    </w:p>
    <w:p w:rsidR="00000000" w:rsidRPr="000E4586" w:rsidP="000E4586">
      <w:pPr>
        <w:pStyle w:val="ListBullet2"/>
      </w:pPr>
      <w:r w:rsidRPr="000E4586">
        <w:t>experience with the mobilisation, deployment and utilisation of equipment</w:t>
      </w:r>
    </w:p>
    <w:p w:rsidR="00000000" w:rsidRPr="000E4586" w:rsidP="000E4586">
      <w:pPr>
        <w:pStyle w:val="ListBullet2"/>
      </w:pPr>
      <w:r w:rsidRPr="000E4586">
        <w:t>consideration of insurance policies and requirements</w:t>
      </w:r>
    </w:p>
    <w:p w:rsidR="00000000" w:rsidRPr="000E4586" w:rsidP="000E4586">
      <w:pPr>
        <w:pStyle w:val="ListBullet2"/>
      </w:pPr>
      <w:r w:rsidRPr="000E4586">
        <w:t>mine closure procedures and the legislative implications</w:t>
      </w:r>
    </w:p>
    <w:p w:rsidR="00000000" w:rsidRPr="000E4586" w:rsidP="000E4586">
      <w:pPr>
        <w:pStyle w:val="ListBullet2"/>
      </w:pPr>
      <w:r w:rsidRPr="000E4586">
        <w:t>sealing procedures and the legislative implications</w:t>
      </w:r>
    </w:p>
    <w:p w:rsidR="00000000" w:rsidRPr="000E4586" w:rsidP="000E4586">
      <w:pPr>
        <w:pStyle w:val="ListBullet2"/>
      </w:pPr>
      <w:r w:rsidRPr="000E4586">
        <w:t>requirements for site security and access control</w:t>
      </w:r>
    </w:p>
    <w:p w:rsidR="00000000" w:rsidRPr="000E4586" w:rsidP="000E4586">
      <w:pPr>
        <w:pStyle w:val="ListBullet2"/>
      </w:pPr>
      <w:r w:rsidRPr="000E4586">
        <w:t>economic considerations and impacts on decisions</w:t>
      </w:r>
    </w:p>
    <w:p w:rsidR="00000000" w:rsidRPr="000E4586" w:rsidP="000E4586">
      <w:pPr>
        <w:pStyle w:val="AllowPageBreak"/>
      </w:pPr>
    </w:p>
    <w:p w:rsidR="00000000" w:rsidRPr="000E4586" w:rsidP="000E4586">
      <w:pPr>
        <w:pStyle w:val="Heading1"/>
      </w:pPr>
      <w:bookmarkStart w:id="4" w:name="O_687602"/>
      <w:bookmarkEnd w:id="4"/>
      <w:r w:rsidRPr="000E4586">
        <w:t>Assessment Conditions</w:t>
      </w:r>
    </w:p>
    <w:p w:rsidR="00000000" w:rsidRPr="000E4586" w:rsidP="000E4586">
      <w:pPr>
        <w:pStyle w:val="ListBullet"/>
      </w:pPr>
      <w:r w:rsidRPr="000E4586">
        <w:t>An assessor of this unit must satisfy the requirements of the NVR</w:t>
      </w:r>
      <w:r w:rsidRPr="000E4586">
        <w:t xml:space="preserve">/AQTF or their successors; and Industry regulations for certification and licensing; and, </w:t>
      </w:r>
    </w:p>
    <w:p w:rsidR="00000000" w:rsidRPr="000E4586" w:rsidP="000E4586">
      <w:pPr>
        <w:pStyle w:val="ListBullet"/>
      </w:pPr>
      <w:r w:rsidRPr="000E4586">
        <w:t>this unit is best assessed in the context of this sector’s work environment;</w:t>
      </w:r>
    </w:p>
    <w:p w:rsidR="00000000" w:rsidRPr="000E4586" w:rsidP="000E4586">
      <w:pPr>
        <w:pStyle w:val="ListBullet"/>
      </w:pPr>
      <w:r w:rsidRPr="000E4586">
        <w:t>where personal safety or environmental damage are limiting factors, assessment may occur</w:t>
      </w:r>
      <w:r w:rsidRPr="000E4586">
        <w:t xml:space="preserve"> in a simulated environment provided it is realistic and sufficiently rigorous to cover all aspects of this sector’s workplace performance, including environment, task skills, task management skills, contingency management skills and job role environment s</w:t>
      </w:r>
      <w:r w:rsidRPr="000E4586">
        <w:t>kills; and,</w:t>
      </w:r>
    </w:p>
    <w:p w:rsidR="00000000" w:rsidRPr="000E4586" w:rsidP="000E4586">
      <w:pPr>
        <w:pStyle w:val="ListBullet"/>
      </w:pPr>
      <w:r w:rsidRPr="000E4586">
        <w:t>this unit must be assessed in compliance with relevant legislation/regulation and using policies, procedures, processes and operational manuals directly related to the industry sector for which it is being assessed; and,</w:t>
      </w:r>
    </w:p>
    <w:p w:rsidR="00000000" w:rsidRPr="000E4586" w:rsidP="000E4586">
      <w:pPr>
        <w:pStyle w:val="ListBullet"/>
      </w:pPr>
      <w:r w:rsidRPr="000E4586">
        <w:t>assessment may be condu</w:t>
      </w:r>
      <w:r w:rsidRPr="000E4586">
        <w:t>cted in conjunction with the assessment of other Units of Competency; and,</w:t>
      </w:r>
    </w:p>
    <w:p w:rsidR="00000000" w:rsidRPr="000E4586" w:rsidP="000E4586">
      <w:pPr>
        <w:pStyle w:val="ListBullet"/>
      </w:pPr>
      <w:r w:rsidRPr="000E4586">
        <w:t>assessment must confirm consistent performance can be applied in a range of relevant workplace circumstances; and,</w:t>
      </w:r>
    </w:p>
    <w:p w:rsidR="00000000" w:rsidRPr="000E4586" w:rsidP="000E4586">
      <w:pPr>
        <w:pStyle w:val="ListBullet"/>
      </w:pPr>
      <w:r w:rsidRPr="000E4586">
        <w:t>assessors must demonstrate the performance evidence, and knowledge</w:t>
      </w:r>
      <w:r w:rsidRPr="000E4586">
        <w:t xml:space="preserve"> evidence as outlined in this Unit of Competency, and through the minimum years of current* work experience specified below in an Industry sector relevant to the outcomes of the unit; or,</w:t>
      </w:r>
    </w:p>
    <w:p w:rsidR="00000000" w:rsidRPr="000E4586" w:rsidP="000E4586">
      <w:pPr>
        <w:pStyle w:val="ListBullet"/>
      </w:pPr>
      <w:r w:rsidRPr="000E4586">
        <w:t>where the assessor does not meet experience requirements a co-assess</w:t>
      </w:r>
      <w:r w:rsidRPr="000E4586">
        <w:t>ment or partnership arrangement must exist between the qualified assessor and an Industry subject matter expert. The Industry subject matter expert should hold the unit being assessed (or an equivalent unit) and/or demonstrate equivalence of skills and kno</w:t>
      </w:r>
      <w:r w:rsidRPr="000E4586">
        <w:t>wledge at the unit level. An Industry technical expert must also demonstrate skills and knowledge from the minimum years of current work experience specified below in the Industry sector, including time spent in roles related to the unit being assessed; an</w:t>
      </w:r>
      <w:r w:rsidRPr="000E4586">
        <w:t>d,</w:t>
      </w:r>
    </w:p>
    <w:p w:rsidR="00000000" w:rsidRPr="000E4586" w:rsidP="000E4586">
      <w:pPr>
        <w:pStyle w:val="ListBullet"/>
      </w:pPr>
      <w:r w:rsidRPr="000E458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E45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Required assessor or Industry subject matter expert experience</w:t>
            </w:r>
          </w:p>
        </w:tc>
      </w:tr>
      <w:tr w:rsidTr="000E458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1 Year</w:t>
            </w:r>
          </w:p>
        </w:tc>
      </w:tr>
      <w:tr w:rsidTr="000E458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2 Years</w:t>
            </w:r>
          </w:p>
        </w:tc>
      </w:tr>
      <w:tr w:rsidTr="000E45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3 Years</w:t>
            </w:r>
          </w:p>
        </w:tc>
      </w:tr>
      <w:tr w:rsidTr="000E45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5 Years</w:t>
            </w:r>
          </w:p>
        </w:tc>
      </w:tr>
      <w:tr w:rsidTr="000E45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586">
            <w:pPr>
              <w:pStyle w:val="BodyText"/>
              <w:rPr>
                <w:lang w:val="en-NZ"/>
              </w:rPr>
            </w:pPr>
            <w:r w:rsidRPr="000E458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4586" w:rsidP="000E4586">
            <w:pPr>
              <w:pStyle w:val="BodyText"/>
            </w:pPr>
            <w:r w:rsidRPr="000E4586">
              <w:t>Where this Unit is being assessed outside of the Resources and Infrastructure Sectors assessor and/or Industry subject matter expert experience should be in-line with industry standards</w:t>
            </w:r>
            <w:r w:rsidRPr="000E4586">
              <w:t xml:space="preserve"> for the sector in which it is being assessed and where no Industry standard is specified should comply with any relevant regulation.</w:t>
            </w:r>
          </w:p>
        </w:tc>
      </w:tr>
    </w:tbl>
    <w:p w:rsidR="00000000" w:rsidRPr="000E4586" w:rsidP="00AD1C19">
      <w:pPr>
        <w:pStyle w:val="BodyText"/>
      </w:pPr>
      <w:r w:rsidRPr="000E4586">
        <w:t>*Assessors can demonstrate current work experience through employment within Industry in a role relevant to the outcomes of the Unit; or, for external assessors this can be demonstrated through exposure to Industry by conducting frequent site assessments a</w:t>
      </w:r>
      <w:r w:rsidRPr="000E4586">
        <w:t>cross various locations.</w:t>
      </w:r>
    </w:p>
    <w:p w:rsidR="00000000" w:rsidRPr="000E4586" w:rsidP="00AD1C19">
      <w:pPr>
        <w:pStyle w:val="BodyText"/>
      </w:pPr>
      <w:r w:rsidRPr="000E4586">
        <w:t>**Where a unit is being delivered outside of a Qualification the first numeric character in the Unit code should be considered to indicate the AQF level</w:t>
      </w:r>
    </w:p>
    <w:p w:rsidR="00000000" w:rsidRPr="000E4586" w:rsidP="000E4586">
      <w:pPr>
        <w:pStyle w:val="Heading1"/>
      </w:pPr>
      <w:bookmarkStart w:id="5" w:name="O_687618"/>
      <w:bookmarkEnd w:id="5"/>
      <w:r w:rsidRPr="000E4586">
        <w:t>Links</w:t>
      </w:r>
    </w:p>
    <w:p w:rsidR="00000000" w:rsidRPr="000E4586" w:rsidP="00AD1C19">
      <w:pPr>
        <w:pStyle w:val="BodyText"/>
      </w:pPr>
      <w:r w:rsidRPr="000E4586">
        <w:t>Companion Volume implementation guides are found in VET</w:t>
      </w:r>
      <w:r w:rsidRPr="000E4586">
        <w:t xml:space="preserve">Net - </w:t>
      </w:r>
      <w:r>
        <w:fldChar w:fldCharType="begin"/>
      </w:r>
      <w:r>
        <w:instrText xml:space="preserve"> HYPERLINK "https://vetnet.gov.au/Pages/TrainingDocs.aspx?q=88a61002-9a21-4386-aaf8-69c76e675272" </w:instrText>
      </w:r>
      <w:r>
        <w:fldChar w:fldCharType="separate"/>
      </w:r>
      <w:r w:rsidRPr="00424A6F">
        <w:rPr>
          <w:rStyle w:val="Hyperlink"/>
        </w:rPr>
        <w:t>https://vetnet.gov.au/Pages/TrainingDocs.aspx?q=88a61002-9a21-4386-aaf8-69c76e675272</w:t>
      </w:r>
      <w:r>
        <w:fldChar w:fldCharType="end"/>
      </w:r>
    </w:p>
    <w:p w:rsidR="00000000" w:rsidRPr="000E4586" w:rsidP="000E4586"/>
    <w:sectPr w:rsidSect="000E45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86" w:rsidRPr="00AD1C19" w:rsidP="00AD1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C19" w:rsidP="000E4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1C19" w:rsidP="000E458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D1C19" w:rsidP="000E4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586" w:rsidRPr="00AD1C19" w:rsidP="00AD1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C19" w:rsidRPr="002D2AF8" w:rsidP="000E4586">
    <w:pPr>
      <w:pStyle w:val="Header"/>
      <w:framePr w:wrap="around"/>
    </w:pPr>
    <w:r>
      <w:fldChar w:fldCharType="begin"/>
    </w:r>
    <w:r>
      <w:instrText xml:space="preserve"> TITLE   \* MERGEFORMAT </w:instrText>
    </w:r>
    <w:r>
      <w:fldChar w:fldCharType="separate"/>
    </w:r>
    <w:r>
      <w:t>Assessment Requirements for RIIERR601D Establish and maintain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AD1C19" w:rsidP="000E4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84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66A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4A3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586"/>
    <w:pPr>
      <w:spacing w:before="360" w:after="60"/>
      <w:outlineLvl w:val="0"/>
    </w:pPr>
    <w:rPr>
      <w:sz w:val="32"/>
    </w:rPr>
  </w:style>
  <w:style w:type="paragraph" w:styleId="Heading2">
    <w:name w:val="heading 2"/>
    <w:basedOn w:val="HeadingBase"/>
    <w:next w:val="BodyText"/>
    <w:link w:val="Heading2Char"/>
    <w:qFormat/>
    <w:rsid w:val="000E4586"/>
    <w:pPr>
      <w:keepLines/>
      <w:spacing w:before="240" w:after="120"/>
      <w:outlineLvl w:val="1"/>
    </w:pPr>
    <w:rPr>
      <w:sz w:val="28"/>
      <w:szCs w:val="40"/>
    </w:rPr>
  </w:style>
  <w:style w:type="paragraph" w:styleId="Heading3">
    <w:name w:val="heading 3"/>
    <w:basedOn w:val="HeadingBase"/>
    <w:next w:val="BodyText"/>
    <w:link w:val="Heading3Char"/>
    <w:qFormat/>
    <w:rsid w:val="000E4586"/>
    <w:pPr>
      <w:spacing w:before="180" w:after="120"/>
      <w:outlineLvl w:val="2"/>
    </w:pPr>
    <w:rPr>
      <w:spacing w:val="-10"/>
      <w:kern w:val="32"/>
    </w:rPr>
  </w:style>
  <w:style w:type="paragraph" w:styleId="Heading4">
    <w:name w:val="heading 4"/>
    <w:basedOn w:val="HeadingBase"/>
    <w:next w:val="BodyText"/>
    <w:link w:val="Heading4Char"/>
    <w:qFormat/>
    <w:rsid w:val="000E4586"/>
    <w:pPr>
      <w:spacing w:before="160" w:after="120"/>
      <w:outlineLvl w:val="3"/>
    </w:pPr>
    <w:rPr>
      <w:sz w:val="22"/>
    </w:rPr>
  </w:style>
  <w:style w:type="paragraph" w:styleId="Heading5">
    <w:name w:val="heading 5"/>
    <w:basedOn w:val="HeadingBase"/>
    <w:next w:val="Normal"/>
    <w:link w:val="Heading5Char"/>
    <w:qFormat/>
    <w:rsid w:val="000E4586"/>
    <w:pPr>
      <w:spacing w:before="80"/>
      <w:outlineLvl w:val="4"/>
    </w:pPr>
    <w:rPr>
      <w:color w:val="918585"/>
      <w:sz w:val="20"/>
    </w:rPr>
  </w:style>
  <w:style w:type="paragraph" w:styleId="Heading6">
    <w:name w:val="heading 6"/>
    <w:basedOn w:val="HeadingBase"/>
    <w:next w:val="Normal"/>
    <w:link w:val="Heading6Char"/>
    <w:qFormat/>
    <w:rsid w:val="000E4586"/>
    <w:pPr>
      <w:spacing w:before="60"/>
      <w:outlineLvl w:val="5"/>
    </w:pPr>
    <w:rPr>
      <w:color w:val="918585"/>
      <w:sz w:val="20"/>
    </w:rPr>
  </w:style>
  <w:style w:type="paragraph" w:styleId="Heading7">
    <w:name w:val="heading 7"/>
    <w:basedOn w:val="Normal"/>
    <w:next w:val="Normal"/>
    <w:link w:val="Heading7Char"/>
    <w:qFormat/>
    <w:rsid w:val="000E4586"/>
    <w:pPr>
      <w:ind w:left="720"/>
      <w:outlineLvl w:val="6"/>
    </w:pPr>
    <w:rPr>
      <w:i/>
    </w:rPr>
  </w:style>
  <w:style w:type="paragraph" w:styleId="Heading8">
    <w:name w:val="heading 8"/>
    <w:basedOn w:val="Normal"/>
    <w:next w:val="Normal"/>
    <w:link w:val="Heading8Char"/>
    <w:qFormat/>
    <w:rsid w:val="000E4586"/>
    <w:pPr>
      <w:ind w:left="720"/>
      <w:outlineLvl w:val="7"/>
    </w:pPr>
    <w:rPr>
      <w:i/>
    </w:rPr>
  </w:style>
  <w:style w:type="paragraph" w:styleId="Heading9">
    <w:name w:val="heading 9"/>
    <w:basedOn w:val="Normal"/>
    <w:next w:val="Normal"/>
    <w:link w:val="Heading9Char"/>
    <w:qFormat/>
    <w:rsid w:val="000E4586"/>
    <w:pPr>
      <w:ind w:left="720"/>
      <w:outlineLvl w:val="8"/>
    </w:pPr>
    <w:rPr>
      <w:i/>
    </w:rPr>
  </w:style>
  <w:style w:type="character" w:default="1" w:styleId="DefaultParagraphFont">
    <w:name w:val="Default Paragraph Font"/>
    <w:uiPriority w:val="1"/>
    <w:unhideWhenUsed/>
    <w:rsid w:val="000E4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586"/>
  </w:style>
  <w:style w:type="character" w:customStyle="1" w:styleId="Heading1Char">
    <w:name w:val="Heading 1 Char"/>
    <w:basedOn w:val="DefaultParagraphFont"/>
    <w:link w:val="Heading1"/>
    <w:rsid w:val="000E4586"/>
    <w:rPr>
      <w:rFonts w:ascii="Times New Roman" w:eastAsia="Times New Roman" w:hAnsi="Times New Roman" w:cs="Times New Roman"/>
      <w:b/>
      <w:sz w:val="32"/>
      <w:szCs w:val="20"/>
      <w:lang w:eastAsia="en-US"/>
    </w:rPr>
  </w:style>
  <w:style w:type="paragraph" w:styleId="BodyText">
    <w:name w:val="Body Text"/>
    <w:basedOn w:val="Normal"/>
    <w:link w:val="BodyTextChar"/>
    <w:rsid w:val="000E4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586"/>
    <w:rPr>
      <w:rFonts w:ascii="Times New Roman" w:eastAsia="Times New Roman" w:hAnsi="Times New Roman" w:cs="Times New Roman"/>
      <w:sz w:val="24"/>
      <w:lang w:eastAsia="en-US"/>
    </w:rPr>
  </w:style>
  <w:style w:type="paragraph" w:styleId="ListBullet">
    <w:name w:val="List Bullet"/>
    <w:basedOn w:val="List"/>
    <w:rsid w:val="000E4586"/>
    <w:pPr>
      <w:numPr>
        <w:numId w:val="12"/>
      </w:numPr>
      <w:tabs>
        <w:tab w:val="clear" w:pos="340"/>
      </w:tabs>
      <w:spacing w:before="40" w:after="40"/>
    </w:pPr>
  </w:style>
  <w:style w:type="paragraph" w:styleId="ListBullet2">
    <w:name w:val="List Bullet 2"/>
    <w:basedOn w:val="List2"/>
    <w:rsid w:val="000E4586"/>
    <w:pPr>
      <w:numPr>
        <w:numId w:val="13"/>
      </w:numPr>
      <w:tabs>
        <w:tab w:val="clear" w:pos="680"/>
      </w:tabs>
    </w:pPr>
  </w:style>
  <w:style w:type="paragraph" w:customStyle="1" w:styleId="SuperHeading">
    <w:name w:val="SuperHeading"/>
    <w:basedOn w:val="Normal"/>
    <w:rsid w:val="000E4586"/>
    <w:pPr>
      <w:spacing w:before="240" w:after="120"/>
      <w:outlineLvl w:val="0"/>
    </w:pPr>
    <w:rPr>
      <w:rFonts w:ascii="Times New Roman" w:hAnsi="Times New Roman"/>
      <w:b/>
      <w:sz w:val="32"/>
    </w:rPr>
  </w:style>
  <w:style w:type="paragraph" w:customStyle="1" w:styleId="AllowPageBreak">
    <w:name w:val="AllowPageBreak"/>
    <w:rsid w:val="000E4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586"/>
    <w:rPr>
      <w:rFonts w:ascii="Courier New" w:eastAsia="Times New Roman" w:hAnsi="Courier New" w:cs="Times New Roman"/>
      <w:i/>
      <w:szCs w:val="20"/>
      <w:lang w:eastAsia="en-US"/>
    </w:rPr>
  </w:style>
  <w:style w:type="paragraph" w:customStyle="1" w:styleId="HeadingBase">
    <w:name w:val="Heading Base"/>
    <w:rsid w:val="000E4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586"/>
    <w:pPr>
      <w:tabs>
        <w:tab w:val="right" w:leader="dot" w:pos="9072"/>
      </w:tabs>
      <w:ind w:left="567"/>
    </w:pPr>
    <w:rPr>
      <w:szCs w:val="22"/>
    </w:rPr>
  </w:style>
  <w:style w:type="paragraph" w:customStyle="1" w:styleId="TOCBase">
    <w:name w:val="TOC Base"/>
    <w:rsid w:val="000E4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586"/>
    <w:pPr>
      <w:tabs>
        <w:tab w:val="right" w:leader="dot" w:pos="9072"/>
      </w:tabs>
      <w:spacing w:before="40" w:after="40"/>
      <w:ind w:left="284"/>
    </w:pPr>
    <w:rPr>
      <w:rFonts w:ascii="Times New Roman" w:hAnsi="Times New Roman"/>
    </w:rPr>
  </w:style>
  <w:style w:type="paragraph" w:styleId="TOC1">
    <w:name w:val="toc 1"/>
    <w:basedOn w:val="TOCBase"/>
    <w:next w:val="Normal"/>
    <w:rsid w:val="000E4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586"/>
    <w:rPr>
      <w:rFonts w:ascii="Times New Roman" w:eastAsia="Times New Roman" w:hAnsi="Times New Roman" w:cs="Times New Roman"/>
      <w:sz w:val="16"/>
      <w:lang w:eastAsia="en-US"/>
    </w:rPr>
  </w:style>
  <w:style w:type="paragraph" w:styleId="Title">
    <w:name w:val="Title"/>
    <w:basedOn w:val="HeadingBase"/>
    <w:link w:val="TitleChar"/>
    <w:qFormat/>
    <w:rsid w:val="000E4586"/>
    <w:pPr>
      <w:spacing w:before="5040"/>
      <w:jc w:val="center"/>
    </w:pPr>
    <w:rPr>
      <w:sz w:val="48"/>
      <w:szCs w:val="72"/>
      <w:lang w:val="en-US"/>
    </w:rPr>
  </w:style>
  <w:style w:type="character" w:customStyle="1" w:styleId="TitleChar">
    <w:name w:val="Title Char"/>
    <w:basedOn w:val="DefaultParagraphFont"/>
    <w:link w:val="Title"/>
    <w:rsid w:val="000E4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586"/>
    <w:pPr>
      <w:tabs>
        <w:tab w:val="left" w:pos="3600"/>
        <w:tab w:val="left" w:pos="3958"/>
      </w:tabs>
    </w:pPr>
  </w:style>
  <w:style w:type="paragraph" w:styleId="List">
    <w:name w:val="List"/>
    <w:basedOn w:val="BodyText"/>
    <w:next w:val="BodyText"/>
    <w:rsid w:val="000E4586"/>
    <w:pPr>
      <w:tabs>
        <w:tab w:val="left" w:pos="340"/>
      </w:tabs>
      <w:spacing w:before="60" w:after="60"/>
      <w:ind w:left="340" w:hanging="340"/>
    </w:pPr>
  </w:style>
  <w:style w:type="paragraph" w:customStyle="1" w:styleId="Note">
    <w:name w:val="Note"/>
    <w:basedOn w:val="BodyText"/>
    <w:rsid w:val="000E45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4586"/>
    <w:rPr>
      <w:b/>
      <w:spacing w:val="0"/>
    </w:rPr>
  </w:style>
  <w:style w:type="paragraph" w:customStyle="1" w:styleId="SuperTitle">
    <w:name w:val="SuperTitle"/>
    <w:basedOn w:val="Title"/>
    <w:rsid w:val="000E4586"/>
    <w:pPr>
      <w:framePr w:wrap="auto" w:hAnchor="text" w:y="6049"/>
    </w:pPr>
    <w:rPr>
      <w:color w:val="000000"/>
      <w:sz w:val="40"/>
    </w:rPr>
  </w:style>
  <w:style w:type="paragraph" w:customStyle="1" w:styleId="TOCTitle">
    <w:name w:val="TOCTitle"/>
    <w:basedOn w:val="Heading1"/>
    <w:rsid w:val="000E4586"/>
    <w:pPr>
      <w:spacing w:after="240"/>
      <w:jc w:val="center"/>
      <w:outlineLvl w:val="9"/>
    </w:pPr>
    <w:rPr>
      <w:caps/>
    </w:rPr>
  </w:style>
  <w:style w:type="paragraph" w:customStyle="1" w:styleId="Version">
    <w:name w:val="Version"/>
    <w:rsid w:val="000E4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586"/>
    <w:pPr>
      <w:keepNext w:val="0"/>
      <w:tabs>
        <w:tab w:val="right" w:pos="4176"/>
      </w:tabs>
      <w:ind w:left="198" w:hanging="198"/>
    </w:pPr>
    <w:rPr>
      <w:rFonts w:ascii="Garamond" w:hAnsi="Garamond"/>
    </w:rPr>
  </w:style>
  <w:style w:type="paragraph" w:styleId="IndexHeading">
    <w:name w:val="index heading"/>
    <w:basedOn w:val="Normal"/>
    <w:next w:val="Index1"/>
    <w:semiHidden/>
    <w:rsid w:val="000E4586"/>
    <w:pPr>
      <w:spacing w:before="120" w:after="120"/>
    </w:pPr>
    <w:rPr>
      <w:rFonts w:ascii="Arial" w:hAnsi="Arial"/>
      <w:b/>
      <w:color w:val="918585"/>
      <w:sz w:val="24"/>
    </w:rPr>
  </w:style>
  <w:style w:type="paragraph" w:styleId="Header">
    <w:name w:val="header"/>
    <w:basedOn w:val="Normal"/>
    <w:link w:val="HeaderChar"/>
    <w:rsid w:val="000E4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586"/>
    <w:rPr>
      <w:rFonts w:ascii="Times New Roman" w:eastAsia="Times New Roman" w:hAnsi="Times New Roman" w:cs="Times New Roman"/>
      <w:sz w:val="16"/>
      <w:szCs w:val="20"/>
      <w:lang w:val="en-GB" w:eastAsia="en-US"/>
    </w:rPr>
  </w:style>
  <w:style w:type="paragraph" w:customStyle="1" w:styleId="Chapter">
    <w:name w:val="Chapter"/>
    <w:basedOn w:val="Normal"/>
    <w:rsid w:val="000E4586"/>
    <w:pPr>
      <w:spacing w:before="240"/>
    </w:pPr>
    <w:rPr>
      <w:rFonts w:ascii="Times New Roman" w:hAnsi="Times New Roman"/>
      <w:smallCaps/>
      <w:spacing w:val="80"/>
      <w:sz w:val="28"/>
    </w:rPr>
  </w:style>
  <w:style w:type="paragraph" w:customStyle="1" w:styleId="InChapter">
    <w:name w:val="InChapter"/>
    <w:basedOn w:val="Heading3"/>
    <w:rsid w:val="000E4586"/>
    <w:pPr>
      <w:spacing w:after="240"/>
      <w:outlineLvl w:val="9"/>
    </w:pPr>
    <w:rPr>
      <w:noProof/>
    </w:rPr>
  </w:style>
  <w:style w:type="paragraph" w:styleId="Index2">
    <w:name w:val="index 2"/>
    <w:basedOn w:val="Normal"/>
    <w:next w:val="Normal"/>
    <w:semiHidden/>
    <w:rsid w:val="000E4586"/>
    <w:pPr>
      <w:tabs>
        <w:tab w:val="right" w:pos="4176"/>
      </w:tabs>
      <w:ind w:left="568" w:hanging="284"/>
    </w:pPr>
    <w:rPr>
      <w:rFonts w:ascii="Garamond" w:hAnsi="Garamond"/>
    </w:rPr>
  </w:style>
  <w:style w:type="paragraph" w:customStyle="1" w:styleId="Byline">
    <w:name w:val="Byline"/>
    <w:rsid w:val="000E4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586"/>
    <w:pPr>
      <w:tabs>
        <w:tab w:val="clear" w:pos="3600"/>
        <w:tab w:val="clear" w:pos="3958"/>
      </w:tabs>
      <w:jc w:val="right"/>
    </w:pPr>
  </w:style>
  <w:style w:type="character" w:styleId="Emphasis">
    <w:name w:val="Emphasis"/>
    <w:basedOn w:val="DefaultParagraphFont"/>
    <w:qFormat/>
    <w:rsid w:val="000E4586"/>
    <w:rPr>
      <w:i/>
    </w:rPr>
  </w:style>
  <w:style w:type="paragraph" w:styleId="Caption">
    <w:name w:val="caption"/>
    <w:basedOn w:val="BodyText"/>
    <w:next w:val="Normal"/>
    <w:qFormat/>
    <w:rsid w:val="000E4586"/>
    <w:pPr>
      <w:framePr w:w="2268" w:hSpace="181" w:vSpace="181" w:wrap="around" w:vAnchor="text" w:hAnchor="page" w:x="1135" w:y="285" w:anchorLock="1"/>
    </w:pPr>
    <w:rPr>
      <w:i/>
    </w:rPr>
  </w:style>
  <w:style w:type="paragraph" w:customStyle="1" w:styleId="MiniTOCTitle">
    <w:name w:val="MiniTOCTitle"/>
    <w:basedOn w:val="Heading4"/>
    <w:rsid w:val="000E4586"/>
    <w:pPr>
      <w:spacing w:before="240"/>
      <w:outlineLvl w:val="9"/>
    </w:pPr>
    <w:rPr>
      <w:noProof/>
      <w:sz w:val="24"/>
    </w:rPr>
  </w:style>
  <w:style w:type="paragraph" w:customStyle="1" w:styleId="MiniTOCItem">
    <w:name w:val="MiniTOCItem"/>
    <w:basedOn w:val="ListBullet"/>
    <w:rsid w:val="000E4586"/>
    <w:pPr>
      <w:numPr>
        <w:numId w:val="0"/>
      </w:numPr>
      <w:tabs>
        <w:tab w:val="right" w:leader="dot" w:pos="6521"/>
      </w:tabs>
      <w:spacing w:before="0" w:after="0"/>
    </w:pPr>
  </w:style>
  <w:style w:type="paragraph" w:customStyle="1" w:styleId="TOFTitle">
    <w:name w:val="TOFTitle"/>
    <w:basedOn w:val="TOCTitle"/>
    <w:rsid w:val="000E4586"/>
  </w:style>
  <w:style w:type="paragraph" w:styleId="TableofFigures">
    <w:name w:val="table of figures"/>
    <w:basedOn w:val="Normal"/>
    <w:next w:val="Normal"/>
    <w:semiHidden/>
    <w:rsid w:val="000E4586"/>
    <w:pPr>
      <w:tabs>
        <w:tab w:val="right" w:leader="dot" w:pos="9072"/>
      </w:tabs>
      <w:ind w:left="970" w:hanging="403"/>
    </w:pPr>
    <w:rPr>
      <w:rFonts w:ascii="Times New Roman" w:hAnsi="Times New Roman"/>
      <w:b/>
    </w:rPr>
  </w:style>
  <w:style w:type="paragraph" w:styleId="ListNumber">
    <w:name w:val="List Number"/>
    <w:basedOn w:val="List"/>
    <w:rsid w:val="000E4586"/>
    <w:pPr>
      <w:numPr>
        <w:numId w:val="15"/>
      </w:numPr>
      <w:tabs>
        <w:tab w:val="clear" w:pos="340"/>
      </w:tabs>
    </w:pPr>
  </w:style>
  <w:style w:type="character" w:customStyle="1" w:styleId="WingdingSymbols">
    <w:name w:val="Wingding Symbols"/>
    <w:rsid w:val="000E4586"/>
    <w:rPr>
      <w:rFonts w:ascii="Wingdings" w:hAnsi="Wingdings"/>
    </w:rPr>
  </w:style>
  <w:style w:type="paragraph" w:customStyle="1" w:styleId="TableHeading">
    <w:name w:val="Table Heading"/>
    <w:basedOn w:val="HeadingBase"/>
    <w:rsid w:val="000E4586"/>
    <w:pPr>
      <w:keepLines/>
      <w:pBdr>
        <w:bottom w:val="single" w:sz="6" w:space="1" w:color="918585"/>
      </w:pBdr>
      <w:spacing w:before="240"/>
    </w:pPr>
  </w:style>
  <w:style w:type="character" w:customStyle="1" w:styleId="HotSpot">
    <w:name w:val="HotSpot"/>
    <w:rsid w:val="000E4586"/>
    <w:rPr>
      <w:color w:val="0033CC"/>
      <w:u w:val="none"/>
    </w:rPr>
  </w:style>
  <w:style w:type="paragraph" w:customStyle="1" w:styleId="BodyTextRight">
    <w:name w:val="Body Text Right"/>
    <w:basedOn w:val="BodyText"/>
    <w:rsid w:val="000E4586"/>
    <w:pPr>
      <w:spacing w:before="0" w:after="0"/>
      <w:jc w:val="right"/>
    </w:pPr>
  </w:style>
  <w:style w:type="paragraph" w:styleId="Index3">
    <w:name w:val="index 3"/>
    <w:basedOn w:val="ListNumber2"/>
    <w:next w:val="Normal"/>
    <w:semiHidden/>
    <w:rsid w:val="000E4586"/>
    <w:pPr>
      <w:numPr>
        <w:numId w:val="0"/>
      </w:numPr>
      <w:tabs>
        <w:tab w:val="right" w:leader="dot" w:pos="4176"/>
      </w:tabs>
    </w:pPr>
  </w:style>
  <w:style w:type="paragraph" w:styleId="ListNumber2">
    <w:name w:val="List Number 2"/>
    <w:basedOn w:val="List2"/>
    <w:rsid w:val="000E4586"/>
    <w:pPr>
      <w:numPr>
        <w:numId w:val="10"/>
      </w:numPr>
      <w:tabs>
        <w:tab w:val="clear" w:pos="1060"/>
      </w:tabs>
    </w:pPr>
  </w:style>
  <w:style w:type="paragraph" w:customStyle="1" w:styleId="MarginNote">
    <w:name w:val="Margin Note"/>
    <w:basedOn w:val="BodyText"/>
    <w:rsid w:val="000E4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586"/>
    <w:rPr>
      <w:sz w:val="32"/>
    </w:rPr>
  </w:style>
  <w:style w:type="paragraph" w:customStyle="1" w:styleId="HeadingProcedure">
    <w:name w:val="Heading Procedure"/>
    <w:basedOn w:val="HeadingBase"/>
    <w:next w:val="Normal"/>
    <w:rsid w:val="000E4586"/>
    <w:pPr>
      <w:tabs>
        <w:tab w:val="left" w:pos="0"/>
      </w:tabs>
      <w:spacing w:before="120" w:after="60"/>
    </w:pPr>
    <w:rPr>
      <w:i/>
      <w:color w:val="918585"/>
      <w:sz w:val="22"/>
    </w:rPr>
  </w:style>
  <w:style w:type="paragraph" w:customStyle="1" w:styleId="TableBodyText">
    <w:name w:val="Table Body Text"/>
    <w:basedOn w:val="BodyText"/>
    <w:rsid w:val="000E4586"/>
    <w:pPr>
      <w:spacing w:before="60" w:after="60"/>
    </w:pPr>
  </w:style>
  <w:style w:type="paragraph" w:styleId="ListContinue">
    <w:name w:val="List Continue"/>
    <w:basedOn w:val="List"/>
    <w:rsid w:val="000E4586"/>
    <w:pPr>
      <w:ind w:firstLine="0"/>
    </w:pPr>
  </w:style>
  <w:style w:type="paragraph" w:customStyle="1" w:styleId="ListNote">
    <w:name w:val="List Note"/>
    <w:basedOn w:val="List"/>
    <w:rsid w:val="000E4586"/>
    <w:pPr>
      <w:pBdr>
        <w:top w:val="single" w:sz="6" w:space="2" w:color="918585"/>
        <w:bottom w:val="single" w:sz="6" w:space="2" w:color="918585"/>
      </w:pBdr>
      <w:tabs>
        <w:tab w:val="left" w:pos="1021"/>
      </w:tabs>
      <w:ind w:firstLine="0"/>
    </w:pPr>
  </w:style>
  <w:style w:type="paragraph" w:customStyle="1" w:styleId="Warning">
    <w:name w:val="Warning"/>
    <w:basedOn w:val="BodyText"/>
    <w:rsid w:val="000E4586"/>
    <w:pPr>
      <w:shd w:val="clear" w:color="auto" w:fill="D9D9D9"/>
      <w:tabs>
        <w:tab w:val="left" w:pos="992"/>
      </w:tabs>
      <w:ind w:left="119" w:right="119"/>
    </w:pPr>
    <w:rPr>
      <w:sz w:val="20"/>
    </w:rPr>
  </w:style>
  <w:style w:type="paragraph" w:customStyle="1" w:styleId="MarginIcons">
    <w:name w:val="Margin Icons"/>
    <w:basedOn w:val="BodyText"/>
    <w:rsid w:val="000E4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586"/>
    <w:rPr>
      <w:rFonts w:ascii="Courier New" w:hAnsi="Courier New"/>
    </w:rPr>
  </w:style>
  <w:style w:type="paragraph" w:customStyle="1" w:styleId="NoteBullet">
    <w:name w:val="Note Bullet"/>
    <w:basedOn w:val="Note"/>
    <w:rsid w:val="000E4586"/>
    <w:pPr>
      <w:tabs>
        <w:tab w:val="clear" w:pos="680"/>
      </w:tabs>
      <w:spacing w:before="60" w:after="60"/>
    </w:pPr>
  </w:style>
  <w:style w:type="paragraph" w:customStyle="1" w:styleId="SubHeading2">
    <w:name w:val="SubHeading2"/>
    <w:basedOn w:val="HeadingBase"/>
    <w:rsid w:val="000E4586"/>
    <w:pPr>
      <w:spacing w:before="240" w:after="60"/>
    </w:pPr>
    <w:rPr>
      <w:sz w:val="20"/>
    </w:rPr>
  </w:style>
  <w:style w:type="paragraph" w:customStyle="1" w:styleId="SubHeading1">
    <w:name w:val="SubHeading1"/>
    <w:basedOn w:val="HeadingBase"/>
    <w:rsid w:val="000E4586"/>
    <w:pPr>
      <w:spacing w:before="240" w:after="60"/>
    </w:pPr>
    <w:rPr>
      <w:color w:val="918585"/>
      <w:sz w:val="22"/>
    </w:rPr>
  </w:style>
  <w:style w:type="paragraph" w:customStyle="1" w:styleId="SideHeading">
    <w:name w:val="Side Heading"/>
    <w:basedOn w:val="HeadingBase"/>
    <w:rsid w:val="000E4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586"/>
    <w:pPr>
      <w:tabs>
        <w:tab w:val="num" w:pos="360"/>
      </w:tabs>
    </w:pPr>
  </w:style>
  <w:style w:type="paragraph" w:styleId="PlainText">
    <w:name w:val="Plain Text"/>
    <w:basedOn w:val="Normal"/>
    <w:link w:val="PlainTextChar"/>
    <w:rsid w:val="000E4586"/>
    <w:rPr>
      <w:sz w:val="20"/>
    </w:rPr>
  </w:style>
  <w:style w:type="character" w:customStyle="1" w:styleId="PlainTextChar">
    <w:name w:val="Plain Text Char"/>
    <w:basedOn w:val="DefaultParagraphFont"/>
    <w:link w:val="PlainText"/>
    <w:rsid w:val="000E4586"/>
    <w:rPr>
      <w:rFonts w:ascii="Courier New" w:eastAsia="Times New Roman" w:hAnsi="Courier New" w:cs="Times New Roman"/>
      <w:sz w:val="20"/>
      <w:szCs w:val="20"/>
      <w:lang w:eastAsia="en-US"/>
    </w:rPr>
  </w:style>
  <w:style w:type="character" w:customStyle="1" w:styleId="MenuOption">
    <w:name w:val="Menu Option"/>
    <w:basedOn w:val="DefaultParagraphFont"/>
    <w:rsid w:val="000E4586"/>
    <w:rPr>
      <w:b/>
      <w:smallCaps/>
    </w:rPr>
  </w:style>
  <w:style w:type="paragraph" w:customStyle="1" w:styleId="TableListNumber">
    <w:name w:val="Table List Number"/>
    <w:basedOn w:val="ListNumber"/>
    <w:rsid w:val="000E4586"/>
    <w:pPr>
      <w:numPr>
        <w:numId w:val="0"/>
      </w:numPr>
    </w:pPr>
  </w:style>
  <w:style w:type="paragraph" w:styleId="TOC4">
    <w:name w:val="toc 4"/>
    <w:basedOn w:val="TOCBase"/>
    <w:next w:val="Normal"/>
    <w:semiHidden/>
    <w:rsid w:val="000E4586"/>
    <w:pPr>
      <w:tabs>
        <w:tab w:val="right" w:leader="dot" w:pos="9071"/>
      </w:tabs>
      <w:ind w:left="1701"/>
    </w:pPr>
  </w:style>
  <w:style w:type="paragraph" w:customStyle="1" w:styleId="ListAlpha">
    <w:name w:val="List Alpha"/>
    <w:basedOn w:val="List"/>
    <w:rsid w:val="000E4586"/>
    <w:pPr>
      <w:numPr>
        <w:numId w:val="9"/>
      </w:numPr>
    </w:pPr>
  </w:style>
  <w:style w:type="paragraph" w:customStyle="1" w:styleId="ListAlpha2">
    <w:name w:val="List Alpha 2"/>
    <w:basedOn w:val="List2"/>
    <w:rsid w:val="000E4586"/>
    <w:pPr>
      <w:numPr>
        <w:numId w:val="8"/>
      </w:numPr>
    </w:pPr>
  </w:style>
  <w:style w:type="paragraph" w:styleId="List2">
    <w:name w:val="List 2"/>
    <w:basedOn w:val="BodyText"/>
    <w:rsid w:val="000E4586"/>
    <w:pPr>
      <w:tabs>
        <w:tab w:val="left" w:pos="680"/>
      </w:tabs>
      <w:spacing w:before="60" w:after="60"/>
      <w:ind w:left="680" w:hanging="340"/>
    </w:pPr>
  </w:style>
  <w:style w:type="paragraph" w:styleId="List3">
    <w:name w:val="List 3"/>
    <w:basedOn w:val="BodyText"/>
    <w:rsid w:val="000E4586"/>
    <w:pPr>
      <w:tabs>
        <w:tab w:val="left" w:pos="1021"/>
      </w:tabs>
      <w:spacing w:before="60" w:after="60"/>
      <w:ind w:left="1020" w:hanging="340"/>
    </w:pPr>
  </w:style>
  <w:style w:type="paragraph" w:styleId="List4">
    <w:name w:val="List 4"/>
    <w:basedOn w:val="BodyText"/>
    <w:rsid w:val="000E4586"/>
    <w:pPr>
      <w:tabs>
        <w:tab w:val="left" w:pos="1361"/>
      </w:tabs>
      <w:spacing w:before="60" w:after="60"/>
      <w:ind w:left="1361" w:hanging="340"/>
    </w:pPr>
  </w:style>
  <w:style w:type="paragraph" w:styleId="List5">
    <w:name w:val="List 5"/>
    <w:basedOn w:val="BodyText"/>
    <w:rsid w:val="000E4586"/>
    <w:pPr>
      <w:tabs>
        <w:tab w:val="left" w:pos="1701"/>
      </w:tabs>
      <w:spacing w:before="60" w:after="60"/>
      <w:ind w:left="1701" w:hanging="340"/>
    </w:pPr>
  </w:style>
  <w:style w:type="paragraph" w:styleId="ListBullet3">
    <w:name w:val="List Bullet 3"/>
    <w:basedOn w:val="List3"/>
    <w:rsid w:val="000E4586"/>
    <w:pPr>
      <w:numPr>
        <w:numId w:val="14"/>
      </w:numPr>
      <w:tabs>
        <w:tab w:val="clear" w:pos="1021"/>
      </w:tabs>
      <w:ind w:left="1037" w:hanging="357"/>
    </w:pPr>
  </w:style>
  <w:style w:type="paragraph" w:styleId="ListBullet4">
    <w:name w:val="List Bullet 4"/>
    <w:basedOn w:val="List4"/>
    <w:rsid w:val="000E4586"/>
    <w:pPr>
      <w:numPr>
        <w:numId w:val="3"/>
      </w:numPr>
      <w:tabs>
        <w:tab w:val="clear" w:pos="1361"/>
      </w:tabs>
    </w:pPr>
  </w:style>
  <w:style w:type="paragraph" w:styleId="ListBullet5">
    <w:name w:val="List Bullet 5"/>
    <w:basedOn w:val="List5"/>
    <w:rsid w:val="000E4586"/>
    <w:pPr>
      <w:numPr>
        <w:numId w:val="4"/>
      </w:numPr>
    </w:pPr>
  </w:style>
  <w:style w:type="paragraph" w:styleId="ListContinue2">
    <w:name w:val="List Continue 2"/>
    <w:basedOn w:val="List2"/>
    <w:rsid w:val="000E4586"/>
    <w:pPr>
      <w:ind w:firstLine="0"/>
    </w:pPr>
  </w:style>
  <w:style w:type="paragraph" w:styleId="ListContinue3">
    <w:name w:val="List Continue 3"/>
    <w:basedOn w:val="List3"/>
    <w:rsid w:val="000E4586"/>
    <w:pPr>
      <w:ind w:left="1021" w:firstLine="0"/>
    </w:pPr>
  </w:style>
  <w:style w:type="paragraph" w:styleId="ListContinue4">
    <w:name w:val="List Continue 4"/>
    <w:basedOn w:val="List4"/>
    <w:rsid w:val="000E4586"/>
    <w:pPr>
      <w:ind w:firstLine="0"/>
    </w:pPr>
  </w:style>
  <w:style w:type="paragraph" w:styleId="ListContinue5">
    <w:name w:val="List Continue 5"/>
    <w:basedOn w:val="List5"/>
    <w:rsid w:val="000E4586"/>
    <w:pPr>
      <w:ind w:firstLine="0"/>
    </w:pPr>
  </w:style>
  <w:style w:type="paragraph" w:styleId="ListNumber3">
    <w:name w:val="List Number 3"/>
    <w:basedOn w:val="List3"/>
    <w:rsid w:val="000E4586"/>
    <w:pPr>
      <w:numPr>
        <w:numId w:val="5"/>
      </w:numPr>
    </w:pPr>
  </w:style>
  <w:style w:type="paragraph" w:styleId="ListNumber4">
    <w:name w:val="List Number 4"/>
    <w:basedOn w:val="List4"/>
    <w:rsid w:val="000E4586"/>
    <w:pPr>
      <w:numPr>
        <w:numId w:val="6"/>
      </w:numPr>
    </w:pPr>
  </w:style>
  <w:style w:type="paragraph" w:styleId="ListNumber5">
    <w:name w:val="List Number 5"/>
    <w:basedOn w:val="List5"/>
    <w:rsid w:val="000E4586"/>
    <w:pPr>
      <w:numPr>
        <w:numId w:val="7"/>
      </w:numPr>
    </w:pPr>
  </w:style>
  <w:style w:type="paragraph" w:styleId="BlockText">
    <w:name w:val="Block Text"/>
    <w:basedOn w:val="Normal"/>
    <w:rsid w:val="000E4586"/>
    <w:pPr>
      <w:spacing w:after="120"/>
      <w:ind w:left="1440" w:right="1440"/>
    </w:pPr>
  </w:style>
  <w:style w:type="character" w:customStyle="1" w:styleId="Subscript">
    <w:name w:val="Subscript"/>
    <w:basedOn w:val="DefaultParagraphFont"/>
    <w:rsid w:val="000E4586"/>
    <w:rPr>
      <w:sz w:val="16"/>
      <w:vertAlign w:val="subscript"/>
    </w:rPr>
  </w:style>
  <w:style w:type="character" w:customStyle="1" w:styleId="Superscript">
    <w:name w:val="Superscript"/>
    <w:basedOn w:val="DefaultParagraphFont"/>
    <w:rsid w:val="000E4586"/>
    <w:rPr>
      <w:sz w:val="16"/>
      <w:vertAlign w:val="superscript"/>
    </w:rPr>
  </w:style>
  <w:style w:type="character" w:customStyle="1" w:styleId="Symbols">
    <w:name w:val="Symbols"/>
    <w:basedOn w:val="DefaultParagraphFont"/>
    <w:rsid w:val="000E4586"/>
    <w:rPr>
      <w:rFonts w:ascii="Symbol" w:hAnsi="Symbol"/>
    </w:rPr>
  </w:style>
  <w:style w:type="character" w:customStyle="1" w:styleId="MenuOptions">
    <w:name w:val="Menu Options"/>
    <w:basedOn w:val="DefaultParagraphFont"/>
    <w:rsid w:val="000E4586"/>
    <w:rPr>
      <w:rFonts w:ascii="Arial Narrow" w:hAnsi="Arial Narrow"/>
      <w:smallCaps/>
    </w:rPr>
  </w:style>
  <w:style w:type="character" w:customStyle="1" w:styleId="Buttons">
    <w:name w:val="Buttons"/>
    <w:basedOn w:val="DefaultParagraphFont"/>
    <w:rsid w:val="000E4586"/>
    <w:rPr>
      <w:b/>
    </w:rPr>
  </w:style>
  <w:style w:type="character" w:customStyle="1" w:styleId="Underlined">
    <w:name w:val="Underlined"/>
    <w:basedOn w:val="DefaultParagraphFont"/>
    <w:rsid w:val="000E4586"/>
    <w:rPr>
      <w:u w:val="single"/>
    </w:rPr>
  </w:style>
  <w:style w:type="paragraph" w:customStyle="1" w:styleId="TableBodyTextRight">
    <w:name w:val="Table Body Text Right"/>
    <w:basedOn w:val="TableBodyText"/>
    <w:rsid w:val="000E4586"/>
    <w:pPr>
      <w:widowControl w:val="0"/>
      <w:autoSpaceDE w:val="0"/>
      <w:autoSpaceDN w:val="0"/>
      <w:adjustRightInd w:val="0"/>
      <w:jc w:val="right"/>
    </w:pPr>
    <w:rPr>
      <w:rFonts w:cs="Arial"/>
      <w:szCs w:val="18"/>
    </w:rPr>
  </w:style>
  <w:style w:type="paragraph" w:customStyle="1" w:styleId="CopyrightText">
    <w:name w:val="Copyright Text"/>
    <w:basedOn w:val="BodyText"/>
    <w:rsid w:val="000E4586"/>
    <w:rPr>
      <w:sz w:val="18"/>
    </w:rPr>
  </w:style>
  <w:style w:type="paragraph" w:customStyle="1" w:styleId="BodySmallRight">
    <w:name w:val="Body Small Right"/>
    <w:basedOn w:val="BodyTextRight"/>
    <w:rsid w:val="000E4586"/>
    <w:rPr>
      <w:sz w:val="18"/>
      <w:szCs w:val="18"/>
    </w:rPr>
  </w:style>
  <w:style w:type="paragraph" w:customStyle="1" w:styleId="MarginEdition">
    <w:name w:val="Margin Edition"/>
    <w:basedOn w:val="MarginNote"/>
    <w:rsid w:val="000E4586"/>
    <w:pPr>
      <w:spacing w:before="0" w:after="0"/>
    </w:pPr>
    <w:rPr>
      <w:rFonts w:ascii="Times New Roman" w:hAnsi="Times New Roman"/>
      <w:color w:val="999999"/>
    </w:rPr>
  </w:style>
  <w:style w:type="paragraph" w:customStyle="1" w:styleId="Spacer">
    <w:name w:val="Spacer"/>
    <w:basedOn w:val="Normal"/>
    <w:rsid w:val="000E4586"/>
    <w:rPr>
      <w:sz w:val="2"/>
      <w:szCs w:val="2"/>
    </w:rPr>
  </w:style>
  <w:style w:type="character" w:customStyle="1" w:styleId="Small">
    <w:name w:val="Small"/>
    <w:basedOn w:val="DefaultParagraphFont"/>
    <w:rsid w:val="000E4586"/>
    <w:rPr>
      <w:sz w:val="16"/>
    </w:rPr>
  </w:style>
  <w:style w:type="paragraph" w:customStyle="1" w:styleId="WideTable">
    <w:name w:val="Wide Table"/>
    <w:basedOn w:val="Normal"/>
    <w:rsid w:val="000E4586"/>
    <w:pPr>
      <w:ind w:left="-1418"/>
    </w:pPr>
    <w:rPr>
      <w:sz w:val="2"/>
      <w:szCs w:val="2"/>
    </w:rPr>
  </w:style>
  <w:style w:type="character" w:styleId="PageNumber">
    <w:name w:val="page number"/>
    <w:basedOn w:val="DefaultParagraphFont"/>
    <w:rsid w:val="000E4586"/>
  </w:style>
  <w:style w:type="paragraph" w:styleId="Quote">
    <w:name w:val="Quote"/>
    <w:basedOn w:val="Heading1"/>
    <w:link w:val="QuoteChar"/>
    <w:qFormat/>
    <w:rsid w:val="000E4586"/>
    <w:rPr>
      <w:b w:val="0"/>
      <w:sz w:val="72"/>
      <w:szCs w:val="72"/>
      <w:lang w:val="en-NZ"/>
    </w:rPr>
  </w:style>
  <w:style w:type="character" w:customStyle="1" w:styleId="QuoteChar">
    <w:name w:val="Quote Char"/>
    <w:basedOn w:val="DefaultParagraphFont"/>
    <w:link w:val="Quote"/>
    <w:rsid w:val="000E4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586"/>
    <w:pPr>
      <w:pageBreakBefore/>
    </w:pPr>
  </w:style>
  <w:style w:type="paragraph" w:customStyle="1" w:styleId="Border">
    <w:name w:val="Border"/>
    <w:basedOn w:val="Normal"/>
    <w:qFormat/>
    <w:rsid w:val="000E4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586"/>
    <w:rPr>
      <w:b/>
      <w:bCs/>
      <w:i/>
      <w:iCs/>
      <w:color w:val="auto"/>
    </w:rPr>
  </w:style>
  <w:style w:type="paragraph" w:styleId="IntenseQuote">
    <w:name w:val="Intense Quote"/>
    <w:basedOn w:val="Normal"/>
    <w:next w:val="Normal"/>
    <w:link w:val="IntenseQuoteChar"/>
    <w:uiPriority w:val="30"/>
    <w:qFormat/>
    <w:rsid w:val="000E4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586"/>
    <w:rPr>
      <w:smallCaps/>
      <w:color w:val="auto"/>
      <w:u w:val="single"/>
    </w:rPr>
  </w:style>
  <w:style w:type="character" w:styleId="IntenseReference">
    <w:name w:val="Intense Reference"/>
    <w:basedOn w:val="DefaultParagraphFont"/>
    <w:uiPriority w:val="32"/>
    <w:qFormat/>
    <w:rsid w:val="000E4586"/>
    <w:rPr>
      <w:b/>
      <w:bCs/>
      <w:smallCaps/>
      <w:color w:val="auto"/>
      <w:spacing w:val="5"/>
      <w:u w:val="single"/>
    </w:rPr>
  </w:style>
  <w:style w:type="paragraph" w:customStyle="1" w:styleId="2ColumnHeading">
    <w:name w:val="2Column Heading"/>
    <w:basedOn w:val="BodyText"/>
    <w:qFormat/>
    <w:rsid w:val="000E4586"/>
    <w:pPr>
      <w:spacing w:after="60"/>
      <w:ind w:left="-2268"/>
    </w:pPr>
    <w:rPr>
      <w:b/>
    </w:rPr>
  </w:style>
  <w:style w:type="paragraph" w:customStyle="1" w:styleId="Heading1TOC">
    <w:name w:val="Heading1 TOC"/>
    <w:basedOn w:val="Normal"/>
    <w:qFormat/>
    <w:rsid w:val="000E4586"/>
    <w:pPr>
      <w:spacing w:before="240" w:after="120"/>
    </w:pPr>
    <w:rPr>
      <w:rFonts w:ascii="Times New Roman" w:hAnsi="Times New Roman"/>
      <w:b/>
      <w:sz w:val="32"/>
    </w:rPr>
  </w:style>
  <w:style w:type="paragraph" w:customStyle="1" w:styleId="Heading2TOC">
    <w:name w:val="Heading2 TOC"/>
    <w:basedOn w:val="Normal"/>
    <w:qFormat/>
    <w:rsid w:val="000E4586"/>
    <w:pPr>
      <w:spacing w:before="240" w:after="60"/>
    </w:pPr>
    <w:rPr>
      <w:rFonts w:ascii="Times New Roman" w:hAnsi="Times New Roman"/>
      <w:b/>
      <w:sz w:val="28"/>
    </w:rPr>
  </w:style>
  <w:style w:type="character" w:customStyle="1" w:styleId="Underline">
    <w:name w:val="Underline"/>
    <w:basedOn w:val="DefaultParagraphFont"/>
    <w:qFormat/>
    <w:rsid w:val="000E4586"/>
    <w:rPr>
      <w:u w:val="single"/>
    </w:rPr>
  </w:style>
  <w:style w:type="character" w:customStyle="1" w:styleId="BoldandItalics">
    <w:name w:val="Bold and Italics"/>
    <w:qFormat/>
    <w:rsid w:val="000E4586"/>
    <w:rPr>
      <w:b/>
      <w:i/>
      <w:u w:val="none"/>
    </w:rPr>
  </w:style>
  <w:style w:type="paragraph" w:styleId="BalloonText">
    <w:name w:val="Balloon Text"/>
    <w:basedOn w:val="Normal"/>
    <w:link w:val="BalloonTextChar"/>
    <w:rsid w:val="000E4586"/>
    <w:rPr>
      <w:rFonts w:ascii="Tahoma" w:hAnsi="Tahoma" w:cs="Tahoma"/>
      <w:sz w:val="16"/>
      <w:szCs w:val="16"/>
    </w:rPr>
  </w:style>
  <w:style w:type="character" w:customStyle="1" w:styleId="BalloonTextChar">
    <w:name w:val="Balloon Text Char"/>
    <w:basedOn w:val="DefaultParagraphFont"/>
    <w:link w:val="BalloonText"/>
    <w:rsid w:val="000E4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586"/>
    <w:rPr>
      <w:b/>
      <w:color w:val="660033"/>
      <w:spacing w:val="0"/>
    </w:rPr>
  </w:style>
  <w:style w:type="paragraph" w:customStyle="1" w:styleId="Nameditemlist">
    <w:name w:val="Named item list"/>
    <w:basedOn w:val="BodyText"/>
    <w:qFormat/>
    <w:rsid w:val="000E4586"/>
    <w:pPr>
      <w:tabs>
        <w:tab w:val="left" w:pos="2835"/>
      </w:tabs>
      <w:ind w:left="2835" w:hanging="2835"/>
    </w:pPr>
  </w:style>
  <w:style w:type="paragraph" w:customStyle="1" w:styleId="BodyTextnopadding">
    <w:name w:val="Body Text no padding"/>
    <w:basedOn w:val="BodyText"/>
    <w:qFormat/>
    <w:rsid w:val="000E4586"/>
    <w:pPr>
      <w:spacing w:before="0" w:after="0"/>
    </w:pPr>
  </w:style>
  <w:style w:type="paragraph" w:customStyle="1" w:styleId="BodyTextBold">
    <w:name w:val="Body Text Bold"/>
    <w:basedOn w:val="BodyText"/>
    <w:qFormat/>
    <w:rsid w:val="000E4586"/>
    <w:rPr>
      <w:b/>
    </w:rPr>
  </w:style>
  <w:style w:type="character" w:styleId="Hyperlink">
    <w:name w:val="Hyperlink"/>
    <w:basedOn w:val="DefaultParagraphFont"/>
    <w:uiPriority w:val="99"/>
    <w:unhideWhenUsed/>
    <w:rsid w:val="00AD1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1226</Words>
  <Characters>7915</Characters>
  <Application>Microsoft Office Word</Application>
  <DocSecurity>0</DocSecurity>
  <Lines>179</Lines>
  <Paragraphs>120</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RIIERR601D Establish and maintain mine emergency preparedness and response systems</dc:title>
  <dc:subject>Approved</dc:subject>
  <dc:creator>PwC’s Skills for Australia</dc:creator>
  <cp:keywords>Release: 2</cp:keywords>
  <dc:description>Review Date: 12 April 2008</dc:description>
  <cp:lastModifiedBy>HSD_TPCMSd.prod</cp:lastModifiedBy>
  <cp:revision>3</cp:revision>
  <dcterms:created xsi:type="dcterms:W3CDTF">2020-07-08T07:32:00Z</dcterms:created>
  <dcterms:modified xsi:type="dcterms:W3CDTF">2020-07-08T07:32:00Z</dcterms:modified>
</cp:coreProperties>
</file>