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272" w:rsidP="00474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RIIERR202E Contribute to the control of emergencies and critical situations</w:t>
      </w:r>
      <w:r>
        <w:fldChar w:fldCharType="end"/>
      </w:r>
    </w:p>
    <w:p w:rsidR="00474272" w:rsidP="00474272">
      <w:pPr>
        <w:pStyle w:val="Version"/>
        <w:sectPr w:rsidSect="00091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CF1" w:rsidP="00091CF1">
      <w:pPr>
        <w:pStyle w:val="SuperHeading"/>
      </w:pPr>
      <w:r w:rsidRPr="00091CF1">
        <w:t>Assessment Requirements for RIIERR202E Contribute to the control of emergencies and critical situations</w:t>
      </w:r>
    </w:p>
    <w:p w:rsidR="00000000" w:rsidRPr="00091CF1" w:rsidP="00091CF1">
      <w:pPr>
        <w:pStyle w:val="Heading1"/>
      </w:pPr>
      <w:bookmarkStart w:id="1" w:name="O_849069"/>
      <w:bookmarkEnd w:id="1"/>
      <w:r w:rsidRPr="00091CF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091CF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F1">
            <w:pPr>
              <w:pStyle w:val="Heading4"/>
              <w:rPr>
                <w:lang w:val="en-NZ"/>
              </w:rPr>
            </w:pPr>
            <w:r w:rsidRPr="00091CF1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F1">
            <w:pPr>
              <w:pStyle w:val="Heading4"/>
              <w:rPr>
                <w:lang w:val="en-NZ"/>
              </w:rPr>
            </w:pPr>
            <w:r w:rsidRPr="00091CF1">
              <w:t>Comment</w:t>
            </w:r>
          </w:p>
        </w:tc>
      </w:tr>
      <w:tr w:rsidTr="00091CF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F1" w:rsidP="00091CF1">
            <w:pPr>
              <w:pStyle w:val="BodyText"/>
            </w:pPr>
            <w:r w:rsidRPr="00091CF1">
              <w:t>This unit replaces RIIERR202D Contribute to the control of emergencies and critical situations</w:t>
            </w:r>
            <w:r w:rsidRPr="00091CF1">
              <w:t>. Element and two performance criteria removed. Performance and knowledge evidence substantially amended.</w:t>
            </w:r>
          </w:p>
        </w:tc>
      </w:tr>
    </w:tbl>
    <w:p w:rsidR="00000000" w:rsidRPr="00091CF1" w:rsidP="00091CF1">
      <w:pPr>
        <w:pStyle w:val="BodyText"/>
      </w:pPr>
    </w:p>
    <w:p w:rsidR="00000000" w:rsidRPr="00091CF1" w:rsidP="00091CF1">
      <w:pPr>
        <w:pStyle w:val="AllowPageBreak"/>
      </w:pPr>
    </w:p>
    <w:p w:rsidR="00000000" w:rsidRPr="00091CF1" w:rsidP="00091CF1">
      <w:pPr>
        <w:pStyle w:val="Heading1"/>
      </w:pPr>
      <w:bookmarkStart w:id="2" w:name="O_849072"/>
      <w:bookmarkEnd w:id="2"/>
      <w:r w:rsidRPr="00091CF1">
        <w:t>Performance Evidence</w:t>
      </w:r>
    </w:p>
    <w:p w:rsidR="00000000" w:rsidRPr="00091CF1" w:rsidP="00474272">
      <w:pPr>
        <w:pStyle w:val="BodyText"/>
      </w:pPr>
      <w:r w:rsidRPr="00091CF1">
        <w:t>Evidence is required to be collected that demonstrates a candidate’s competency in this unit. Evidence must be</w:t>
      </w:r>
      <w:r w:rsidRPr="00091CF1">
        <w:t xml:space="preserve"> relevant to the roles within this sector’s work operations and satisfy all of the requirements of the performance criteria of this unit and include that the candidate:</w:t>
      </w:r>
    </w:p>
    <w:p w:rsidR="00000000" w:rsidRPr="00091CF1" w:rsidP="00091CF1">
      <w:pPr>
        <w:pStyle w:val="ListBullet"/>
      </w:pPr>
      <w:r w:rsidRPr="00091CF1">
        <w:t>locates and applies relevant documentation, policies and procedures to contribute to t</w:t>
      </w:r>
      <w:r w:rsidRPr="00091CF1">
        <w:t>he control of emergencies and critical situations</w:t>
      </w:r>
    </w:p>
    <w:p w:rsidR="00000000" w:rsidRPr="00091CF1" w:rsidP="00091CF1">
      <w:pPr>
        <w:pStyle w:val="ListBullet"/>
      </w:pPr>
      <w:r w:rsidRPr="00091CF1">
        <w:t>implements requirements, procedures and techniques for the safe, effective control of emergencies and critical situations including:</w:t>
      </w:r>
    </w:p>
    <w:p w:rsidR="00000000" w:rsidRPr="00091CF1" w:rsidP="00091CF1">
      <w:pPr>
        <w:pStyle w:val="ListBullet2"/>
      </w:pPr>
      <w:r w:rsidRPr="00091CF1">
        <w:t>identifying effects of changes of ambient conditions on operations</w:t>
      </w:r>
    </w:p>
    <w:p w:rsidR="00000000" w:rsidRPr="00091CF1" w:rsidP="00091CF1">
      <w:pPr>
        <w:pStyle w:val="ListBullet2"/>
      </w:pPr>
      <w:r w:rsidRPr="00091CF1">
        <w:t>reading and interpreting drawings and manuals</w:t>
      </w:r>
    </w:p>
    <w:p w:rsidR="00000000" w:rsidRPr="00091CF1" w:rsidP="00091CF1">
      <w:pPr>
        <w:pStyle w:val="ListBullet2"/>
      </w:pPr>
      <w:r w:rsidRPr="00091CF1">
        <w:t>operating equipment</w:t>
      </w:r>
    </w:p>
    <w:p w:rsidR="00000000" w:rsidRPr="00091CF1" w:rsidP="00091CF1">
      <w:pPr>
        <w:pStyle w:val="ListBullet2"/>
      </w:pPr>
      <w:r w:rsidRPr="00091CF1">
        <w:t>applying manual handling techniques</w:t>
      </w:r>
    </w:p>
    <w:p w:rsidR="00000000" w:rsidRPr="00091CF1" w:rsidP="00091CF1">
      <w:pPr>
        <w:pStyle w:val="ListBullet"/>
      </w:pPr>
      <w:r w:rsidRPr="00091CF1">
        <w:t>works with others to undertake the control of emergencies and critical situations that meets all of the required outcomes including:</w:t>
      </w:r>
    </w:p>
    <w:p w:rsidR="00000000" w:rsidRPr="00091CF1" w:rsidP="00091CF1">
      <w:pPr>
        <w:pStyle w:val="ListBullet2"/>
      </w:pPr>
      <w:r w:rsidRPr="00091CF1">
        <w:t>using a range of co</w:t>
      </w:r>
      <w:r w:rsidRPr="00091CF1">
        <w:t>mmunications techniques and equipment to convey information to others</w:t>
      </w:r>
    </w:p>
    <w:p w:rsidR="00000000" w:rsidRPr="00091CF1" w:rsidP="00091CF1">
      <w:pPr>
        <w:pStyle w:val="ListBullet2"/>
      </w:pPr>
      <w:r w:rsidRPr="00091CF1">
        <w:t>maintaining written and verbal reporting requirements and procedures</w:t>
      </w:r>
    </w:p>
    <w:p w:rsidR="00000000" w:rsidRPr="00091CF1" w:rsidP="00091CF1">
      <w:pPr>
        <w:pStyle w:val="ListBullet2"/>
      </w:pPr>
      <w:r w:rsidRPr="00091CF1">
        <w:t>communicating to confirm work/plans/specifications</w:t>
      </w:r>
    </w:p>
    <w:p w:rsidR="00000000" w:rsidRPr="00091CF1" w:rsidP="00091CF1">
      <w:pPr>
        <w:pStyle w:val="ListBullet"/>
      </w:pPr>
      <w:r w:rsidRPr="00091CF1">
        <w:t>demonstrates completion of the contribution to the control of eme</w:t>
      </w:r>
      <w:r w:rsidRPr="00091CF1">
        <w:t>rgencies and critical situations that safely, effectively and efficiently meets all of the required outcomes on more than one (1) occasion including:</w:t>
      </w:r>
    </w:p>
    <w:p w:rsidR="00000000" w:rsidRPr="00091CF1" w:rsidP="00091CF1">
      <w:pPr>
        <w:pStyle w:val="ListBullet2"/>
      </w:pPr>
      <w:r w:rsidRPr="00091CF1">
        <w:t>contributing to the control of critical situations including:</w:t>
      </w:r>
    </w:p>
    <w:p w:rsidR="00000000" w:rsidRPr="00091CF1" w:rsidP="00091CF1">
      <w:pPr>
        <w:pStyle w:val="ListBullet3"/>
      </w:pPr>
      <w:r w:rsidRPr="00091CF1">
        <w:t>activating relevant alarms</w:t>
      </w:r>
    </w:p>
    <w:p w:rsidR="00000000" w:rsidRPr="00091CF1" w:rsidP="00091CF1">
      <w:pPr>
        <w:pStyle w:val="ListBullet3"/>
      </w:pPr>
      <w:r w:rsidRPr="00091CF1">
        <w:t>quickly and competently closing the well</w:t>
      </w:r>
    </w:p>
    <w:p w:rsidR="00000000" w:rsidRPr="00091CF1" w:rsidP="00091CF1">
      <w:pPr>
        <w:pStyle w:val="ListBullet3"/>
      </w:pPr>
      <w:r w:rsidRPr="00091CF1">
        <w:t>initiating actions in response to critical situations</w:t>
      </w:r>
    </w:p>
    <w:p w:rsidR="00000000" w:rsidRPr="00091CF1" w:rsidP="00091CF1">
      <w:pPr>
        <w:pStyle w:val="ListBullet2"/>
      </w:pPr>
      <w:r w:rsidRPr="00091CF1">
        <w:t xml:space="preserve">responding to emergencies </w:t>
      </w:r>
    </w:p>
    <w:p w:rsidR="00000000" w:rsidRPr="00091CF1" w:rsidP="00091CF1">
      <w:pPr>
        <w:pStyle w:val="ListBullet2"/>
      </w:pPr>
      <w:r w:rsidRPr="00091CF1">
        <w:t>applying safe manual handling techniques when lifting, pushing, pulling, carrying or restraining objects</w:t>
      </w:r>
    </w:p>
    <w:p w:rsidR="00000000" w:rsidRPr="00091CF1" w:rsidP="00091CF1">
      <w:pPr>
        <w:pStyle w:val="ListBullet2"/>
      </w:pPr>
      <w:r w:rsidRPr="00091CF1">
        <w:t>participating in fire drills</w:t>
      </w:r>
      <w:r w:rsidRPr="00091CF1">
        <w:t xml:space="preserve"> </w:t>
      </w:r>
    </w:p>
    <w:p w:rsidR="00000000" w:rsidRPr="00091CF1" w:rsidP="00091CF1">
      <w:pPr>
        <w:pStyle w:val="ListBullet2"/>
      </w:pPr>
      <w:r w:rsidRPr="00091CF1">
        <w:t>providing assistance in the application of first aid and medivac procedures</w:t>
      </w:r>
    </w:p>
    <w:p w:rsidR="00000000" w:rsidRPr="00091CF1" w:rsidP="00091CF1">
      <w:pPr>
        <w:pStyle w:val="AllowPageBreak"/>
      </w:pPr>
    </w:p>
    <w:p w:rsidR="00000000" w:rsidRPr="00091CF1" w:rsidP="00091CF1">
      <w:pPr>
        <w:pStyle w:val="Heading1"/>
      </w:pPr>
      <w:bookmarkStart w:id="3" w:name="O_849071"/>
      <w:bookmarkEnd w:id="3"/>
      <w:r w:rsidRPr="00091CF1">
        <w:t>Knowledge Evidence</w:t>
      </w:r>
    </w:p>
    <w:p w:rsidR="00000000" w:rsidRPr="00091CF1" w:rsidP="00474272">
      <w:pPr>
        <w:pStyle w:val="BodyText"/>
      </w:pPr>
      <w:r w:rsidRPr="00091CF1">
        <w:t>The candidate must demonstrate knowledge of the following when contributing to the control of emergencies and critical situations:</w:t>
      </w:r>
    </w:p>
    <w:p w:rsidR="00000000" w:rsidRPr="00091CF1" w:rsidP="00091CF1">
      <w:pPr>
        <w:pStyle w:val="ListBullet"/>
      </w:pPr>
      <w:r w:rsidRPr="00091CF1">
        <w:t>emergencie</w:t>
      </w:r>
      <w:r w:rsidRPr="00091CF1">
        <w:t>s and critical situations</w:t>
      </w:r>
    </w:p>
    <w:p w:rsidR="00000000" w:rsidRPr="00091CF1" w:rsidP="00091CF1">
      <w:pPr>
        <w:pStyle w:val="ListBullet"/>
      </w:pPr>
      <w:r w:rsidRPr="00091CF1">
        <w:t>fire and gas control system</w:t>
      </w:r>
    </w:p>
    <w:p w:rsidR="00000000" w:rsidRPr="00091CF1" w:rsidP="00091CF1">
      <w:pPr>
        <w:pStyle w:val="ListBullet"/>
      </w:pPr>
      <w:r w:rsidRPr="00091CF1">
        <w:t>isolation and permit to work systems</w:t>
      </w:r>
    </w:p>
    <w:p w:rsidR="00000000" w:rsidRPr="00091CF1" w:rsidP="00091CF1">
      <w:pPr>
        <w:pStyle w:val="ListBullet"/>
      </w:pPr>
      <w:r w:rsidRPr="00091CF1">
        <w:t>emergency shutdown control procedure</w:t>
      </w:r>
    </w:p>
    <w:p w:rsidR="00000000" w:rsidRPr="00091CF1" w:rsidP="00091CF1">
      <w:pPr>
        <w:pStyle w:val="AllowPageBreak"/>
      </w:pPr>
    </w:p>
    <w:p w:rsidR="00000000" w:rsidRPr="00091CF1" w:rsidP="00091CF1">
      <w:pPr>
        <w:pStyle w:val="Heading1"/>
      </w:pPr>
      <w:bookmarkStart w:id="4" w:name="O_849070"/>
      <w:bookmarkEnd w:id="4"/>
      <w:r w:rsidRPr="00091CF1">
        <w:t>Assessment Conditions</w:t>
      </w:r>
    </w:p>
    <w:p w:rsidR="00000000" w:rsidRPr="00091CF1" w:rsidP="00091CF1">
      <w:pPr>
        <w:pStyle w:val="ListBullet"/>
      </w:pPr>
      <w:r w:rsidRPr="00091CF1">
        <w:t xml:space="preserve">Assessors must satisfy the Standards for Registered Training Organisations (RTOs) 2015/AQTF mandatory competency requirements for assessors; and industry regulations for certification and licensing; and, </w:t>
      </w:r>
    </w:p>
    <w:p w:rsidR="00000000" w:rsidRPr="00091CF1" w:rsidP="00091CF1">
      <w:pPr>
        <w:pStyle w:val="ListBullet"/>
      </w:pPr>
      <w:r w:rsidRPr="00091CF1">
        <w:t>this unit is best assessed in the context of this s</w:t>
      </w:r>
      <w:r w:rsidRPr="00091CF1">
        <w:t>ector’s work environment;</w:t>
      </w:r>
    </w:p>
    <w:p w:rsidR="00000000" w:rsidRPr="00091CF1" w:rsidP="00091CF1">
      <w:pPr>
        <w:pStyle w:val="ListBullet"/>
      </w:pPr>
      <w:r w:rsidRPr="00091CF1">
        <w:t>where personal safety or environmental damage are limiting factors, assessment may occur in a simulated environment provided it is realistic and sufficiently rigorous to cover all aspects of this sector’s workplace performance, in</w:t>
      </w:r>
      <w:r w:rsidRPr="00091CF1">
        <w:t>cluding environment, task skills, task management skills, contingency management skills and job role environment skills; and,</w:t>
      </w:r>
    </w:p>
    <w:p w:rsidR="00000000" w:rsidRPr="00091CF1" w:rsidP="00091CF1">
      <w:pPr>
        <w:pStyle w:val="ListBullet"/>
      </w:pPr>
      <w:r w:rsidRPr="00091CF1">
        <w:t>this unit must be assessed in compliance with relevant legislation/regulation and using policies, procedures, processes and operat</w:t>
      </w:r>
      <w:r w:rsidRPr="00091CF1">
        <w:t>ional manuals directly related to the industry sector for which it is being assessed; and,</w:t>
      </w:r>
    </w:p>
    <w:p w:rsidR="00000000" w:rsidRPr="00091CF1" w:rsidP="00091CF1">
      <w:pPr>
        <w:pStyle w:val="ListBullet"/>
      </w:pPr>
      <w:r w:rsidRPr="00091CF1">
        <w:t>assessment may be conducted in conjunction with the assessment of other Units of Competency; and,</w:t>
      </w:r>
    </w:p>
    <w:p w:rsidR="00000000" w:rsidRPr="00091CF1" w:rsidP="00091CF1">
      <w:pPr>
        <w:pStyle w:val="ListBullet"/>
      </w:pPr>
      <w:r w:rsidRPr="00091CF1">
        <w:t xml:space="preserve">assessment must confirm consistent performance can be applied in a </w:t>
      </w:r>
      <w:r w:rsidRPr="00091CF1">
        <w:t>range of relevant workplace circumstances; and,</w:t>
      </w:r>
    </w:p>
    <w:p w:rsidR="00000000" w:rsidRPr="00091CF1" w:rsidP="00091CF1">
      <w:pPr>
        <w:pStyle w:val="ListBullet"/>
      </w:pPr>
      <w:r w:rsidRPr="00091CF1">
        <w:t>assessors must demonstrate the performance evidence, and knowledge evidence as outlined in this Unit of Competency, and through the minimum years of current* work experience specified below in an industry sec</w:t>
      </w:r>
      <w:r w:rsidRPr="00091CF1">
        <w:t>tor relevant to the outcomes of the unit; or,</w:t>
      </w:r>
    </w:p>
    <w:p w:rsidR="00000000" w:rsidRPr="00091CF1" w:rsidP="00091CF1">
      <w:pPr>
        <w:pStyle w:val="ListBullet"/>
      </w:pPr>
      <w:r w:rsidRPr="00091CF1">
        <w:t>where the assessor does not meet experience requirements a co-assessment or partnership arrangement must exist between the qualified assessor and an industry subject matter expert. The industry subject matter e</w:t>
      </w:r>
      <w:r w:rsidRPr="00091CF1">
        <w:t>xpert should hold the unit being assessed (or an equivalent unit) and/or demonstrate equivalence of skills and knowledge at the unit level. An industry technical expert must also demonstrate skills and knowledge from the minimum years of current work exper</w:t>
      </w:r>
      <w:r w:rsidRPr="00091CF1">
        <w:t>ience specified below in the industry sector, including time spent in roles related to the unit being assessed; and,</w:t>
      </w:r>
    </w:p>
    <w:p w:rsidR="00000000" w:rsidRPr="00091CF1" w:rsidP="00091CF1">
      <w:pPr>
        <w:pStyle w:val="ListBullet"/>
      </w:pPr>
      <w:r w:rsidRPr="00091CF1">
        <w:t>assessor and industry subject matter expert requirements differ depending on the Australian Qualifications Framework Level (AQF) of the qua</w:t>
      </w:r>
      <w:r w:rsidRPr="00091CF1">
        <w:t>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91C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Heading4"/>
              <w:rPr>
                <w:lang w:val="en-NZ"/>
              </w:rPr>
            </w:pPr>
            <w:r w:rsidRPr="00091CF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Heading4"/>
              <w:rPr>
                <w:lang w:val="en-NZ"/>
              </w:rPr>
            </w:pPr>
            <w:r w:rsidRPr="00091CF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Heading4"/>
              <w:rPr>
                <w:lang w:val="en-NZ"/>
              </w:rPr>
            </w:pPr>
            <w:r w:rsidRPr="00091CF1">
              <w:t>Required assessor or industry subject matter expert experience</w:t>
            </w:r>
          </w:p>
        </w:tc>
      </w:tr>
      <w:tr w:rsidTr="00091C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1 Year</w:t>
            </w:r>
          </w:p>
        </w:tc>
      </w:tr>
      <w:tr w:rsidTr="00091C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2 Years</w:t>
            </w:r>
          </w:p>
        </w:tc>
      </w:tr>
      <w:tr w:rsidTr="00091C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3 Years</w:t>
            </w:r>
          </w:p>
        </w:tc>
      </w:tr>
      <w:tr w:rsidTr="00091C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5 Years</w:t>
            </w:r>
          </w:p>
        </w:tc>
      </w:tr>
      <w:tr w:rsidTr="00091C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CF1">
            <w:pPr>
              <w:pStyle w:val="BodyText"/>
              <w:rPr>
                <w:lang w:val="en-NZ"/>
              </w:rPr>
            </w:pPr>
            <w:r w:rsidRPr="00091CF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1CF1" w:rsidP="00091CF1">
            <w:pPr>
              <w:pStyle w:val="BodyText"/>
            </w:pPr>
            <w:r w:rsidRPr="00091CF1">
              <w:t>Where thi</w:t>
            </w:r>
            <w:r w:rsidRPr="00091CF1">
              <w:t>s unit is being assessed outside of the Resources and Infrastructure Sectors, assessor and/or industry subject matter expert experience should be in-line with industry standards for the sector in which it is being assessed and, where no industry standard i</w:t>
            </w:r>
            <w:r w:rsidRPr="00091CF1">
              <w:t>s specified, should comply with any relevant regulation.</w:t>
            </w:r>
          </w:p>
        </w:tc>
      </w:tr>
    </w:tbl>
    <w:p w:rsidR="00000000" w:rsidRPr="00091CF1" w:rsidP="00474272">
      <w:pPr>
        <w:pStyle w:val="BodyText"/>
      </w:pPr>
      <w:r w:rsidRPr="00091CF1">
        <w:t>*Assessors can demonstrate current work experience through employment within industry in a role relevant to the outcomes of the unit; or, for external assessors this can be demonstrated through exp</w:t>
      </w:r>
      <w:r w:rsidRPr="00091CF1">
        <w:t>osure to industry by conducting frequent site assessments across various locations.</w:t>
      </w:r>
    </w:p>
    <w:p w:rsidR="00000000" w:rsidRPr="00091CF1" w:rsidP="00474272">
      <w:pPr>
        <w:pStyle w:val="BodyText"/>
      </w:pPr>
      <w:r w:rsidRPr="00091CF1">
        <w:t>**Where a unit is being delivered outside of a qualification the first numeric character in the Unit code should be considered to indicate the AQF level.</w:t>
      </w:r>
    </w:p>
    <w:p w:rsidR="00000000" w:rsidRPr="00091CF1" w:rsidP="00091CF1">
      <w:pPr>
        <w:pStyle w:val="Heading1"/>
      </w:pPr>
      <w:bookmarkStart w:id="5" w:name="O_849068"/>
      <w:bookmarkEnd w:id="5"/>
      <w:r w:rsidRPr="00091CF1">
        <w:t>L</w:t>
      </w:r>
      <w:r w:rsidRPr="00091CF1">
        <w:t>inks</w:t>
      </w:r>
    </w:p>
    <w:p w:rsidR="00000000" w:rsidRPr="00091CF1" w:rsidP="00474272">
      <w:pPr>
        <w:pStyle w:val="BodyText"/>
      </w:pPr>
      <w:r w:rsidRPr="00091C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C606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1CF1" w:rsidP="00091CF1"/>
    <w:sectPr w:rsidSect="00091C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F1" w:rsidRPr="00474272" w:rsidP="00474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72" w:rsidP="00091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272" w:rsidP="00091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4272" w:rsidP="00091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CF1" w:rsidRPr="00474272" w:rsidP="00474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72" w:rsidRPr="002D2AF8" w:rsidP="00091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RIIERR202E Contribute to the control of emergencies and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74272" w:rsidP="00091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BC2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AED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4CA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CF1"/>
  </w:style>
  <w:style w:type="character" w:customStyle="1" w:styleId="Heading1Char">
    <w:name w:val="Heading 1 Char"/>
    <w:basedOn w:val="DefaultParagraphFont"/>
    <w:link w:val="Heading1"/>
    <w:rsid w:val="00091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CF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91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C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C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1C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1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1C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1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C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1CF1"/>
    <w:rPr>
      <w:b/>
      <w:spacing w:val="0"/>
    </w:rPr>
  </w:style>
  <w:style w:type="paragraph" w:customStyle="1" w:styleId="SuperTitle">
    <w:name w:val="SuperTitle"/>
    <w:basedOn w:val="Title"/>
    <w:rsid w:val="00091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1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C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CF1"/>
    <w:rPr>
      <w:i/>
    </w:rPr>
  </w:style>
  <w:style w:type="paragraph" w:styleId="Caption">
    <w:name w:val="caption"/>
    <w:basedOn w:val="BodyText"/>
    <w:next w:val="Normal"/>
    <w:qFormat/>
    <w:rsid w:val="00091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CF1"/>
  </w:style>
  <w:style w:type="paragraph" w:styleId="TableofFigures">
    <w:name w:val="table of figures"/>
    <w:basedOn w:val="Normal"/>
    <w:next w:val="Normal"/>
    <w:semiHidden/>
    <w:rsid w:val="00091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C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1CF1"/>
    <w:rPr>
      <w:rFonts w:ascii="Wingdings" w:hAnsi="Wingdings"/>
    </w:rPr>
  </w:style>
  <w:style w:type="paragraph" w:customStyle="1" w:styleId="TableHeading">
    <w:name w:val="Table Heading"/>
    <w:basedOn w:val="HeadingBase"/>
    <w:rsid w:val="00091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CF1"/>
    <w:rPr>
      <w:color w:val="0033CC"/>
      <w:u w:val="none"/>
    </w:rPr>
  </w:style>
  <w:style w:type="paragraph" w:customStyle="1" w:styleId="BodyTextRight">
    <w:name w:val="Body Text Right"/>
    <w:basedOn w:val="BodyText"/>
    <w:rsid w:val="00091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C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CF1"/>
    <w:rPr>
      <w:sz w:val="32"/>
    </w:rPr>
  </w:style>
  <w:style w:type="paragraph" w:customStyle="1" w:styleId="HeadingProcedure">
    <w:name w:val="Heading Procedure"/>
    <w:basedOn w:val="HeadingBase"/>
    <w:next w:val="Normal"/>
    <w:rsid w:val="00091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CF1"/>
    <w:pPr>
      <w:spacing w:before="60" w:after="60"/>
    </w:pPr>
  </w:style>
  <w:style w:type="paragraph" w:styleId="ListContinue">
    <w:name w:val="List Continue"/>
    <w:basedOn w:val="List"/>
    <w:rsid w:val="00091CF1"/>
    <w:pPr>
      <w:ind w:firstLine="0"/>
    </w:pPr>
  </w:style>
  <w:style w:type="paragraph" w:customStyle="1" w:styleId="ListNote">
    <w:name w:val="List Note"/>
    <w:basedOn w:val="List"/>
    <w:rsid w:val="00091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CF1"/>
    <w:rPr>
      <w:rFonts w:ascii="Courier New" w:hAnsi="Courier New"/>
    </w:rPr>
  </w:style>
  <w:style w:type="paragraph" w:customStyle="1" w:styleId="NoteBullet">
    <w:name w:val="Note Bullet"/>
    <w:basedOn w:val="Note"/>
    <w:rsid w:val="00091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C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1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CF1"/>
    <w:rPr>
      <w:b/>
      <w:smallCaps/>
    </w:rPr>
  </w:style>
  <w:style w:type="paragraph" w:customStyle="1" w:styleId="TableListNumber">
    <w:name w:val="Table List Number"/>
    <w:basedOn w:val="ListNumber"/>
    <w:rsid w:val="00091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CF1"/>
    <w:pPr>
      <w:numPr>
        <w:numId w:val="10"/>
      </w:numPr>
    </w:pPr>
  </w:style>
  <w:style w:type="paragraph" w:customStyle="1" w:styleId="ListAlpha2">
    <w:name w:val="List Alpha 2"/>
    <w:basedOn w:val="List2"/>
    <w:rsid w:val="00091CF1"/>
    <w:pPr>
      <w:numPr>
        <w:numId w:val="9"/>
      </w:numPr>
    </w:pPr>
  </w:style>
  <w:style w:type="paragraph" w:styleId="List2">
    <w:name w:val="List 2"/>
    <w:basedOn w:val="BodyText"/>
    <w:rsid w:val="00091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C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1C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1CF1"/>
    <w:pPr>
      <w:numPr>
        <w:numId w:val="5"/>
      </w:numPr>
    </w:pPr>
  </w:style>
  <w:style w:type="paragraph" w:styleId="ListContinue2">
    <w:name w:val="List Continue 2"/>
    <w:basedOn w:val="List2"/>
    <w:rsid w:val="00091CF1"/>
    <w:pPr>
      <w:ind w:firstLine="0"/>
    </w:pPr>
  </w:style>
  <w:style w:type="paragraph" w:styleId="ListContinue3">
    <w:name w:val="List Continue 3"/>
    <w:basedOn w:val="List3"/>
    <w:rsid w:val="00091CF1"/>
    <w:pPr>
      <w:ind w:left="1021" w:firstLine="0"/>
    </w:pPr>
  </w:style>
  <w:style w:type="paragraph" w:styleId="ListContinue4">
    <w:name w:val="List Continue 4"/>
    <w:basedOn w:val="List4"/>
    <w:rsid w:val="00091CF1"/>
    <w:pPr>
      <w:ind w:firstLine="0"/>
    </w:pPr>
  </w:style>
  <w:style w:type="paragraph" w:styleId="ListContinue5">
    <w:name w:val="List Continue 5"/>
    <w:basedOn w:val="List5"/>
    <w:rsid w:val="00091CF1"/>
    <w:pPr>
      <w:ind w:firstLine="0"/>
    </w:pPr>
  </w:style>
  <w:style w:type="paragraph" w:styleId="ListNumber3">
    <w:name w:val="List Number 3"/>
    <w:basedOn w:val="List3"/>
    <w:rsid w:val="00091CF1"/>
    <w:pPr>
      <w:numPr>
        <w:numId w:val="6"/>
      </w:numPr>
    </w:pPr>
  </w:style>
  <w:style w:type="paragraph" w:styleId="ListNumber4">
    <w:name w:val="List Number 4"/>
    <w:basedOn w:val="List4"/>
    <w:rsid w:val="00091CF1"/>
    <w:pPr>
      <w:numPr>
        <w:numId w:val="7"/>
      </w:numPr>
    </w:pPr>
  </w:style>
  <w:style w:type="paragraph" w:styleId="ListNumber5">
    <w:name w:val="List Number 5"/>
    <w:basedOn w:val="List5"/>
    <w:rsid w:val="00091CF1"/>
    <w:pPr>
      <w:numPr>
        <w:numId w:val="8"/>
      </w:numPr>
    </w:pPr>
  </w:style>
  <w:style w:type="paragraph" w:styleId="BlockText">
    <w:name w:val="Block Text"/>
    <w:basedOn w:val="Normal"/>
    <w:rsid w:val="00091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CF1"/>
    <w:rPr>
      <w:sz w:val="16"/>
      <w:vertAlign w:val="superscript"/>
    </w:rPr>
  </w:style>
  <w:style w:type="character" w:customStyle="1" w:styleId="Symbols">
    <w:name w:val="Symbols"/>
    <w:basedOn w:val="DefaultParagraphFont"/>
    <w:rsid w:val="00091CF1"/>
    <w:rPr>
      <w:rFonts w:ascii="Symbol" w:hAnsi="Symbol"/>
    </w:rPr>
  </w:style>
  <w:style w:type="character" w:customStyle="1" w:styleId="MenuOptions">
    <w:name w:val="Menu Options"/>
    <w:basedOn w:val="DefaultParagraphFont"/>
    <w:rsid w:val="00091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CF1"/>
    <w:rPr>
      <w:b/>
    </w:rPr>
  </w:style>
  <w:style w:type="character" w:customStyle="1" w:styleId="Underlined">
    <w:name w:val="Underlined"/>
    <w:basedOn w:val="DefaultParagraphFont"/>
    <w:rsid w:val="00091CF1"/>
    <w:rPr>
      <w:u w:val="single"/>
    </w:rPr>
  </w:style>
  <w:style w:type="paragraph" w:customStyle="1" w:styleId="TableBodyTextRight">
    <w:name w:val="Table Body Text Right"/>
    <w:basedOn w:val="TableBodyText"/>
    <w:rsid w:val="00091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CF1"/>
    <w:rPr>
      <w:sz w:val="18"/>
    </w:rPr>
  </w:style>
  <w:style w:type="paragraph" w:customStyle="1" w:styleId="BodySmallRight">
    <w:name w:val="Body Small Right"/>
    <w:basedOn w:val="BodyTextRight"/>
    <w:rsid w:val="00091CF1"/>
    <w:rPr>
      <w:sz w:val="18"/>
      <w:szCs w:val="18"/>
    </w:rPr>
  </w:style>
  <w:style w:type="paragraph" w:customStyle="1" w:styleId="MarginEdition">
    <w:name w:val="Margin Edition"/>
    <w:basedOn w:val="MarginNote"/>
    <w:rsid w:val="00091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CF1"/>
    <w:rPr>
      <w:sz w:val="2"/>
      <w:szCs w:val="2"/>
    </w:rPr>
  </w:style>
  <w:style w:type="character" w:customStyle="1" w:styleId="Small">
    <w:name w:val="Small"/>
    <w:basedOn w:val="DefaultParagraphFont"/>
    <w:rsid w:val="00091CF1"/>
    <w:rPr>
      <w:sz w:val="16"/>
    </w:rPr>
  </w:style>
  <w:style w:type="paragraph" w:customStyle="1" w:styleId="WideTable">
    <w:name w:val="Wide Table"/>
    <w:basedOn w:val="Normal"/>
    <w:rsid w:val="00091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CF1"/>
  </w:style>
  <w:style w:type="paragraph" w:styleId="Quote">
    <w:name w:val="Quote"/>
    <w:basedOn w:val="Heading1"/>
    <w:link w:val="QuoteChar"/>
    <w:qFormat/>
    <w:rsid w:val="00091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CF1"/>
    <w:pPr>
      <w:pageBreakBefore/>
    </w:pPr>
  </w:style>
  <w:style w:type="paragraph" w:customStyle="1" w:styleId="Border">
    <w:name w:val="Border"/>
    <w:basedOn w:val="Normal"/>
    <w:qFormat/>
    <w:rsid w:val="00091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CF1"/>
    <w:rPr>
      <w:u w:val="single"/>
    </w:rPr>
  </w:style>
  <w:style w:type="character" w:customStyle="1" w:styleId="BoldandItalics">
    <w:name w:val="Bold and Italics"/>
    <w:qFormat/>
    <w:rsid w:val="00091CF1"/>
    <w:rPr>
      <w:b/>
      <w:i/>
      <w:u w:val="none"/>
    </w:rPr>
  </w:style>
  <w:style w:type="paragraph" w:styleId="BalloonText">
    <w:name w:val="Balloon Text"/>
    <w:basedOn w:val="Normal"/>
    <w:link w:val="BalloonTextChar"/>
    <w:rsid w:val="00091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CF1"/>
    <w:pPr>
      <w:spacing w:before="0" w:after="0"/>
    </w:pPr>
  </w:style>
  <w:style w:type="paragraph" w:customStyle="1" w:styleId="BodyTextBold">
    <w:name w:val="Body Text Bold"/>
    <w:basedOn w:val="BodyText"/>
    <w:qFormat/>
    <w:rsid w:val="00091CF1"/>
    <w:rPr>
      <w:b/>
    </w:rPr>
  </w:style>
  <w:style w:type="character" w:styleId="Hyperlink">
    <w:name w:val="Hyperlink"/>
    <w:basedOn w:val="DefaultParagraphFont"/>
    <w:uiPriority w:val="99"/>
    <w:unhideWhenUsed/>
    <w:rsid w:val="00474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5197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RIIERR202E Contribute to the control of emergencies and critical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