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14412" w:rsidP="00714412">
      <w:pPr>
        <w:pStyle w:val="Title"/>
      </w:pPr>
      <w:r>
        <w:fldChar w:fldCharType="begin"/>
      </w:r>
      <w:r>
        <w:instrText xml:space="preserve"> TITLE   \* MERGEFORMAT </w:instrText>
      </w:r>
      <w:r>
        <w:fldChar w:fldCharType="separate"/>
      </w:r>
      <w:r>
        <w:t>Assessment Requirements for RIIERR202D Contribute to the control of emergencies and critical situations</w:t>
      </w:r>
      <w:r>
        <w:fldChar w:fldCharType="end"/>
      </w:r>
    </w:p>
    <w:p w:rsidR="00714412" w:rsidP="00714412">
      <w:pPr>
        <w:pStyle w:val="Version"/>
        <w:sectPr w:rsidSect="00C16FB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C16FB5" w:rsidP="00C16FB5">
      <w:pPr>
        <w:pStyle w:val="SuperHeading"/>
      </w:pPr>
      <w:r w:rsidRPr="00C16FB5">
        <w:t>Assessment Requirements for RIIERR202D Contribute to the control of emergencies and critical situations</w:t>
      </w:r>
    </w:p>
    <w:p w:rsidR="00000000" w:rsidRPr="00C16FB5" w:rsidP="00C16FB5">
      <w:pPr>
        <w:pStyle w:val="Heading1"/>
      </w:pPr>
      <w:bookmarkStart w:id="1" w:name="O_686987"/>
      <w:bookmarkEnd w:id="1"/>
      <w:r w:rsidRPr="00C16FB5">
        <w:t>Modification History</w:t>
      </w:r>
    </w:p>
    <w:tbl>
      <w:tblPr>
        <w:tblW w:w="9270" w:type="dxa"/>
        <w:tblLayout w:type="fixed"/>
        <w:tblCellMar>
          <w:left w:w="62" w:type="dxa"/>
          <w:right w:w="62" w:type="dxa"/>
        </w:tblCellMar>
        <w:tblLook w:val="0000"/>
      </w:tblPr>
      <w:tblGrid>
        <w:gridCol w:w="1170"/>
        <w:gridCol w:w="8100"/>
      </w:tblGrid>
      <w:tr w:rsidTr="00714412">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6FB5">
            <w:pPr>
              <w:pStyle w:val="BodyText"/>
              <w:rPr>
                <w:lang w:val="en-NZ"/>
              </w:rPr>
            </w:pPr>
            <w:r w:rsidRPr="00C16FB5">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6FB5">
            <w:pPr>
              <w:pStyle w:val="BodyText"/>
              <w:rPr>
                <w:lang w:val="en-NZ"/>
              </w:rPr>
            </w:pPr>
            <w:r w:rsidRPr="00C16FB5">
              <w:t>Comment</w:t>
            </w:r>
          </w:p>
        </w:tc>
      </w:tr>
      <w:tr w:rsidTr="00714412">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6FB5">
            <w:pPr>
              <w:pStyle w:val="BodyText"/>
              <w:rPr>
                <w:lang w:val="en-NZ"/>
              </w:rPr>
            </w:pPr>
            <w:r w:rsidRPr="00C16FB5">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6FB5">
            <w:pPr>
              <w:pStyle w:val="BodyText"/>
              <w:rPr>
                <w:lang w:val="en-NZ"/>
              </w:rPr>
            </w:pPr>
            <w:r w:rsidRPr="00C16FB5">
              <w:t>This unit replaces RIIERR202A Contribute to the control of emergencies and critical situations</w:t>
            </w:r>
          </w:p>
        </w:tc>
      </w:tr>
      <w:tr w:rsidTr="00714412">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6FB5">
            <w:pPr>
              <w:pStyle w:val="BodyText"/>
              <w:rPr>
                <w:lang w:val="en-NZ"/>
              </w:rPr>
            </w:pPr>
            <w:r w:rsidRPr="00C16FB5">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6FB5">
            <w:pPr>
              <w:pStyle w:val="BodyText"/>
              <w:rPr>
                <w:lang w:val="en-NZ"/>
              </w:rPr>
            </w:pPr>
            <w:r w:rsidRPr="00C16FB5">
              <w:t>Editorial corrections</w:t>
            </w:r>
          </w:p>
        </w:tc>
      </w:tr>
      <w:tr w:rsidTr="00714412">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6FB5">
            <w:pPr>
              <w:pStyle w:val="BodyText"/>
              <w:rPr>
                <w:lang w:val="en-NZ"/>
              </w:rPr>
            </w:pPr>
            <w:r w:rsidRPr="00C16FB5">
              <w:t>3</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6FB5" w:rsidP="00C16FB5">
            <w:pPr>
              <w:pStyle w:val="BodyText"/>
            </w:pPr>
            <w:r w:rsidRPr="00C16FB5">
              <w:t>Required frequency and volume of evidence amended in Performance evidence.</w:t>
            </w:r>
          </w:p>
          <w:p w:rsidR="00000000" w:rsidRPr="00C16FB5" w:rsidP="00C16FB5">
            <w:pPr>
              <w:pStyle w:val="BodyText"/>
            </w:pPr>
            <w:r w:rsidRPr="00C16FB5">
              <w:t>Substantial amendments made in Assessment Conditions field, including: references to Industry Sectors, assessor and subject matter expert experience requ</w:t>
            </w:r>
            <w:r w:rsidRPr="00C16FB5">
              <w:t>irements, how assessment should be conducted and what it should confirm.</w:t>
            </w:r>
          </w:p>
        </w:tc>
      </w:tr>
    </w:tbl>
    <w:p w:rsidR="00000000" w:rsidRPr="00C16FB5" w:rsidP="00C16FB5">
      <w:pPr>
        <w:pStyle w:val="BodyText"/>
      </w:pPr>
    </w:p>
    <w:p w:rsidR="00000000" w:rsidRPr="00C16FB5" w:rsidP="00C16FB5">
      <w:pPr>
        <w:pStyle w:val="AllowPageBreak"/>
      </w:pPr>
    </w:p>
    <w:p w:rsidR="00000000" w:rsidRPr="00C16FB5" w:rsidP="00C16FB5">
      <w:pPr>
        <w:pStyle w:val="Heading1"/>
      </w:pPr>
      <w:bookmarkStart w:id="2" w:name="O_686986"/>
      <w:bookmarkEnd w:id="2"/>
      <w:r w:rsidRPr="00C16FB5">
        <w:t>Performance Evidence</w:t>
      </w:r>
    </w:p>
    <w:p w:rsidR="00000000" w:rsidRPr="00C16FB5" w:rsidP="00C16FB5">
      <w:pPr>
        <w:pStyle w:val="BodyText"/>
      </w:pPr>
      <w:r w:rsidRPr="00C16FB5">
        <w:t>Evidence is required to be collected that demonstrates a candidate’s competency in this unit. Evidence must be relevant to the roles within thi</w:t>
      </w:r>
      <w:r w:rsidRPr="00C16FB5">
        <w:t>s sector’s work operations and satisfy all of the requirements of the performance criteria of this unit and include that the candidate:</w:t>
      </w:r>
    </w:p>
    <w:p w:rsidR="00000000" w:rsidRPr="00C16FB5" w:rsidP="00C16FB5">
      <w:pPr>
        <w:pStyle w:val="ListBullet"/>
      </w:pPr>
      <w:r w:rsidRPr="00C16FB5">
        <w:t>locates and applies relevant documentation, policies and procedures to contribute to the control of emergencies and cri</w:t>
      </w:r>
      <w:r w:rsidRPr="00C16FB5">
        <w:t>tical situations</w:t>
      </w:r>
    </w:p>
    <w:p w:rsidR="00000000" w:rsidRPr="00C16FB5" w:rsidP="00C16FB5">
      <w:pPr>
        <w:pStyle w:val="ListBullet"/>
      </w:pPr>
      <w:r w:rsidRPr="00C16FB5">
        <w:t>implements requirements, procedures and techniques for the safe, effective control of emergencies and critical situations including:</w:t>
      </w:r>
    </w:p>
    <w:p w:rsidR="00000000" w:rsidRPr="00C16FB5" w:rsidP="00C16FB5">
      <w:pPr>
        <w:pStyle w:val="ListBullet2"/>
      </w:pPr>
      <w:r w:rsidRPr="00C16FB5">
        <w:t>identifying effects of changes of ambient conditions on operations</w:t>
      </w:r>
    </w:p>
    <w:p w:rsidR="00000000" w:rsidRPr="00C16FB5" w:rsidP="00C16FB5">
      <w:pPr>
        <w:pStyle w:val="ListBullet2"/>
      </w:pPr>
      <w:r w:rsidRPr="00C16FB5">
        <w:t>read and interpret drawings and manuals</w:t>
      </w:r>
    </w:p>
    <w:p w:rsidR="00000000" w:rsidRPr="00C16FB5" w:rsidP="00C16FB5">
      <w:pPr>
        <w:pStyle w:val="ListBullet2"/>
      </w:pPr>
      <w:r w:rsidRPr="00C16FB5">
        <w:t>operating equipment</w:t>
      </w:r>
    </w:p>
    <w:p w:rsidR="00000000" w:rsidRPr="00C16FB5" w:rsidP="00C16FB5">
      <w:pPr>
        <w:pStyle w:val="ListBullet2"/>
      </w:pPr>
      <w:r w:rsidRPr="00C16FB5">
        <w:t>setting and pulling manual slips</w:t>
      </w:r>
    </w:p>
    <w:p w:rsidR="00000000" w:rsidRPr="00C16FB5" w:rsidP="00C16FB5">
      <w:pPr>
        <w:pStyle w:val="ListBullet2"/>
      </w:pPr>
      <w:r w:rsidRPr="00C16FB5">
        <w:t>operating manual make-up tongs</w:t>
      </w:r>
    </w:p>
    <w:p w:rsidR="00000000" w:rsidRPr="00C16FB5" w:rsidP="00C16FB5">
      <w:pPr>
        <w:pStyle w:val="ListBullet2"/>
      </w:pPr>
      <w:r w:rsidRPr="00C16FB5">
        <w:t>operating manual break-out tongs</w:t>
      </w:r>
    </w:p>
    <w:p w:rsidR="00000000" w:rsidRPr="00C16FB5" w:rsidP="00C16FB5">
      <w:pPr>
        <w:pStyle w:val="ListBullet2"/>
      </w:pPr>
      <w:r w:rsidRPr="00C16FB5">
        <w:t>identifying and moving drills, tools and equipment around drill floor</w:t>
      </w:r>
    </w:p>
    <w:p w:rsidR="00000000" w:rsidRPr="00C16FB5" w:rsidP="00C16FB5">
      <w:pPr>
        <w:pStyle w:val="ListBullet2"/>
      </w:pPr>
      <w:r w:rsidRPr="00C16FB5">
        <w:t>applying manual handling tech</w:t>
      </w:r>
      <w:r w:rsidRPr="00C16FB5">
        <w:t>niques</w:t>
      </w:r>
    </w:p>
    <w:p w:rsidR="00000000" w:rsidRPr="00C16FB5" w:rsidP="00C16FB5">
      <w:pPr>
        <w:pStyle w:val="ListBullet2"/>
      </w:pPr>
      <w:r w:rsidRPr="00C16FB5">
        <w:t xml:space="preserve"> knowledge of manual duties of each rig crew member during a well kick drill</w:t>
      </w:r>
    </w:p>
    <w:p w:rsidR="00000000" w:rsidRPr="00C16FB5" w:rsidP="00C16FB5">
      <w:pPr>
        <w:pStyle w:val="ListBullet"/>
      </w:pPr>
      <w:r w:rsidRPr="00C16FB5">
        <w:t>works with others to undertake the control of emergencies and critical situations that meets all of the required outcomes including:</w:t>
      </w:r>
    </w:p>
    <w:p w:rsidR="00000000" w:rsidRPr="00C16FB5" w:rsidP="00C16FB5">
      <w:pPr>
        <w:pStyle w:val="ListBullet2"/>
      </w:pPr>
      <w:r w:rsidRPr="00C16FB5">
        <w:t>using a range of communications techn</w:t>
      </w:r>
      <w:r w:rsidRPr="00C16FB5">
        <w:t>iques and equipment to convey information to others</w:t>
      </w:r>
    </w:p>
    <w:p w:rsidR="00000000" w:rsidRPr="00C16FB5" w:rsidP="00C16FB5">
      <w:pPr>
        <w:pStyle w:val="ListBullet2"/>
      </w:pPr>
      <w:r w:rsidRPr="00C16FB5">
        <w:t>maintaining written and verbal reporting requirements and procedures</w:t>
      </w:r>
    </w:p>
    <w:p w:rsidR="00000000" w:rsidRPr="00C16FB5" w:rsidP="00C16FB5">
      <w:pPr>
        <w:pStyle w:val="ListBullet2"/>
      </w:pPr>
      <w:r w:rsidRPr="00C16FB5">
        <w:t>communicating to confirm work/plans/specifications</w:t>
      </w:r>
    </w:p>
    <w:p w:rsidR="00000000" w:rsidRPr="00C16FB5" w:rsidP="00C16FB5">
      <w:pPr>
        <w:pStyle w:val="ListBullet"/>
      </w:pPr>
      <w:r w:rsidRPr="00C16FB5">
        <w:t>demonstrates completion of the contribution to the control of emergencies and critical situations that safely, effectively and efficiently meets all of the required outcomes on more than one (1) occasion including:</w:t>
      </w:r>
    </w:p>
    <w:p w:rsidR="00000000" w:rsidRPr="00C16FB5" w:rsidP="00C16FB5">
      <w:pPr>
        <w:pStyle w:val="ListBullet2"/>
      </w:pPr>
      <w:r w:rsidRPr="00C16FB5">
        <w:t xml:space="preserve">contributing to the control of critical </w:t>
      </w:r>
      <w:r w:rsidRPr="00C16FB5">
        <w:t>situations including:</w:t>
      </w:r>
    </w:p>
    <w:p w:rsidR="00000000" w:rsidRPr="00C16FB5" w:rsidP="00C16FB5">
      <w:pPr>
        <w:pStyle w:val="ListBullet3"/>
      </w:pPr>
      <w:r w:rsidRPr="00C16FB5">
        <w:t>activating relevant alarms</w:t>
      </w:r>
    </w:p>
    <w:p w:rsidR="00000000" w:rsidRPr="00C16FB5" w:rsidP="00C16FB5">
      <w:pPr>
        <w:pStyle w:val="ListBullet3"/>
      </w:pPr>
      <w:r w:rsidRPr="00C16FB5">
        <w:t>quickly and competently closing the well</w:t>
      </w:r>
    </w:p>
    <w:p w:rsidR="00000000" w:rsidRPr="00C16FB5" w:rsidP="00C16FB5">
      <w:pPr>
        <w:pStyle w:val="ListBullet3"/>
      </w:pPr>
      <w:r w:rsidRPr="00C16FB5">
        <w:t>initiate actions in response to critical situations</w:t>
      </w:r>
    </w:p>
    <w:p w:rsidR="00000000" w:rsidRPr="00C16FB5" w:rsidP="00C16FB5">
      <w:pPr>
        <w:pStyle w:val="ListBullet2"/>
      </w:pPr>
      <w:r w:rsidRPr="00C16FB5">
        <w:t xml:space="preserve">responding to emergencies </w:t>
      </w:r>
    </w:p>
    <w:p w:rsidR="00000000" w:rsidRPr="00C16FB5" w:rsidP="00C16FB5">
      <w:pPr>
        <w:pStyle w:val="ListBullet2"/>
      </w:pPr>
      <w:r w:rsidRPr="00C16FB5">
        <w:t>applying safe manual handling techniques when lifting, pushing, pulling, carrying or restraining objects</w:t>
      </w:r>
    </w:p>
    <w:p w:rsidR="00000000" w:rsidRPr="00C16FB5" w:rsidP="00C16FB5">
      <w:pPr>
        <w:pStyle w:val="ListBullet2"/>
      </w:pPr>
      <w:r w:rsidRPr="00C16FB5">
        <w:t xml:space="preserve">participating in fire drills </w:t>
      </w:r>
    </w:p>
    <w:p w:rsidR="00000000" w:rsidRPr="00C16FB5" w:rsidP="00C16FB5">
      <w:pPr>
        <w:pStyle w:val="ListBullet2"/>
      </w:pPr>
      <w:r w:rsidRPr="00C16FB5">
        <w:t>providing assistance in the application of first aid and medivac procedures</w:t>
      </w:r>
    </w:p>
    <w:p w:rsidR="00000000" w:rsidRPr="00C16FB5" w:rsidP="00C16FB5">
      <w:pPr>
        <w:pStyle w:val="AllowPageBreak"/>
      </w:pPr>
    </w:p>
    <w:p w:rsidR="00000000" w:rsidRPr="00C16FB5" w:rsidP="00C16FB5">
      <w:pPr>
        <w:pStyle w:val="Heading1"/>
      </w:pPr>
      <w:bookmarkStart w:id="3" w:name="O_686985"/>
      <w:bookmarkEnd w:id="3"/>
      <w:r w:rsidRPr="00C16FB5">
        <w:t>Knowledge Evidence</w:t>
      </w:r>
    </w:p>
    <w:p w:rsidR="00000000" w:rsidRPr="00C16FB5" w:rsidP="00C16FB5">
      <w:pPr>
        <w:pStyle w:val="BodyText"/>
      </w:pPr>
      <w:r w:rsidRPr="00C16FB5">
        <w:t>The candi</w:t>
      </w:r>
      <w:r w:rsidRPr="00C16FB5">
        <w:t>date must demonstrate knowledge in control of emergencies and critical situations through:</w:t>
      </w:r>
    </w:p>
    <w:p w:rsidR="00000000" w:rsidRPr="00C16FB5" w:rsidP="00C16FB5">
      <w:pPr>
        <w:pStyle w:val="ListBullet"/>
      </w:pPr>
      <w:r w:rsidRPr="00C16FB5">
        <w:t>emergencies and critical situations</w:t>
      </w:r>
    </w:p>
    <w:p w:rsidR="00000000" w:rsidRPr="00C16FB5" w:rsidP="00C16FB5">
      <w:pPr>
        <w:pStyle w:val="ListBullet"/>
      </w:pPr>
      <w:r w:rsidRPr="00C16FB5">
        <w:t>complying with the fire and gas control system</w:t>
      </w:r>
    </w:p>
    <w:p w:rsidR="00000000" w:rsidRPr="00C16FB5" w:rsidP="00C16FB5">
      <w:pPr>
        <w:pStyle w:val="ListBullet"/>
      </w:pPr>
      <w:r w:rsidRPr="00C16FB5">
        <w:t>isolation and permit to work systems</w:t>
      </w:r>
    </w:p>
    <w:p w:rsidR="00000000" w:rsidRPr="00C16FB5" w:rsidP="00C16FB5">
      <w:pPr>
        <w:pStyle w:val="ListBullet"/>
      </w:pPr>
      <w:r w:rsidRPr="00C16FB5">
        <w:t>identifying and using well kicks procedures</w:t>
      </w:r>
    </w:p>
    <w:p w:rsidR="00000000" w:rsidRPr="00C16FB5" w:rsidP="00C16FB5">
      <w:pPr>
        <w:pStyle w:val="ListBullet"/>
      </w:pPr>
      <w:r w:rsidRPr="00C16FB5">
        <w:t>operating a full-opening safety valve, and inside bop</w:t>
      </w:r>
    </w:p>
    <w:p w:rsidR="00000000" w:rsidRPr="00C16FB5" w:rsidP="00C16FB5">
      <w:pPr>
        <w:pStyle w:val="ListBullet"/>
      </w:pPr>
      <w:r w:rsidRPr="00C16FB5">
        <w:t>emergency shutdown control procedure</w:t>
      </w:r>
    </w:p>
    <w:p w:rsidR="00000000" w:rsidRPr="00C16FB5" w:rsidP="00C16FB5">
      <w:pPr>
        <w:pStyle w:val="AllowPageBreak"/>
      </w:pPr>
    </w:p>
    <w:p w:rsidR="00000000" w:rsidRPr="00C16FB5" w:rsidP="00C16FB5">
      <w:pPr>
        <w:pStyle w:val="Heading1"/>
      </w:pPr>
      <w:bookmarkStart w:id="4" w:name="O_686984"/>
      <w:bookmarkEnd w:id="4"/>
      <w:r w:rsidRPr="00C16FB5">
        <w:t>Assessment Conditions</w:t>
      </w:r>
    </w:p>
    <w:p w:rsidR="00000000" w:rsidRPr="00C16FB5" w:rsidP="00C16FB5">
      <w:pPr>
        <w:pStyle w:val="ListBullet"/>
      </w:pPr>
      <w:r w:rsidRPr="00C16FB5">
        <w:t xml:space="preserve">An assessor of this unit must satisfy the requirements of the NVR/AQTF or their successors; </w:t>
      </w:r>
      <w:r w:rsidRPr="00C16FB5">
        <w:t xml:space="preserve">and Industry regulations for certification and licensing; and, </w:t>
      </w:r>
    </w:p>
    <w:p w:rsidR="00000000" w:rsidRPr="00C16FB5" w:rsidP="00C16FB5">
      <w:pPr>
        <w:pStyle w:val="ListBullet"/>
      </w:pPr>
      <w:r w:rsidRPr="00C16FB5">
        <w:t>this unit is best assessed in the context of this sector’s work environment;</w:t>
      </w:r>
    </w:p>
    <w:p w:rsidR="00000000" w:rsidRPr="00C16FB5" w:rsidP="00C16FB5">
      <w:pPr>
        <w:pStyle w:val="ListBullet"/>
      </w:pPr>
      <w:r w:rsidRPr="00C16FB5">
        <w:t>where personal safety or environmental damage are limiting factors, assessment may occur in a simulated environment</w:t>
      </w:r>
      <w:r w:rsidRPr="00C16FB5">
        <w:t xml:space="preserve"> provided it is realistic and sufficiently rigorous to cover all aspects of this sector’s workplace performance, including environment, task skills, task management skills, contingency management skills and job role environment skills; and,</w:t>
      </w:r>
    </w:p>
    <w:p w:rsidR="00000000" w:rsidRPr="00C16FB5" w:rsidP="00C16FB5">
      <w:pPr>
        <w:pStyle w:val="ListBullet"/>
      </w:pPr>
      <w:r w:rsidRPr="00C16FB5">
        <w:t xml:space="preserve">this unit must </w:t>
      </w:r>
      <w:r w:rsidRPr="00C16FB5">
        <w:t>be assessed in compliance with relevant legislation/regulation and using policies, procedures, processes and operational manuals directly related to the industry sector for which it is being assessed; and,</w:t>
      </w:r>
    </w:p>
    <w:p w:rsidR="00000000" w:rsidRPr="00C16FB5" w:rsidP="00C16FB5">
      <w:pPr>
        <w:pStyle w:val="ListBullet"/>
      </w:pPr>
      <w:r w:rsidRPr="00C16FB5">
        <w:t>assessment may be conducted in conjunction with th</w:t>
      </w:r>
      <w:r w:rsidRPr="00C16FB5">
        <w:t>e assessment of other Units of Competency; and,</w:t>
      </w:r>
    </w:p>
    <w:p w:rsidR="00000000" w:rsidRPr="00C16FB5" w:rsidP="00C16FB5">
      <w:pPr>
        <w:pStyle w:val="ListBullet"/>
      </w:pPr>
      <w:r w:rsidRPr="00C16FB5">
        <w:t>assessment must confirm consistent performance can be applied in a range of relevant workplace circumstances; and,</w:t>
      </w:r>
    </w:p>
    <w:p w:rsidR="00000000" w:rsidRPr="00C16FB5" w:rsidP="00C16FB5">
      <w:pPr>
        <w:pStyle w:val="ListBullet"/>
      </w:pPr>
      <w:r w:rsidRPr="00C16FB5">
        <w:t>assessors must demonstrate the performance evidence, and knowledge evidence as outlined in th</w:t>
      </w:r>
      <w:r w:rsidRPr="00C16FB5">
        <w:t>is Unit of Competency, and through the minimum years of current* work experience specified below in an Industry sector relevant to the outcomes of the unit; or,</w:t>
      </w:r>
    </w:p>
    <w:p w:rsidR="00000000" w:rsidRPr="00C16FB5" w:rsidP="00C16FB5">
      <w:pPr>
        <w:pStyle w:val="ListBullet"/>
      </w:pPr>
      <w:r w:rsidRPr="00C16FB5">
        <w:t>where the assessor does not meet experience requirements a co-assessment or partnership arrange</w:t>
      </w:r>
      <w:r w:rsidRPr="00C16FB5">
        <w:t>ment must exist between the qualified assessor and an Industry subject matter expert. The Industry subject matter expert should hold the unit being assessed (or an equivalent unit) and/or demonstrate equivalence of skills and knowledge at the unit level. A</w:t>
      </w:r>
      <w:r w:rsidRPr="00C16FB5">
        <w:t>n Industry technical expert must also demonstrate skills and knowledge from the minimum years of current work experience specified below in the Industry sector, including time spent in roles related to the unit being assessed; and,</w:t>
      </w:r>
    </w:p>
    <w:p w:rsidR="00000000" w:rsidRPr="00C16FB5" w:rsidP="00C16FB5">
      <w:pPr>
        <w:pStyle w:val="ListBullet"/>
      </w:pPr>
      <w:r w:rsidRPr="00C16FB5">
        <w:t>assessor and Industry su</w:t>
      </w:r>
      <w:r w:rsidRPr="00C16FB5">
        <w:t>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C16FB5">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16FB5">
            <w:pPr>
              <w:pStyle w:val="BodyText"/>
              <w:rPr>
                <w:lang w:val="en-NZ"/>
              </w:rPr>
            </w:pPr>
            <w:r w:rsidRPr="00C16FB5">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16FB5">
            <w:pPr>
              <w:pStyle w:val="BodyText"/>
              <w:rPr>
                <w:lang w:val="en-NZ"/>
              </w:rPr>
            </w:pPr>
            <w:r w:rsidRPr="00C16FB5">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16FB5">
            <w:pPr>
              <w:pStyle w:val="BodyText"/>
              <w:rPr>
                <w:lang w:val="en-NZ"/>
              </w:rPr>
            </w:pPr>
            <w:r w:rsidRPr="00C16FB5">
              <w:t xml:space="preserve">Required assessor or Industry subject matter expert </w:t>
            </w:r>
            <w:r w:rsidRPr="00C16FB5">
              <w:t>experience</w:t>
            </w:r>
          </w:p>
        </w:tc>
      </w:tr>
      <w:tr w:rsidTr="00C16FB5">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16FB5">
            <w:pPr>
              <w:pStyle w:val="BodyText"/>
              <w:rPr>
                <w:lang w:val="en-NZ"/>
              </w:rPr>
            </w:pPr>
            <w:r w:rsidRPr="00C16FB5">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16FB5">
            <w:pPr>
              <w:pStyle w:val="BodyText"/>
              <w:rPr>
                <w:lang w:val="en-NZ"/>
              </w:rPr>
            </w:pPr>
            <w:r w:rsidRPr="00C16FB5">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16FB5">
            <w:pPr>
              <w:pStyle w:val="BodyText"/>
              <w:rPr>
                <w:lang w:val="en-NZ"/>
              </w:rPr>
            </w:pPr>
            <w:r w:rsidRPr="00C16FB5">
              <w:t>1 Year</w:t>
            </w:r>
          </w:p>
        </w:tc>
      </w:tr>
      <w:tr w:rsidTr="00C16FB5">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16FB5">
            <w:pPr>
              <w:pStyle w:val="BodyText"/>
              <w:rPr>
                <w:lang w:val="en-NZ"/>
              </w:rPr>
            </w:pPr>
            <w:r w:rsidRPr="00C16FB5">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16FB5">
            <w:pPr>
              <w:pStyle w:val="BodyText"/>
              <w:rPr>
                <w:lang w:val="en-NZ"/>
              </w:rPr>
            </w:pPr>
            <w:r w:rsidRPr="00C16FB5">
              <w:t>2 Years</w:t>
            </w:r>
          </w:p>
        </w:tc>
      </w:tr>
      <w:tr w:rsidTr="00C16FB5">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16FB5">
            <w:pPr>
              <w:pStyle w:val="BodyText"/>
              <w:rPr>
                <w:lang w:val="en-NZ"/>
              </w:rPr>
            </w:pPr>
            <w:r w:rsidRPr="00C16FB5">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16FB5">
            <w:pPr>
              <w:pStyle w:val="BodyText"/>
              <w:rPr>
                <w:lang w:val="en-NZ"/>
              </w:rPr>
            </w:pPr>
            <w:r w:rsidRPr="00C16FB5">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16FB5">
            <w:pPr>
              <w:pStyle w:val="BodyText"/>
              <w:rPr>
                <w:lang w:val="en-NZ"/>
              </w:rPr>
            </w:pPr>
            <w:r w:rsidRPr="00C16FB5">
              <w:t>3 Years</w:t>
            </w:r>
          </w:p>
        </w:tc>
      </w:tr>
      <w:tr w:rsidTr="00C16FB5">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16FB5">
            <w:pPr>
              <w:pStyle w:val="BodyText"/>
              <w:rPr>
                <w:lang w:val="en-NZ"/>
              </w:rPr>
            </w:pPr>
            <w:r w:rsidRPr="00C16FB5">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16FB5">
            <w:pPr>
              <w:pStyle w:val="BodyText"/>
              <w:rPr>
                <w:lang w:val="en-NZ"/>
              </w:rPr>
            </w:pPr>
            <w:r w:rsidRPr="00C16FB5">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16FB5">
            <w:pPr>
              <w:pStyle w:val="BodyText"/>
              <w:rPr>
                <w:lang w:val="en-NZ"/>
              </w:rPr>
            </w:pPr>
            <w:r w:rsidRPr="00C16FB5">
              <w:t>5 Years</w:t>
            </w:r>
          </w:p>
        </w:tc>
      </w:tr>
      <w:tr w:rsidTr="00C16FB5">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16FB5">
            <w:pPr>
              <w:pStyle w:val="BodyText"/>
              <w:rPr>
                <w:lang w:val="en-NZ"/>
              </w:rPr>
            </w:pPr>
            <w:r w:rsidRPr="00C16FB5">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16FB5" w:rsidP="00C16FB5">
            <w:pPr>
              <w:pStyle w:val="BodyText"/>
            </w:pPr>
            <w:r w:rsidRPr="00C16FB5">
              <w:t>Where this Unit is being assessed outside of the Resources and Infrastructure Sectors assessor and/or Industry subject matter expert experience should be in-line with industry standards for the sector in which it is being assessed and where n</w:t>
            </w:r>
            <w:r w:rsidRPr="00C16FB5">
              <w:t>o Industry standard is specified should comply with any relevant regulation.</w:t>
            </w:r>
          </w:p>
        </w:tc>
      </w:tr>
    </w:tbl>
    <w:p w:rsidR="00000000" w:rsidRPr="00C16FB5" w:rsidP="00C16FB5">
      <w:pPr>
        <w:pStyle w:val="BodyText"/>
      </w:pPr>
      <w:r w:rsidRPr="00C16FB5">
        <w:t>*Assessors can demonstrate current work experience through employment within Industry in a role relevant to the outcomes of the Unit; or, for external assessors this can be demo</w:t>
      </w:r>
      <w:r w:rsidRPr="00C16FB5">
        <w:t>nstrated through exposure to Industry by conducting frequent site assessments across various locations.</w:t>
      </w:r>
    </w:p>
    <w:p w:rsidR="00000000" w:rsidRPr="00C16FB5" w:rsidP="00C16FB5">
      <w:pPr>
        <w:pStyle w:val="BodyText"/>
      </w:pPr>
      <w:r w:rsidRPr="00C16FB5">
        <w:t>**Where a unit is being delivered outside of a Qualification the first numeric character in the Unit code should be considered to indicate the AQF level</w:t>
      </w:r>
    </w:p>
    <w:p w:rsidR="00000000" w:rsidRPr="00C16FB5" w:rsidP="00C16FB5">
      <w:pPr>
        <w:pStyle w:val="AllowPageBreak"/>
      </w:pPr>
    </w:p>
    <w:p w:rsidR="00000000" w:rsidRPr="00C16FB5" w:rsidP="00C16FB5">
      <w:pPr>
        <w:pStyle w:val="Heading1"/>
      </w:pPr>
      <w:bookmarkStart w:id="5" w:name="O_687005"/>
      <w:bookmarkEnd w:id="5"/>
      <w:r w:rsidRPr="00C16FB5">
        <w:t>Links</w:t>
      </w:r>
    </w:p>
    <w:p w:rsidR="00000000" w:rsidRPr="00C16FB5" w:rsidP="00C16FB5">
      <w:pPr>
        <w:pStyle w:val="BodyText"/>
      </w:pPr>
      <w:r w:rsidRPr="00C16FB5">
        <w:t>SkillsDMC RII Companion Volumes - http://www.skillsdmc.com.au/</w:t>
      </w:r>
    </w:p>
    <w:p w:rsidR="00000000" w:rsidRPr="00C16FB5" w:rsidP="00C16FB5"/>
    <w:sectPr w:rsidSect="00C16FB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6FB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6FB5" w:rsidRPr="00714412" w:rsidP="0071441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6FB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4412" w:rsidP="00C16FB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714412" w:rsidP="00C16FB5">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SkillsDMC</w:t>
    </w:r>
    <w:r>
      <w:fldChar w:fldCharType="end"/>
    </w:r>
  </w:p>
  <w:p w:rsidR="00714412" w:rsidP="00C16FB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6FB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6FB5" w:rsidRPr="00714412" w:rsidP="0071441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6FB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4412" w:rsidRPr="002D2AF8" w:rsidP="00C16FB5">
    <w:pPr>
      <w:pStyle w:val="Header"/>
      <w:framePr w:wrap="around"/>
    </w:pPr>
    <w:r>
      <w:fldChar w:fldCharType="begin"/>
    </w:r>
    <w:r>
      <w:instrText xml:space="preserve"> TITLE   \* MERGEFORMAT </w:instrText>
    </w:r>
    <w:r>
      <w:fldChar w:fldCharType="separate"/>
    </w:r>
    <w:r>
      <w:t>Assessment Requirements for RIIERR202D Contribute to the control of emergencies and critical situations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December 2014</w:t>
    </w:r>
    <w:r>
      <w:fldChar w:fldCharType="end"/>
    </w:r>
  </w:p>
  <w:p w:rsidR="00714412" w:rsidP="00C16FB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334EF5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DE01E8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85E291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6FB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16FB5"/>
    <w:pPr>
      <w:spacing w:before="360" w:after="60"/>
      <w:outlineLvl w:val="0"/>
    </w:pPr>
    <w:rPr>
      <w:sz w:val="32"/>
    </w:rPr>
  </w:style>
  <w:style w:type="paragraph" w:styleId="Heading2">
    <w:name w:val="heading 2"/>
    <w:basedOn w:val="HeadingBase"/>
    <w:next w:val="BodyText"/>
    <w:link w:val="Heading2Char"/>
    <w:qFormat/>
    <w:rsid w:val="00C16FB5"/>
    <w:pPr>
      <w:keepLines/>
      <w:spacing w:before="240" w:after="120"/>
      <w:outlineLvl w:val="1"/>
    </w:pPr>
    <w:rPr>
      <w:sz w:val="28"/>
      <w:szCs w:val="40"/>
    </w:rPr>
  </w:style>
  <w:style w:type="paragraph" w:styleId="Heading3">
    <w:name w:val="heading 3"/>
    <w:basedOn w:val="HeadingBase"/>
    <w:next w:val="BodyText"/>
    <w:link w:val="Heading3Char"/>
    <w:qFormat/>
    <w:rsid w:val="00C16FB5"/>
    <w:pPr>
      <w:spacing w:before="180" w:after="120"/>
      <w:outlineLvl w:val="2"/>
    </w:pPr>
    <w:rPr>
      <w:spacing w:val="-10"/>
      <w:kern w:val="32"/>
    </w:rPr>
  </w:style>
  <w:style w:type="paragraph" w:styleId="Heading4">
    <w:name w:val="heading 4"/>
    <w:basedOn w:val="HeadingBase"/>
    <w:next w:val="BodyText"/>
    <w:link w:val="Heading4Char"/>
    <w:qFormat/>
    <w:rsid w:val="00C16FB5"/>
    <w:pPr>
      <w:spacing w:before="160" w:after="120"/>
      <w:outlineLvl w:val="3"/>
    </w:pPr>
    <w:rPr>
      <w:sz w:val="22"/>
    </w:rPr>
  </w:style>
  <w:style w:type="paragraph" w:styleId="Heading5">
    <w:name w:val="heading 5"/>
    <w:basedOn w:val="HeadingBase"/>
    <w:next w:val="Normal"/>
    <w:link w:val="Heading5Char"/>
    <w:qFormat/>
    <w:rsid w:val="00C16FB5"/>
    <w:pPr>
      <w:spacing w:before="80"/>
      <w:outlineLvl w:val="4"/>
    </w:pPr>
    <w:rPr>
      <w:color w:val="918585"/>
      <w:sz w:val="20"/>
    </w:rPr>
  </w:style>
  <w:style w:type="paragraph" w:styleId="Heading6">
    <w:name w:val="heading 6"/>
    <w:basedOn w:val="HeadingBase"/>
    <w:next w:val="Normal"/>
    <w:link w:val="Heading6Char"/>
    <w:qFormat/>
    <w:rsid w:val="00C16FB5"/>
    <w:pPr>
      <w:spacing w:before="60"/>
      <w:outlineLvl w:val="5"/>
    </w:pPr>
    <w:rPr>
      <w:color w:val="918585"/>
      <w:sz w:val="20"/>
    </w:rPr>
  </w:style>
  <w:style w:type="paragraph" w:styleId="Heading7">
    <w:name w:val="heading 7"/>
    <w:basedOn w:val="Normal"/>
    <w:next w:val="Normal"/>
    <w:link w:val="Heading7Char"/>
    <w:qFormat/>
    <w:rsid w:val="00C16FB5"/>
    <w:pPr>
      <w:ind w:left="720"/>
      <w:outlineLvl w:val="6"/>
    </w:pPr>
    <w:rPr>
      <w:i/>
    </w:rPr>
  </w:style>
  <w:style w:type="paragraph" w:styleId="Heading8">
    <w:name w:val="heading 8"/>
    <w:basedOn w:val="Normal"/>
    <w:next w:val="Normal"/>
    <w:link w:val="Heading8Char"/>
    <w:qFormat/>
    <w:rsid w:val="00C16FB5"/>
    <w:pPr>
      <w:ind w:left="720"/>
      <w:outlineLvl w:val="7"/>
    </w:pPr>
    <w:rPr>
      <w:i/>
    </w:rPr>
  </w:style>
  <w:style w:type="paragraph" w:styleId="Heading9">
    <w:name w:val="heading 9"/>
    <w:basedOn w:val="Normal"/>
    <w:next w:val="Normal"/>
    <w:link w:val="Heading9Char"/>
    <w:qFormat/>
    <w:rsid w:val="00C16FB5"/>
    <w:pPr>
      <w:ind w:left="720"/>
      <w:outlineLvl w:val="8"/>
    </w:pPr>
    <w:rPr>
      <w:i/>
    </w:rPr>
  </w:style>
  <w:style w:type="character" w:default="1" w:styleId="DefaultParagraphFont">
    <w:name w:val="Default Paragraph Font"/>
    <w:uiPriority w:val="1"/>
    <w:unhideWhenUsed/>
    <w:rsid w:val="00C16FB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16FB5"/>
  </w:style>
  <w:style w:type="character" w:customStyle="1" w:styleId="Heading1Char">
    <w:name w:val="Heading 1 Char"/>
    <w:basedOn w:val="DefaultParagraphFont"/>
    <w:link w:val="Heading1"/>
    <w:rsid w:val="00C16FB5"/>
    <w:rPr>
      <w:rFonts w:ascii="Times New Roman" w:eastAsia="Times New Roman" w:hAnsi="Times New Roman" w:cs="Times New Roman"/>
      <w:b/>
      <w:sz w:val="32"/>
      <w:szCs w:val="20"/>
      <w:lang w:eastAsia="en-US"/>
    </w:rPr>
  </w:style>
  <w:style w:type="paragraph" w:styleId="BodyText">
    <w:name w:val="Body Text"/>
    <w:basedOn w:val="Normal"/>
    <w:link w:val="BodyTextChar"/>
    <w:rsid w:val="00C16FB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16FB5"/>
    <w:rPr>
      <w:rFonts w:ascii="Times New Roman" w:eastAsia="Times New Roman" w:hAnsi="Times New Roman" w:cs="Times New Roman"/>
      <w:sz w:val="24"/>
      <w:lang w:eastAsia="en-US"/>
    </w:rPr>
  </w:style>
  <w:style w:type="paragraph" w:styleId="ListBullet">
    <w:name w:val="List Bullet"/>
    <w:basedOn w:val="List"/>
    <w:rsid w:val="00C16FB5"/>
    <w:pPr>
      <w:numPr>
        <w:numId w:val="14"/>
      </w:numPr>
      <w:tabs>
        <w:tab w:val="clear" w:pos="340"/>
      </w:tabs>
      <w:spacing w:before="40" w:after="40"/>
    </w:pPr>
  </w:style>
  <w:style w:type="paragraph" w:styleId="ListBullet2">
    <w:name w:val="List Bullet 2"/>
    <w:basedOn w:val="List2"/>
    <w:rsid w:val="00C16FB5"/>
    <w:pPr>
      <w:numPr>
        <w:numId w:val="15"/>
      </w:numPr>
      <w:tabs>
        <w:tab w:val="clear" w:pos="680"/>
      </w:tabs>
    </w:pPr>
  </w:style>
  <w:style w:type="paragraph" w:customStyle="1" w:styleId="SuperHeading">
    <w:name w:val="SuperHeading"/>
    <w:basedOn w:val="Normal"/>
    <w:rsid w:val="00C16FB5"/>
    <w:pPr>
      <w:spacing w:before="240" w:after="120"/>
      <w:outlineLvl w:val="0"/>
    </w:pPr>
    <w:rPr>
      <w:rFonts w:ascii="Times New Roman" w:hAnsi="Times New Roman"/>
      <w:b/>
      <w:sz w:val="32"/>
    </w:rPr>
  </w:style>
  <w:style w:type="paragraph" w:customStyle="1" w:styleId="AllowPageBreak">
    <w:name w:val="AllowPageBreak"/>
    <w:rsid w:val="00C16FB5"/>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C16FB5"/>
    <w:pPr>
      <w:numPr>
        <w:numId w:val="3"/>
      </w:numPr>
      <w:tabs>
        <w:tab w:val="clear" w:pos="1021"/>
      </w:tabs>
      <w:ind w:left="1037" w:hanging="357"/>
    </w:pPr>
  </w:style>
  <w:style w:type="character" w:customStyle="1" w:styleId="Heading2Char">
    <w:name w:val="Heading 2 Char"/>
    <w:basedOn w:val="DefaultParagraphFont"/>
    <w:link w:val="Heading2"/>
    <w:rsid w:val="00C16FB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16FB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16FB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16FB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16FB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16FB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16FB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16FB5"/>
    <w:rPr>
      <w:rFonts w:ascii="Courier New" w:eastAsia="Times New Roman" w:hAnsi="Courier New" w:cs="Times New Roman"/>
      <w:i/>
      <w:szCs w:val="20"/>
      <w:lang w:eastAsia="en-US"/>
    </w:rPr>
  </w:style>
  <w:style w:type="paragraph" w:customStyle="1" w:styleId="HeadingBase">
    <w:name w:val="Heading Base"/>
    <w:rsid w:val="00C16FB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16FB5"/>
    <w:pPr>
      <w:tabs>
        <w:tab w:val="right" w:leader="dot" w:pos="9072"/>
      </w:tabs>
      <w:ind w:left="567"/>
    </w:pPr>
    <w:rPr>
      <w:szCs w:val="22"/>
    </w:rPr>
  </w:style>
  <w:style w:type="paragraph" w:customStyle="1" w:styleId="TOCBase">
    <w:name w:val="TOC Base"/>
    <w:rsid w:val="00C16FB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16FB5"/>
    <w:pPr>
      <w:tabs>
        <w:tab w:val="right" w:leader="dot" w:pos="9072"/>
      </w:tabs>
      <w:spacing w:before="40" w:after="40"/>
      <w:ind w:left="284"/>
    </w:pPr>
    <w:rPr>
      <w:rFonts w:ascii="Times New Roman" w:hAnsi="Times New Roman"/>
    </w:rPr>
  </w:style>
  <w:style w:type="paragraph" w:styleId="TOC1">
    <w:name w:val="toc 1"/>
    <w:basedOn w:val="TOCBase"/>
    <w:next w:val="Normal"/>
    <w:rsid w:val="00C16FB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16FB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16FB5"/>
    <w:rPr>
      <w:rFonts w:ascii="Times New Roman" w:eastAsia="Times New Roman" w:hAnsi="Times New Roman" w:cs="Times New Roman"/>
      <w:sz w:val="16"/>
      <w:lang w:eastAsia="en-US"/>
    </w:rPr>
  </w:style>
  <w:style w:type="paragraph" w:styleId="Title">
    <w:name w:val="Title"/>
    <w:basedOn w:val="HeadingBase"/>
    <w:link w:val="TitleChar"/>
    <w:qFormat/>
    <w:rsid w:val="00C16FB5"/>
    <w:pPr>
      <w:spacing w:before="5040"/>
      <w:jc w:val="center"/>
    </w:pPr>
    <w:rPr>
      <w:sz w:val="48"/>
      <w:szCs w:val="72"/>
      <w:lang w:val="en-US"/>
    </w:rPr>
  </w:style>
  <w:style w:type="character" w:customStyle="1" w:styleId="TitleChar">
    <w:name w:val="Title Char"/>
    <w:basedOn w:val="DefaultParagraphFont"/>
    <w:link w:val="Title"/>
    <w:rsid w:val="00C16FB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16FB5"/>
    <w:pPr>
      <w:tabs>
        <w:tab w:val="left" w:pos="3600"/>
        <w:tab w:val="left" w:pos="3958"/>
      </w:tabs>
    </w:pPr>
  </w:style>
  <w:style w:type="paragraph" w:styleId="List">
    <w:name w:val="List"/>
    <w:basedOn w:val="BodyText"/>
    <w:next w:val="BodyText"/>
    <w:rsid w:val="00C16FB5"/>
    <w:pPr>
      <w:tabs>
        <w:tab w:val="left" w:pos="340"/>
      </w:tabs>
      <w:spacing w:before="60" w:after="60"/>
      <w:ind w:left="340" w:hanging="340"/>
    </w:pPr>
  </w:style>
  <w:style w:type="paragraph" w:customStyle="1" w:styleId="Note">
    <w:name w:val="Note"/>
    <w:basedOn w:val="BodyText"/>
    <w:rsid w:val="00C16FB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16FB5"/>
    <w:rPr>
      <w:b/>
      <w:spacing w:val="0"/>
    </w:rPr>
  </w:style>
  <w:style w:type="paragraph" w:customStyle="1" w:styleId="SuperTitle">
    <w:name w:val="SuperTitle"/>
    <w:basedOn w:val="Title"/>
    <w:rsid w:val="00C16FB5"/>
    <w:pPr>
      <w:framePr w:wrap="auto" w:hAnchor="text" w:y="6049"/>
    </w:pPr>
    <w:rPr>
      <w:color w:val="000000"/>
      <w:sz w:val="40"/>
    </w:rPr>
  </w:style>
  <w:style w:type="paragraph" w:customStyle="1" w:styleId="TOCTitle">
    <w:name w:val="TOCTitle"/>
    <w:basedOn w:val="Heading1"/>
    <w:rsid w:val="00C16FB5"/>
    <w:pPr>
      <w:spacing w:after="240"/>
      <w:jc w:val="center"/>
      <w:outlineLvl w:val="9"/>
    </w:pPr>
    <w:rPr>
      <w:caps/>
    </w:rPr>
  </w:style>
  <w:style w:type="paragraph" w:customStyle="1" w:styleId="Version">
    <w:name w:val="Version"/>
    <w:rsid w:val="00C16FB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16FB5"/>
    <w:pPr>
      <w:keepNext w:val="0"/>
      <w:tabs>
        <w:tab w:val="right" w:pos="4176"/>
      </w:tabs>
      <w:ind w:left="198" w:hanging="198"/>
    </w:pPr>
    <w:rPr>
      <w:rFonts w:ascii="Garamond" w:hAnsi="Garamond"/>
    </w:rPr>
  </w:style>
  <w:style w:type="paragraph" w:styleId="IndexHeading">
    <w:name w:val="index heading"/>
    <w:basedOn w:val="Normal"/>
    <w:next w:val="Index1"/>
    <w:semiHidden/>
    <w:rsid w:val="00C16FB5"/>
    <w:pPr>
      <w:spacing w:before="120" w:after="120"/>
    </w:pPr>
    <w:rPr>
      <w:rFonts w:ascii="Arial" w:hAnsi="Arial"/>
      <w:b/>
      <w:color w:val="918585"/>
      <w:sz w:val="24"/>
    </w:rPr>
  </w:style>
  <w:style w:type="paragraph" w:styleId="Header">
    <w:name w:val="header"/>
    <w:basedOn w:val="Normal"/>
    <w:link w:val="HeaderChar"/>
    <w:rsid w:val="00C16FB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16FB5"/>
    <w:rPr>
      <w:rFonts w:ascii="Times New Roman" w:eastAsia="Times New Roman" w:hAnsi="Times New Roman" w:cs="Times New Roman"/>
      <w:sz w:val="16"/>
      <w:szCs w:val="20"/>
      <w:lang w:val="en-GB" w:eastAsia="en-US"/>
    </w:rPr>
  </w:style>
  <w:style w:type="paragraph" w:customStyle="1" w:styleId="Chapter">
    <w:name w:val="Chapter"/>
    <w:basedOn w:val="Normal"/>
    <w:rsid w:val="00C16FB5"/>
    <w:pPr>
      <w:spacing w:before="240"/>
    </w:pPr>
    <w:rPr>
      <w:rFonts w:ascii="Times New Roman" w:hAnsi="Times New Roman"/>
      <w:smallCaps/>
      <w:spacing w:val="80"/>
      <w:sz w:val="28"/>
    </w:rPr>
  </w:style>
  <w:style w:type="paragraph" w:customStyle="1" w:styleId="InChapter">
    <w:name w:val="InChapter"/>
    <w:basedOn w:val="Heading3"/>
    <w:rsid w:val="00C16FB5"/>
    <w:pPr>
      <w:spacing w:after="240"/>
      <w:outlineLvl w:val="9"/>
    </w:pPr>
    <w:rPr>
      <w:noProof/>
    </w:rPr>
  </w:style>
  <w:style w:type="paragraph" w:styleId="Index2">
    <w:name w:val="index 2"/>
    <w:basedOn w:val="Normal"/>
    <w:next w:val="Normal"/>
    <w:semiHidden/>
    <w:rsid w:val="00C16FB5"/>
    <w:pPr>
      <w:tabs>
        <w:tab w:val="right" w:pos="4176"/>
      </w:tabs>
      <w:ind w:left="568" w:hanging="284"/>
    </w:pPr>
    <w:rPr>
      <w:rFonts w:ascii="Garamond" w:hAnsi="Garamond"/>
    </w:rPr>
  </w:style>
  <w:style w:type="paragraph" w:customStyle="1" w:styleId="Byline">
    <w:name w:val="Byline"/>
    <w:rsid w:val="00C16FB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16FB5"/>
    <w:pPr>
      <w:tabs>
        <w:tab w:val="clear" w:pos="3600"/>
        <w:tab w:val="clear" w:pos="3958"/>
      </w:tabs>
      <w:jc w:val="right"/>
    </w:pPr>
  </w:style>
  <w:style w:type="character" w:styleId="Emphasis">
    <w:name w:val="Emphasis"/>
    <w:basedOn w:val="DefaultParagraphFont"/>
    <w:qFormat/>
    <w:rsid w:val="00C16FB5"/>
    <w:rPr>
      <w:i/>
    </w:rPr>
  </w:style>
  <w:style w:type="paragraph" w:styleId="Caption">
    <w:name w:val="caption"/>
    <w:basedOn w:val="BodyText"/>
    <w:next w:val="Normal"/>
    <w:qFormat/>
    <w:rsid w:val="00C16FB5"/>
    <w:pPr>
      <w:framePr w:w="2268" w:hSpace="181" w:vSpace="181" w:wrap="around" w:vAnchor="text" w:hAnchor="page" w:x="1135" w:y="285" w:anchorLock="1"/>
    </w:pPr>
    <w:rPr>
      <w:i/>
    </w:rPr>
  </w:style>
  <w:style w:type="paragraph" w:customStyle="1" w:styleId="MiniTOCTitle">
    <w:name w:val="MiniTOCTitle"/>
    <w:basedOn w:val="Heading4"/>
    <w:rsid w:val="00C16FB5"/>
    <w:pPr>
      <w:spacing w:before="240"/>
      <w:outlineLvl w:val="9"/>
    </w:pPr>
    <w:rPr>
      <w:noProof/>
      <w:sz w:val="24"/>
    </w:rPr>
  </w:style>
  <w:style w:type="paragraph" w:customStyle="1" w:styleId="MiniTOCItem">
    <w:name w:val="MiniTOCItem"/>
    <w:basedOn w:val="ListBullet"/>
    <w:rsid w:val="00C16FB5"/>
    <w:pPr>
      <w:numPr>
        <w:numId w:val="0"/>
      </w:numPr>
      <w:tabs>
        <w:tab w:val="right" w:leader="dot" w:pos="6521"/>
      </w:tabs>
      <w:spacing w:before="0" w:after="0"/>
    </w:pPr>
  </w:style>
  <w:style w:type="paragraph" w:customStyle="1" w:styleId="TOFTitle">
    <w:name w:val="TOFTitle"/>
    <w:basedOn w:val="TOCTitle"/>
    <w:rsid w:val="00C16FB5"/>
  </w:style>
  <w:style w:type="paragraph" w:styleId="TableofFigures">
    <w:name w:val="table of figures"/>
    <w:basedOn w:val="Normal"/>
    <w:next w:val="Normal"/>
    <w:semiHidden/>
    <w:rsid w:val="00C16FB5"/>
    <w:pPr>
      <w:tabs>
        <w:tab w:val="right" w:leader="dot" w:pos="9072"/>
      </w:tabs>
      <w:ind w:left="970" w:hanging="403"/>
    </w:pPr>
    <w:rPr>
      <w:rFonts w:ascii="Times New Roman" w:hAnsi="Times New Roman"/>
      <w:b/>
    </w:rPr>
  </w:style>
  <w:style w:type="paragraph" w:styleId="ListNumber">
    <w:name w:val="List Number"/>
    <w:basedOn w:val="List"/>
    <w:rsid w:val="00C16FB5"/>
    <w:pPr>
      <w:numPr>
        <w:numId w:val="12"/>
      </w:numPr>
    </w:pPr>
  </w:style>
  <w:style w:type="character" w:customStyle="1" w:styleId="WingdingSymbols">
    <w:name w:val="Wingding Symbols"/>
    <w:rsid w:val="00C16FB5"/>
    <w:rPr>
      <w:rFonts w:ascii="Wingdings" w:hAnsi="Wingdings"/>
    </w:rPr>
  </w:style>
  <w:style w:type="paragraph" w:customStyle="1" w:styleId="TableHeading">
    <w:name w:val="Table Heading"/>
    <w:basedOn w:val="HeadingBase"/>
    <w:rsid w:val="00C16FB5"/>
    <w:pPr>
      <w:keepLines/>
      <w:pBdr>
        <w:bottom w:val="single" w:sz="6" w:space="1" w:color="918585"/>
      </w:pBdr>
      <w:spacing w:before="240"/>
    </w:pPr>
  </w:style>
  <w:style w:type="character" w:customStyle="1" w:styleId="HotSpot">
    <w:name w:val="HotSpot"/>
    <w:rsid w:val="00C16FB5"/>
    <w:rPr>
      <w:color w:val="0033CC"/>
      <w:u w:val="none"/>
    </w:rPr>
  </w:style>
  <w:style w:type="paragraph" w:customStyle="1" w:styleId="BodyTextRight">
    <w:name w:val="Body Text Right"/>
    <w:basedOn w:val="BodyText"/>
    <w:rsid w:val="00C16FB5"/>
    <w:pPr>
      <w:spacing w:before="0" w:after="0"/>
      <w:jc w:val="right"/>
    </w:pPr>
  </w:style>
  <w:style w:type="paragraph" w:styleId="Index3">
    <w:name w:val="index 3"/>
    <w:basedOn w:val="ListNumber2"/>
    <w:next w:val="Normal"/>
    <w:semiHidden/>
    <w:rsid w:val="00C16FB5"/>
    <w:pPr>
      <w:numPr>
        <w:numId w:val="0"/>
      </w:numPr>
      <w:tabs>
        <w:tab w:val="right" w:leader="dot" w:pos="4176"/>
      </w:tabs>
    </w:pPr>
  </w:style>
  <w:style w:type="paragraph" w:styleId="ListNumber2">
    <w:name w:val="List Number 2"/>
    <w:basedOn w:val="List2"/>
    <w:rsid w:val="00C16FB5"/>
    <w:pPr>
      <w:numPr>
        <w:numId w:val="11"/>
      </w:numPr>
      <w:tabs>
        <w:tab w:val="clear" w:pos="1060"/>
      </w:tabs>
    </w:pPr>
  </w:style>
  <w:style w:type="paragraph" w:customStyle="1" w:styleId="MarginNote">
    <w:name w:val="Margin Note"/>
    <w:basedOn w:val="BodyText"/>
    <w:rsid w:val="00C16FB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16FB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16FB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16FB5"/>
    <w:rPr>
      <w:sz w:val="32"/>
    </w:rPr>
  </w:style>
  <w:style w:type="paragraph" w:customStyle="1" w:styleId="HeadingProcedure">
    <w:name w:val="Heading Procedure"/>
    <w:basedOn w:val="HeadingBase"/>
    <w:next w:val="Normal"/>
    <w:rsid w:val="00C16FB5"/>
    <w:pPr>
      <w:tabs>
        <w:tab w:val="left" w:pos="0"/>
      </w:tabs>
      <w:spacing w:before="120" w:after="60"/>
    </w:pPr>
    <w:rPr>
      <w:i/>
      <w:color w:val="918585"/>
      <w:sz w:val="22"/>
    </w:rPr>
  </w:style>
  <w:style w:type="paragraph" w:customStyle="1" w:styleId="TableBodyText">
    <w:name w:val="Table Body Text"/>
    <w:basedOn w:val="BodyText"/>
    <w:rsid w:val="00C16FB5"/>
    <w:pPr>
      <w:spacing w:before="60" w:after="60"/>
    </w:pPr>
  </w:style>
  <w:style w:type="paragraph" w:styleId="ListContinue">
    <w:name w:val="List Continue"/>
    <w:basedOn w:val="List"/>
    <w:rsid w:val="00C16FB5"/>
    <w:pPr>
      <w:ind w:firstLine="0"/>
    </w:pPr>
  </w:style>
  <w:style w:type="paragraph" w:customStyle="1" w:styleId="ListNote">
    <w:name w:val="List Note"/>
    <w:basedOn w:val="List"/>
    <w:rsid w:val="00C16FB5"/>
    <w:pPr>
      <w:pBdr>
        <w:top w:val="single" w:sz="6" w:space="2" w:color="918585"/>
        <w:bottom w:val="single" w:sz="6" w:space="2" w:color="918585"/>
      </w:pBdr>
      <w:tabs>
        <w:tab w:val="left" w:pos="1021"/>
      </w:tabs>
      <w:ind w:firstLine="0"/>
    </w:pPr>
  </w:style>
  <w:style w:type="paragraph" w:customStyle="1" w:styleId="Warning">
    <w:name w:val="Warning"/>
    <w:basedOn w:val="BodyText"/>
    <w:rsid w:val="00C16FB5"/>
    <w:pPr>
      <w:shd w:val="clear" w:color="auto" w:fill="D9D9D9"/>
      <w:tabs>
        <w:tab w:val="left" w:pos="992"/>
      </w:tabs>
      <w:ind w:left="119" w:right="119"/>
    </w:pPr>
    <w:rPr>
      <w:sz w:val="20"/>
    </w:rPr>
  </w:style>
  <w:style w:type="paragraph" w:customStyle="1" w:styleId="MarginIcons">
    <w:name w:val="Margin Icons"/>
    <w:basedOn w:val="BodyText"/>
    <w:rsid w:val="00C16FB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16FB5"/>
    <w:rPr>
      <w:rFonts w:ascii="Courier New" w:hAnsi="Courier New"/>
    </w:rPr>
  </w:style>
  <w:style w:type="paragraph" w:customStyle="1" w:styleId="NoteBullet">
    <w:name w:val="Note Bullet"/>
    <w:basedOn w:val="Note"/>
    <w:rsid w:val="00C16FB5"/>
    <w:pPr>
      <w:tabs>
        <w:tab w:val="clear" w:pos="680"/>
      </w:tabs>
      <w:spacing w:before="60" w:after="60"/>
    </w:pPr>
  </w:style>
  <w:style w:type="paragraph" w:customStyle="1" w:styleId="SubHeading2">
    <w:name w:val="SubHeading2"/>
    <w:basedOn w:val="HeadingBase"/>
    <w:rsid w:val="00C16FB5"/>
    <w:pPr>
      <w:spacing w:before="240" w:after="60"/>
    </w:pPr>
    <w:rPr>
      <w:sz w:val="20"/>
    </w:rPr>
  </w:style>
  <w:style w:type="paragraph" w:customStyle="1" w:styleId="SubHeading1">
    <w:name w:val="SubHeading1"/>
    <w:basedOn w:val="HeadingBase"/>
    <w:rsid w:val="00C16FB5"/>
    <w:pPr>
      <w:spacing w:before="240" w:after="60"/>
    </w:pPr>
    <w:rPr>
      <w:color w:val="918585"/>
      <w:sz w:val="22"/>
    </w:rPr>
  </w:style>
  <w:style w:type="paragraph" w:customStyle="1" w:styleId="SideHeading">
    <w:name w:val="Side Heading"/>
    <w:basedOn w:val="HeadingBase"/>
    <w:rsid w:val="00C16FB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16FB5"/>
    <w:pPr>
      <w:numPr>
        <w:numId w:val="13"/>
      </w:numPr>
    </w:pPr>
  </w:style>
  <w:style w:type="paragraph" w:styleId="PlainText">
    <w:name w:val="Plain Text"/>
    <w:basedOn w:val="Normal"/>
    <w:link w:val="PlainTextChar"/>
    <w:rsid w:val="00C16FB5"/>
    <w:rPr>
      <w:sz w:val="20"/>
    </w:rPr>
  </w:style>
  <w:style w:type="character" w:customStyle="1" w:styleId="PlainTextChar">
    <w:name w:val="Plain Text Char"/>
    <w:basedOn w:val="DefaultParagraphFont"/>
    <w:link w:val="PlainText"/>
    <w:rsid w:val="00C16FB5"/>
    <w:rPr>
      <w:rFonts w:ascii="Courier New" w:eastAsia="Times New Roman" w:hAnsi="Courier New" w:cs="Times New Roman"/>
      <w:sz w:val="20"/>
      <w:szCs w:val="20"/>
      <w:lang w:eastAsia="en-US"/>
    </w:rPr>
  </w:style>
  <w:style w:type="character" w:customStyle="1" w:styleId="MenuOption">
    <w:name w:val="Menu Option"/>
    <w:basedOn w:val="DefaultParagraphFont"/>
    <w:rsid w:val="00C16FB5"/>
    <w:rPr>
      <w:b/>
      <w:smallCaps/>
    </w:rPr>
  </w:style>
  <w:style w:type="paragraph" w:customStyle="1" w:styleId="TableListNumber">
    <w:name w:val="Table List Number"/>
    <w:basedOn w:val="ListNumber"/>
    <w:rsid w:val="00C16FB5"/>
    <w:pPr>
      <w:numPr>
        <w:numId w:val="0"/>
      </w:numPr>
    </w:pPr>
  </w:style>
  <w:style w:type="paragraph" w:styleId="TOC4">
    <w:name w:val="toc 4"/>
    <w:basedOn w:val="TOCBase"/>
    <w:next w:val="Normal"/>
    <w:semiHidden/>
    <w:rsid w:val="00C16FB5"/>
    <w:pPr>
      <w:tabs>
        <w:tab w:val="right" w:leader="dot" w:pos="9071"/>
      </w:tabs>
      <w:ind w:left="1701"/>
    </w:pPr>
  </w:style>
  <w:style w:type="paragraph" w:customStyle="1" w:styleId="ListAlpha">
    <w:name w:val="List Alpha"/>
    <w:basedOn w:val="List"/>
    <w:rsid w:val="00C16FB5"/>
    <w:pPr>
      <w:numPr>
        <w:numId w:val="10"/>
      </w:numPr>
    </w:pPr>
  </w:style>
  <w:style w:type="paragraph" w:customStyle="1" w:styleId="ListAlpha2">
    <w:name w:val="List Alpha 2"/>
    <w:basedOn w:val="List2"/>
    <w:rsid w:val="00C16FB5"/>
    <w:pPr>
      <w:numPr>
        <w:numId w:val="9"/>
      </w:numPr>
    </w:pPr>
  </w:style>
  <w:style w:type="paragraph" w:styleId="List2">
    <w:name w:val="List 2"/>
    <w:basedOn w:val="BodyText"/>
    <w:rsid w:val="00C16FB5"/>
    <w:pPr>
      <w:tabs>
        <w:tab w:val="left" w:pos="680"/>
      </w:tabs>
      <w:spacing w:before="60" w:after="60"/>
      <w:ind w:left="680" w:hanging="340"/>
    </w:pPr>
  </w:style>
  <w:style w:type="paragraph" w:styleId="List3">
    <w:name w:val="List 3"/>
    <w:basedOn w:val="BodyText"/>
    <w:rsid w:val="00C16FB5"/>
    <w:pPr>
      <w:tabs>
        <w:tab w:val="left" w:pos="1021"/>
      </w:tabs>
      <w:spacing w:before="60" w:after="60"/>
      <w:ind w:left="1020" w:hanging="340"/>
    </w:pPr>
  </w:style>
  <w:style w:type="paragraph" w:styleId="List4">
    <w:name w:val="List 4"/>
    <w:basedOn w:val="BodyText"/>
    <w:rsid w:val="00C16FB5"/>
    <w:pPr>
      <w:tabs>
        <w:tab w:val="left" w:pos="1361"/>
      </w:tabs>
      <w:spacing w:before="60" w:after="60"/>
      <w:ind w:left="1361" w:hanging="340"/>
    </w:pPr>
  </w:style>
  <w:style w:type="paragraph" w:styleId="List5">
    <w:name w:val="List 5"/>
    <w:basedOn w:val="BodyText"/>
    <w:rsid w:val="00C16FB5"/>
    <w:pPr>
      <w:tabs>
        <w:tab w:val="left" w:pos="1701"/>
      </w:tabs>
      <w:spacing w:before="60" w:after="60"/>
      <w:ind w:left="1701" w:hanging="340"/>
    </w:pPr>
  </w:style>
  <w:style w:type="paragraph" w:styleId="ListBullet4">
    <w:name w:val="List Bullet 4"/>
    <w:basedOn w:val="List4"/>
    <w:rsid w:val="00C16FB5"/>
    <w:pPr>
      <w:numPr>
        <w:numId w:val="4"/>
      </w:numPr>
      <w:tabs>
        <w:tab w:val="clear" w:pos="1361"/>
      </w:tabs>
    </w:pPr>
  </w:style>
  <w:style w:type="paragraph" w:styleId="ListBullet5">
    <w:name w:val="List Bullet 5"/>
    <w:basedOn w:val="List5"/>
    <w:rsid w:val="00C16FB5"/>
    <w:pPr>
      <w:numPr>
        <w:numId w:val="5"/>
      </w:numPr>
    </w:pPr>
  </w:style>
  <w:style w:type="paragraph" w:styleId="ListContinue2">
    <w:name w:val="List Continue 2"/>
    <w:basedOn w:val="List2"/>
    <w:rsid w:val="00C16FB5"/>
    <w:pPr>
      <w:ind w:firstLine="0"/>
    </w:pPr>
  </w:style>
  <w:style w:type="paragraph" w:styleId="ListContinue3">
    <w:name w:val="List Continue 3"/>
    <w:basedOn w:val="List3"/>
    <w:rsid w:val="00C16FB5"/>
    <w:pPr>
      <w:ind w:left="1021" w:firstLine="0"/>
    </w:pPr>
  </w:style>
  <w:style w:type="paragraph" w:styleId="ListContinue4">
    <w:name w:val="List Continue 4"/>
    <w:basedOn w:val="List4"/>
    <w:rsid w:val="00C16FB5"/>
    <w:pPr>
      <w:ind w:firstLine="0"/>
    </w:pPr>
  </w:style>
  <w:style w:type="paragraph" w:styleId="ListContinue5">
    <w:name w:val="List Continue 5"/>
    <w:basedOn w:val="List5"/>
    <w:rsid w:val="00C16FB5"/>
    <w:pPr>
      <w:ind w:firstLine="0"/>
    </w:pPr>
  </w:style>
  <w:style w:type="paragraph" w:styleId="ListNumber3">
    <w:name w:val="List Number 3"/>
    <w:basedOn w:val="List3"/>
    <w:rsid w:val="00C16FB5"/>
    <w:pPr>
      <w:numPr>
        <w:numId w:val="6"/>
      </w:numPr>
    </w:pPr>
  </w:style>
  <w:style w:type="paragraph" w:styleId="ListNumber4">
    <w:name w:val="List Number 4"/>
    <w:basedOn w:val="List4"/>
    <w:rsid w:val="00C16FB5"/>
    <w:pPr>
      <w:numPr>
        <w:numId w:val="7"/>
      </w:numPr>
    </w:pPr>
  </w:style>
  <w:style w:type="paragraph" w:styleId="ListNumber5">
    <w:name w:val="List Number 5"/>
    <w:basedOn w:val="List5"/>
    <w:rsid w:val="00C16FB5"/>
    <w:pPr>
      <w:numPr>
        <w:numId w:val="8"/>
      </w:numPr>
    </w:pPr>
  </w:style>
  <w:style w:type="paragraph" w:styleId="BlockText">
    <w:name w:val="Block Text"/>
    <w:basedOn w:val="Normal"/>
    <w:rsid w:val="00C16FB5"/>
    <w:pPr>
      <w:spacing w:after="120"/>
      <w:ind w:left="1440" w:right="1440"/>
    </w:pPr>
  </w:style>
  <w:style w:type="character" w:customStyle="1" w:styleId="Subscript">
    <w:name w:val="Subscript"/>
    <w:basedOn w:val="DefaultParagraphFont"/>
    <w:rsid w:val="00C16FB5"/>
    <w:rPr>
      <w:sz w:val="16"/>
      <w:vertAlign w:val="subscript"/>
    </w:rPr>
  </w:style>
  <w:style w:type="character" w:customStyle="1" w:styleId="Superscript">
    <w:name w:val="Superscript"/>
    <w:basedOn w:val="DefaultParagraphFont"/>
    <w:rsid w:val="00C16FB5"/>
    <w:rPr>
      <w:sz w:val="16"/>
      <w:vertAlign w:val="superscript"/>
    </w:rPr>
  </w:style>
  <w:style w:type="character" w:customStyle="1" w:styleId="Symbols">
    <w:name w:val="Symbols"/>
    <w:basedOn w:val="DefaultParagraphFont"/>
    <w:rsid w:val="00C16FB5"/>
    <w:rPr>
      <w:rFonts w:ascii="Symbol" w:hAnsi="Symbol"/>
    </w:rPr>
  </w:style>
  <w:style w:type="character" w:customStyle="1" w:styleId="MenuOptions">
    <w:name w:val="Menu Options"/>
    <w:basedOn w:val="DefaultParagraphFont"/>
    <w:rsid w:val="00C16FB5"/>
    <w:rPr>
      <w:rFonts w:ascii="Arial Narrow" w:hAnsi="Arial Narrow"/>
      <w:smallCaps/>
    </w:rPr>
  </w:style>
  <w:style w:type="character" w:customStyle="1" w:styleId="Buttons">
    <w:name w:val="Buttons"/>
    <w:basedOn w:val="DefaultParagraphFont"/>
    <w:rsid w:val="00C16FB5"/>
    <w:rPr>
      <w:b/>
    </w:rPr>
  </w:style>
  <w:style w:type="character" w:customStyle="1" w:styleId="Underlined">
    <w:name w:val="Underlined"/>
    <w:basedOn w:val="DefaultParagraphFont"/>
    <w:rsid w:val="00C16FB5"/>
    <w:rPr>
      <w:u w:val="single"/>
    </w:rPr>
  </w:style>
  <w:style w:type="paragraph" w:customStyle="1" w:styleId="TableBodyTextRight">
    <w:name w:val="Table Body Text Right"/>
    <w:basedOn w:val="TableBodyText"/>
    <w:rsid w:val="00C16FB5"/>
    <w:pPr>
      <w:widowControl w:val="0"/>
      <w:autoSpaceDE w:val="0"/>
      <w:autoSpaceDN w:val="0"/>
      <w:adjustRightInd w:val="0"/>
      <w:jc w:val="right"/>
    </w:pPr>
    <w:rPr>
      <w:rFonts w:cs="Arial"/>
      <w:szCs w:val="18"/>
    </w:rPr>
  </w:style>
  <w:style w:type="paragraph" w:customStyle="1" w:styleId="CopyrightText">
    <w:name w:val="Copyright Text"/>
    <w:basedOn w:val="BodyText"/>
    <w:rsid w:val="00C16FB5"/>
    <w:rPr>
      <w:sz w:val="18"/>
    </w:rPr>
  </w:style>
  <w:style w:type="paragraph" w:customStyle="1" w:styleId="BodySmallRight">
    <w:name w:val="Body Small Right"/>
    <w:basedOn w:val="BodyTextRight"/>
    <w:rsid w:val="00C16FB5"/>
    <w:rPr>
      <w:sz w:val="18"/>
      <w:szCs w:val="18"/>
    </w:rPr>
  </w:style>
  <w:style w:type="paragraph" w:customStyle="1" w:styleId="MarginEdition">
    <w:name w:val="Margin Edition"/>
    <w:basedOn w:val="MarginNote"/>
    <w:rsid w:val="00C16FB5"/>
    <w:pPr>
      <w:spacing w:before="0" w:after="0"/>
    </w:pPr>
    <w:rPr>
      <w:rFonts w:ascii="Times New Roman" w:hAnsi="Times New Roman"/>
      <w:color w:val="999999"/>
    </w:rPr>
  </w:style>
  <w:style w:type="paragraph" w:customStyle="1" w:styleId="Spacer">
    <w:name w:val="Spacer"/>
    <w:basedOn w:val="Normal"/>
    <w:rsid w:val="00C16FB5"/>
    <w:rPr>
      <w:sz w:val="2"/>
      <w:szCs w:val="2"/>
    </w:rPr>
  </w:style>
  <w:style w:type="character" w:customStyle="1" w:styleId="Small">
    <w:name w:val="Small"/>
    <w:basedOn w:val="DefaultParagraphFont"/>
    <w:rsid w:val="00C16FB5"/>
    <w:rPr>
      <w:sz w:val="16"/>
    </w:rPr>
  </w:style>
  <w:style w:type="paragraph" w:customStyle="1" w:styleId="WideTable">
    <w:name w:val="Wide Table"/>
    <w:basedOn w:val="Normal"/>
    <w:rsid w:val="00C16FB5"/>
    <w:pPr>
      <w:ind w:left="-1418"/>
    </w:pPr>
    <w:rPr>
      <w:sz w:val="2"/>
      <w:szCs w:val="2"/>
    </w:rPr>
  </w:style>
  <w:style w:type="character" w:styleId="PageNumber">
    <w:name w:val="page number"/>
    <w:basedOn w:val="DefaultParagraphFont"/>
    <w:rsid w:val="00C16FB5"/>
  </w:style>
  <w:style w:type="paragraph" w:styleId="Quote">
    <w:name w:val="Quote"/>
    <w:basedOn w:val="Heading1"/>
    <w:link w:val="QuoteChar"/>
    <w:qFormat/>
    <w:rsid w:val="00C16FB5"/>
    <w:rPr>
      <w:b w:val="0"/>
      <w:sz w:val="72"/>
      <w:szCs w:val="72"/>
      <w:lang w:val="en-NZ"/>
    </w:rPr>
  </w:style>
  <w:style w:type="character" w:customStyle="1" w:styleId="QuoteChar">
    <w:name w:val="Quote Char"/>
    <w:basedOn w:val="DefaultParagraphFont"/>
    <w:link w:val="Quote"/>
    <w:rsid w:val="00C16FB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16FB5"/>
    <w:pPr>
      <w:pageBreakBefore/>
    </w:pPr>
  </w:style>
  <w:style w:type="paragraph" w:customStyle="1" w:styleId="Border">
    <w:name w:val="Border"/>
    <w:basedOn w:val="Normal"/>
    <w:qFormat/>
    <w:rsid w:val="00C16FB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16FB5"/>
    <w:rPr>
      <w:b/>
      <w:bCs/>
      <w:i/>
      <w:iCs/>
      <w:color w:val="auto"/>
    </w:rPr>
  </w:style>
  <w:style w:type="paragraph" w:styleId="IntenseQuote">
    <w:name w:val="Intense Quote"/>
    <w:basedOn w:val="Normal"/>
    <w:next w:val="Normal"/>
    <w:link w:val="IntenseQuoteChar"/>
    <w:uiPriority w:val="30"/>
    <w:qFormat/>
    <w:rsid w:val="00C16FB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16FB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16FB5"/>
    <w:rPr>
      <w:smallCaps/>
      <w:color w:val="auto"/>
      <w:u w:val="single"/>
    </w:rPr>
  </w:style>
  <w:style w:type="character" w:styleId="IntenseReference">
    <w:name w:val="Intense Reference"/>
    <w:basedOn w:val="DefaultParagraphFont"/>
    <w:uiPriority w:val="32"/>
    <w:qFormat/>
    <w:rsid w:val="00C16FB5"/>
    <w:rPr>
      <w:b/>
      <w:bCs/>
      <w:smallCaps/>
      <w:color w:val="auto"/>
      <w:spacing w:val="5"/>
      <w:u w:val="single"/>
    </w:rPr>
  </w:style>
  <w:style w:type="paragraph" w:customStyle="1" w:styleId="2ColumnHeading">
    <w:name w:val="2Column Heading"/>
    <w:basedOn w:val="BodyText"/>
    <w:qFormat/>
    <w:rsid w:val="00C16FB5"/>
    <w:pPr>
      <w:spacing w:after="60"/>
      <w:ind w:left="-2268"/>
    </w:pPr>
    <w:rPr>
      <w:b/>
    </w:rPr>
  </w:style>
  <w:style w:type="paragraph" w:customStyle="1" w:styleId="Heading1TOC">
    <w:name w:val="Heading1 TOC"/>
    <w:basedOn w:val="Normal"/>
    <w:qFormat/>
    <w:rsid w:val="00C16FB5"/>
    <w:pPr>
      <w:spacing w:before="240" w:after="120"/>
    </w:pPr>
    <w:rPr>
      <w:rFonts w:ascii="Times New Roman" w:hAnsi="Times New Roman"/>
      <w:b/>
      <w:sz w:val="32"/>
    </w:rPr>
  </w:style>
  <w:style w:type="paragraph" w:customStyle="1" w:styleId="Heading2TOC">
    <w:name w:val="Heading2 TOC"/>
    <w:basedOn w:val="Normal"/>
    <w:qFormat/>
    <w:rsid w:val="00C16FB5"/>
    <w:pPr>
      <w:spacing w:before="240" w:after="60"/>
    </w:pPr>
    <w:rPr>
      <w:rFonts w:ascii="Times New Roman" w:hAnsi="Times New Roman"/>
      <w:b/>
      <w:sz w:val="28"/>
    </w:rPr>
  </w:style>
  <w:style w:type="character" w:customStyle="1" w:styleId="Underline">
    <w:name w:val="Underline"/>
    <w:basedOn w:val="DefaultParagraphFont"/>
    <w:qFormat/>
    <w:rsid w:val="00C16FB5"/>
    <w:rPr>
      <w:u w:val="single"/>
    </w:rPr>
  </w:style>
  <w:style w:type="character" w:customStyle="1" w:styleId="BoldandItalics">
    <w:name w:val="Bold and Italics"/>
    <w:qFormat/>
    <w:rsid w:val="00C16FB5"/>
    <w:rPr>
      <w:b/>
      <w:i/>
      <w:u w:val="none"/>
    </w:rPr>
  </w:style>
  <w:style w:type="paragraph" w:styleId="BalloonText">
    <w:name w:val="Balloon Text"/>
    <w:basedOn w:val="Normal"/>
    <w:link w:val="BalloonTextChar"/>
    <w:rsid w:val="00C16FB5"/>
    <w:rPr>
      <w:rFonts w:ascii="Tahoma" w:hAnsi="Tahoma" w:cs="Tahoma"/>
      <w:sz w:val="16"/>
      <w:szCs w:val="16"/>
    </w:rPr>
  </w:style>
  <w:style w:type="character" w:customStyle="1" w:styleId="BalloonTextChar">
    <w:name w:val="Balloon Text Char"/>
    <w:basedOn w:val="DefaultParagraphFont"/>
    <w:link w:val="BalloonText"/>
    <w:rsid w:val="00C16FB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16FB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16FB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16FB5"/>
    <w:rPr>
      <w:b/>
      <w:color w:val="660033"/>
      <w:spacing w:val="0"/>
    </w:rPr>
  </w:style>
  <w:style w:type="paragraph" w:customStyle="1" w:styleId="Nameditemlist">
    <w:name w:val="Named item list"/>
    <w:basedOn w:val="BodyText"/>
    <w:qFormat/>
    <w:rsid w:val="00C16FB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877</Words>
  <Characters>5401</Characters>
  <Application>Microsoft Office Word</Application>
  <DocSecurity>0</DocSecurity>
  <Lines>135</Lines>
  <Paragraphs>77</Paragraphs>
  <ScaleCrop>false</ScaleCrop>
  <Company>Author-it Software Corporation Ltd.</Company>
  <LinksUpToDate>false</LinksUpToDate>
  <CharactersWithSpaces>6244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RIIERR202D Contribute to the control of emergencies and critical situations</dc:title>
  <dc:subject>Approved</dc:subject>
  <dc:creator>SkillsDMC</dc:creator>
  <cp:keywords>Release: 3</cp:keywords>
  <dc:description>Review Date: 12 April 2008</dc:description>
  <cp:lastModifiedBy>HSD_TPCMSd.prod</cp:lastModifiedBy>
  <cp:revision>3</cp:revision>
  <dcterms:created xsi:type="dcterms:W3CDTF">2014-12-07T03:56:00Z</dcterms:created>
  <dcterms:modified xsi:type="dcterms:W3CDTF">2014-12-07T03:56:00Z</dcterms:modified>
</cp:coreProperties>
</file>