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FCC" w:rsidP="00662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RIIENV202D Suppress airborne contaminants</w:t>
      </w:r>
      <w:r>
        <w:fldChar w:fldCharType="end"/>
      </w:r>
    </w:p>
    <w:p w:rsidR="00662FCC" w:rsidP="00662FCC">
      <w:pPr>
        <w:pStyle w:val="Version"/>
        <w:sectPr w:rsidSect="00D13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3AD4" w:rsidP="00D13AD4">
      <w:pPr>
        <w:pStyle w:val="SuperHeading"/>
      </w:pPr>
      <w:r w:rsidRPr="00D13AD4">
        <w:t>Assessment Requirements for RIIENV202D Suppress airborne contaminants</w:t>
      </w:r>
    </w:p>
    <w:p w:rsidR="00000000" w:rsidRPr="00D13AD4" w:rsidP="00D13AD4">
      <w:pPr>
        <w:pStyle w:val="Heading1"/>
      </w:pPr>
      <w:bookmarkStart w:id="1" w:name="O_686785"/>
      <w:bookmarkEnd w:id="1"/>
      <w:r w:rsidRPr="00D13AD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62F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Comment</w:t>
            </w:r>
          </w:p>
        </w:tc>
      </w:tr>
      <w:tr w:rsidTr="00662F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This unit replaces RIIENV202A Suppress airborne contaminants</w:t>
            </w:r>
          </w:p>
        </w:tc>
      </w:tr>
      <w:tr w:rsidTr="00662F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D4" w:rsidP="00D13AD4">
            <w:pPr>
              <w:pStyle w:val="BodyText"/>
            </w:pPr>
            <w:r w:rsidRPr="00D13AD4">
              <w:t>Required frequency and volume of evidence amended in Performance evidence.</w:t>
            </w:r>
          </w:p>
          <w:p w:rsidR="00000000" w:rsidRPr="00D13AD4" w:rsidP="00D13AD4">
            <w:pPr>
              <w:pStyle w:val="BodyText"/>
            </w:pPr>
            <w:r w:rsidRPr="00D13AD4">
              <w:t>Substantial amendments made in Assessment Conditions field, including: references to Industry Sectors, assessor and subject matter expert experience requirements, how assessment sho</w:t>
            </w:r>
            <w:r w:rsidRPr="00D13AD4">
              <w:t>uld be conducted and what it should confirm.</w:t>
            </w:r>
          </w:p>
        </w:tc>
      </w:tr>
    </w:tbl>
    <w:p w:rsidR="00000000" w:rsidRPr="00D13AD4" w:rsidP="00D13AD4">
      <w:pPr>
        <w:pStyle w:val="BodyText"/>
      </w:pPr>
    </w:p>
    <w:p w:rsidR="00000000" w:rsidRPr="00D13AD4" w:rsidP="00D13AD4">
      <w:pPr>
        <w:pStyle w:val="AllowPageBreak"/>
      </w:pPr>
    </w:p>
    <w:p w:rsidR="00000000" w:rsidRPr="00D13AD4" w:rsidP="00D13AD4">
      <w:pPr>
        <w:pStyle w:val="Heading1"/>
      </w:pPr>
      <w:bookmarkStart w:id="2" w:name="O_686784"/>
      <w:bookmarkEnd w:id="2"/>
      <w:r w:rsidRPr="00D13AD4">
        <w:t>Performance Evidence</w:t>
      </w:r>
    </w:p>
    <w:p w:rsidR="00000000" w:rsidRPr="00D13AD4" w:rsidP="00662FCC">
      <w:pPr>
        <w:pStyle w:val="BodyText"/>
      </w:pPr>
      <w:r w:rsidRPr="00D13AD4">
        <w:t>Evidence is required to be collected that demonstrates a candidate’s competency in this unit. Evidence must be relevant to the roles within this sector’</w:t>
      </w:r>
      <w:r w:rsidRPr="00D13AD4">
        <w:t>s work operations and satisfy all of the requirements of the performance criteria of this unit and include evidence that the candidate:</w:t>
      </w:r>
    </w:p>
    <w:p w:rsidR="00000000" w:rsidRPr="00D13AD4" w:rsidP="00D13AD4">
      <w:pPr>
        <w:pStyle w:val="ListBullet"/>
      </w:pPr>
      <w:r w:rsidRPr="00D13AD4">
        <w:t>locates and applies relevant documentation, policies and procedures</w:t>
      </w:r>
    </w:p>
    <w:p w:rsidR="00000000" w:rsidRPr="00D13AD4" w:rsidP="00D13AD4">
      <w:pPr>
        <w:pStyle w:val="ListBullet"/>
      </w:pPr>
      <w:r w:rsidRPr="00D13AD4">
        <w:t>demonstrates completion of suppressing airborne con</w:t>
      </w:r>
      <w:r w:rsidRPr="00D13AD4">
        <w:t>taminants that safely, effectively and efficiently meets all of the required outcomes on more than one (1) occasion including:</w:t>
      </w:r>
    </w:p>
    <w:p w:rsidR="00000000" w:rsidRPr="00D13AD4" w:rsidP="00D13AD4">
      <w:pPr>
        <w:pStyle w:val="ListBullet2"/>
      </w:pPr>
      <w:r w:rsidRPr="00D13AD4">
        <w:t>organising work activities to comply with environmental and airborne contaminant suppression</w:t>
      </w:r>
    </w:p>
    <w:p w:rsidR="00000000" w:rsidRPr="00D13AD4" w:rsidP="00D13AD4">
      <w:pPr>
        <w:pStyle w:val="ListBullet2"/>
      </w:pPr>
      <w:r w:rsidRPr="00D13AD4">
        <w:t>identify and confirm contaminant su</w:t>
      </w:r>
      <w:r w:rsidRPr="00D13AD4">
        <w:t>ppression method</w:t>
      </w:r>
    </w:p>
    <w:p w:rsidR="00000000" w:rsidRPr="00D13AD4" w:rsidP="00D13AD4">
      <w:pPr>
        <w:pStyle w:val="ListBullet2"/>
      </w:pPr>
      <w:r w:rsidRPr="00D13AD4">
        <w:t xml:space="preserve">clearly documenting and communicating environmental issues </w:t>
      </w:r>
    </w:p>
    <w:p w:rsidR="00000000" w:rsidRPr="00D13AD4" w:rsidP="00D13AD4">
      <w:pPr>
        <w:pStyle w:val="ListBullet2"/>
      </w:pPr>
      <w:r w:rsidRPr="00D13AD4">
        <w:t>preparing for emergency situations</w:t>
      </w:r>
    </w:p>
    <w:p w:rsidR="00000000" w:rsidRPr="00D13AD4" w:rsidP="00D13AD4">
      <w:pPr>
        <w:pStyle w:val="ListBullet2"/>
      </w:pPr>
      <w:r w:rsidRPr="00D13AD4">
        <w:t xml:space="preserve">identifying contaminants </w:t>
      </w:r>
    </w:p>
    <w:p w:rsidR="00000000" w:rsidRPr="00D13AD4" w:rsidP="00D13AD4">
      <w:pPr>
        <w:pStyle w:val="ListBullet2"/>
      </w:pPr>
      <w:r w:rsidRPr="00D13AD4">
        <w:t xml:space="preserve">preparing for and acting on emergency situations </w:t>
      </w:r>
    </w:p>
    <w:p w:rsidR="00000000" w:rsidRPr="00D13AD4" w:rsidP="00D13AD4">
      <w:pPr>
        <w:pStyle w:val="ListBullet2"/>
      </w:pPr>
      <w:r w:rsidRPr="00D13AD4">
        <w:t xml:space="preserve">operation of airborne contaminant suppression equipment </w:t>
      </w:r>
    </w:p>
    <w:p w:rsidR="00000000" w:rsidRPr="00D13AD4" w:rsidP="00D13AD4">
      <w:pPr>
        <w:pStyle w:val="ListBullet2"/>
      </w:pPr>
      <w:r w:rsidRPr="00D13AD4">
        <w:t>carrying out routine operational servicing, lubrication and housekeeping tasks</w:t>
      </w:r>
    </w:p>
    <w:p w:rsidR="00000000" w:rsidRPr="00D13AD4" w:rsidP="00D13AD4">
      <w:pPr>
        <w:pStyle w:val="ListBullet2"/>
      </w:pPr>
      <w:r w:rsidRPr="00D13AD4">
        <w:t>carrying out inspections</w:t>
      </w:r>
    </w:p>
    <w:p w:rsidR="00000000" w:rsidRPr="00D13AD4" w:rsidP="00D13AD4">
      <w:pPr>
        <w:pStyle w:val="AllowPageBreak"/>
      </w:pPr>
    </w:p>
    <w:p w:rsidR="00000000" w:rsidRPr="00D13AD4" w:rsidP="00D13AD4">
      <w:pPr>
        <w:pStyle w:val="Heading1"/>
      </w:pPr>
      <w:bookmarkStart w:id="3" w:name="O_686783"/>
      <w:bookmarkEnd w:id="3"/>
      <w:r w:rsidRPr="00D13AD4">
        <w:t>Knowledge Evidence</w:t>
      </w:r>
    </w:p>
    <w:p w:rsidR="00000000" w:rsidRPr="00D13AD4" w:rsidP="00662FCC">
      <w:pPr>
        <w:pStyle w:val="BodyText"/>
      </w:pPr>
      <w:r w:rsidRPr="00D13AD4">
        <w:t>The candidate must demonstrate knowledge of suppressing airborne contaminants through:</w:t>
      </w:r>
    </w:p>
    <w:p w:rsidR="00000000" w:rsidRPr="00D13AD4" w:rsidP="00D13AD4">
      <w:pPr>
        <w:pStyle w:val="ListBullet"/>
      </w:pPr>
      <w:r w:rsidRPr="00D13AD4">
        <w:t>complying with emergency pro</w:t>
      </w:r>
      <w:r w:rsidRPr="00D13AD4">
        <w:t>cedures</w:t>
      </w:r>
    </w:p>
    <w:p w:rsidR="00000000" w:rsidRPr="00D13AD4" w:rsidP="00D13AD4">
      <w:pPr>
        <w:pStyle w:val="ListBullet"/>
      </w:pPr>
      <w:r w:rsidRPr="00D13AD4">
        <w:t>knowledge of environmental aspects</w:t>
      </w:r>
    </w:p>
    <w:p w:rsidR="00000000" w:rsidRPr="00D13AD4" w:rsidP="00D13AD4">
      <w:pPr>
        <w:pStyle w:val="ListBullet"/>
      </w:pPr>
      <w:r w:rsidRPr="00D13AD4">
        <w:t>using equipment processes, technical capability and determining limitations</w:t>
      </w:r>
    </w:p>
    <w:p w:rsidR="00000000" w:rsidRPr="00D13AD4" w:rsidP="00D13AD4">
      <w:pPr>
        <w:pStyle w:val="ListBullet"/>
      </w:pPr>
      <w:r w:rsidRPr="00D13AD4">
        <w:t>using equipment safety requirements</w:t>
      </w:r>
    </w:p>
    <w:p w:rsidR="00000000" w:rsidRPr="00D13AD4" w:rsidP="00D13AD4">
      <w:pPr>
        <w:pStyle w:val="ListBullet"/>
      </w:pPr>
      <w:r w:rsidRPr="00D13AD4">
        <w:t>complying with maintenance procedures</w:t>
      </w:r>
    </w:p>
    <w:p w:rsidR="00000000" w:rsidRPr="00D13AD4" w:rsidP="00D13AD4">
      <w:pPr>
        <w:pStyle w:val="ListBullet"/>
      </w:pPr>
      <w:r w:rsidRPr="00D13AD4">
        <w:t xml:space="preserve">complying with monitoring systems and alarms </w:t>
      </w:r>
    </w:p>
    <w:p w:rsidR="00000000" w:rsidRPr="00D13AD4" w:rsidP="00D13AD4">
      <w:pPr>
        <w:pStyle w:val="ListBullet"/>
      </w:pPr>
      <w:r w:rsidRPr="00D13AD4">
        <w:t>complying with recording and reporting procedures</w:t>
      </w:r>
    </w:p>
    <w:p w:rsidR="00000000" w:rsidRPr="00D13AD4" w:rsidP="00D13AD4">
      <w:pPr>
        <w:pStyle w:val="AllowPageBreak"/>
      </w:pPr>
    </w:p>
    <w:p w:rsidR="00000000" w:rsidRPr="00D13AD4" w:rsidP="00D13AD4">
      <w:pPr>
        <w:pStyle w:val="Heading1"/>
      </w:pPr>
      <w:bookmarkStart w:id="4" w:name="O_686782"/>
      <w:bookmarkEnd w:id="4"/>
      <w:r w:rsidRPr="00D13AD4">
        <w:t>Assessment Conditions</w:t>
      </w:r>
    </w:p>
    <w:p w:rsidR="00000000" w:rsidRPr="00D13AD4" w:rsidP="00D13AD4">
      <w:pPr>
        <w:pStyle w:val="ListBullet"/>
      </w:pPr>
      <w:r w:rsidRPr="00D13AD4">
        <w:t xml:space="preserve">An assessor of this unit must satisfy the requirements of the NVR/AQTF or their successors; and Industry regulations for certification and licensing; and, </w:t>
      </w:r>
    </w:p>
    <w:p w:rsidR="00000000" w:rsidRPr="00D13AD4" w:rsidP="00D13AD4">
      <w:pPr>
        <w:pStyle w:val="ListBullet"/>
      </w:pPr>
      <w:r w:rsidRPr="00D13AD4">
        <w:t xml:space="preserve">this unit </w:t>
      </w:r>
      <w:r w:rsidRPr="00D13AD4">
        <w:t>is best assessed in the context of this sector’s work environment;</w:t>
      </w:r>
    </w:p>
    <w:p w:rsidR="00000000" w:rsidRPr="00D13AD4" w:rsidP="00D13AD4">
      <w:pPr>
        <w:pStyle w:val="ListBullet"/>
      </w:pPr>
      <w:r w:rsidRPr="00D13AD4">
        <w:t>where personal safety or environmental damage are limiting factors, assessment may occur in a simulated environment provided it is realistic and sufficiently rigorous to cover all aspects o</w:t>
      </w:r>
      <w:r w:rsidRPr="00D13AD4">
        <w:t>f this sector’s workplace performance, including environment, task skills, task management skills, contingency management skills and job role environment skills; and,</w:t>
      </w:r>
    </w:p>
    <w:p w:rsidR="00000000" w:rsidRPr="00D13AD4" w:rsidP="00D13AD4">
      <w:pPr>
        <w:pStyle w:val="ListBullet"/>
      </w:pPr>
      <w:r w:rsidRPr="00D13AD4">
        <w:t>this unit must be assessed in compliance with relevant legislation/regulation and using p</w:t>
      </w:r>
      <w:r w:rsidRPr="00D13AD4">
        <w:t>olicies, procedures, processes and operational manuals directly related to the industry sector for which it is being assessed; and,</w:t>
      </w:r>
    </w:p>
    <w:p w:rsidR="00000000" w:rsidRPr="00D13AD4" w:rsidP="00D13AD4">
      <w:pPr>
        <w:pStyle w:val="ListBullet"/>
      </w:pPr>
      <w:r w:rsidRPr="00D13AD4">
        <w:t>assessment may be conducted in conjunction with the assessment of other Units of Competency; and,</w:t>
      </w:r>
    </w:p>
    <w:p w:rsidR="00000000" w:rsidRPr="00D13AD4" w:rsidP="00D13AD4">
      <w:pPr>
        <w:pStyle w:val="ListBullet"/>
      </w:pPr>
      <w:r w:rsidRPr="00D13AD4">
        <w:t>assessment must confirm co</w:t>
      </w:r>
      <w:r w:rsidRPr="00D13AD4">
        <w:t>nsistent performance can be applied in a range of relevant workplace circumstances; and,</w:t>
      </w:r>
    </w:p>
    <w:p w:rsidR="00000000" w:rsidRPr="00D13AD4" w:rsidP="00D13AD4">
      <w:pPr>
        <w:pStyle w:val="ListBullet"/>
      </w:pPr>
      <w:r w:rsidRPr="00D13AD4">
        <w:t>assessors must demonstrate the performance evidence, and knowledge evidence as outlined in this Unit of Competency, and through the minimum years of current* work expe</w:t>
      </w:r>
      <w:r w:rsidRPr="00D13AD4">
        <w:t>rience specified below in an Industry sector relevant to the outcomes of the unit; or,</w:t>
      </w:r>
    </w:p>
    <w:p w:rsidR="00000000" w:rsidRPr="00D13AD4" w:rsidP="00D13AD4">
      <w:pPr>
        <w:pStyle w:val="ListBullet"/>
      </w:pPr>
      <w:r w:rsidRPr="00D13AD4">
        <w:t>where the assessor does not meet experience requirements a co-assessment or partnership arrangement must exist between the qualified assessor and an Industry subject mat</w:t>
      </w:r>
      <w:r w:rsidRPr="00D13AD4">
        <w:t>ter expert. The Industry subject matter expert should hold the unit being assessed (or an equivalent unit) and/or demonstrate equivalence of skills and knowledge at the unit level. An Industry technical expert must also demonstrate skills and knowledge fro</w:t>
      </w:r>
      <w:r w:rsidRPr="00D13AD4">
        <w:t>m the minimum years of current work experience specified below in the Industry sector, including time spent in roles related to the unit being assessed; and,</w:t>
      </w:r>
    </w:p>
    <w:p w:rsidR="00000000" w:rsidRPr="00D13AD4" w:rsidP="00D13AD4">
      <w:pPr>
        <w:pStyle w:val="ListBullet"/>
      </w:pPr>
      <w:r w:rsidRPr="00D13AD4">
        <w:t>assessor and Industry subject matter expert requirements differ depending on the Australian Qualif</w:t>
      </w:r>
      <w:r w:rsidRPr="00D13AD4">
        <w:t>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13A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Required assessor or Industry subject matter expert experience</w:t>
            </w:r>
          </w:p>
        </w:tc>
      </w:tr>
      <w:tr w:rsidTr="00D13A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1 Year</w:t>
            </w:r>
          </w:p>
        </w:tc>
      </w:tr>
      <w:tr w:rsidTr="00D13A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2 Years</w:t>
            </w:r>
          </w:p>
        </w:tc>
      </w:tr>
      <w:tr w:rsidTr="00D13A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3 Years</w:t>
            </w:r>
          </w:p>
        </w:tc>
      </w:tr>
      <w:tr w:rsidTr="00D13A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 xml:space="preserve">Metalliferous Mining and Civil </w:t>
            </w:r>
            <w:r w:rsidRPr="00D13AD4">
              <w:t>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5 Years</w:t>
            </w:r>
          </w:p>
        </w:tc>
      </w:tr>
      <w:tr w:rsidTr="00D13A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3AD4">
            <w:pPr>
              <w:pStyle w:val="BodyText"/>
              <w:rPr>
                <w:lang w:val="en-NZ"/>
              </w:rPr>
            </w:pPr>
            <w:r w:rsidRPr="00D13AD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3AD4" w:rsidP="00D13AD4">
            <w:pPr>
              <w:pStyle w:val="BodyText"/>
            </w:pPr>
            <w:r w:rsidRPr="00D13AD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13AD4">
              <w:t>ndard is specified should comply with any relevant regulation.</w:t>
            </w:r>
          </w:p>
        </w:tc>
      </w:tr>
    </w:tbl>
    <w:p w:rsidR="00000000" w:rsidRPr="00D13AD4" w:rsidP="00662FCC">
      <w:pPr>
        <w:pStyle w:val="BodyText"/>
      </w:pPr>
      <w:r w:rsidRPr="00D13AD4">
        <w:t>*Assessors can demonstrate current work experience through employment within Industry in a role relevant to the outcomes of the Unit; or, for external assessors this can be demonstrated throu</w:t>
      </w:r>
      <w:r w:rsidRPr="00D13AD4">
        <w:t>gh exposure to Industry by conducting frequent site assessments across various locations.</w:t>
      </w:r>
    </w:p>
    <w:p w:rsidR="00000000" w:rsidRPr="00D13AD4" w:rsidP="00662FCC">
      <w:pPr>
        <w:pStyle w:val="BodyText"/>
      </w:pPr>
      <w:r w:rsidRPr="00D13AD4">
        <w:t>**Where a unit is being delivered outside of a Qualification the first numeric character in the Unit code should be considered to indicate the AQF level</w:t>
      </w:r>
    </w:p>
    <w:p w:rsidR="00000000" w:rsidRPr="00D13AD4" w:rsidP="00D13AD4">
      <w:pPr>
        <w:pStyle w:val="Heading1"/>
      </w:pPr>
      <w:bookmarkStart w:id="5" w:name="O_686793"/>
      <w:bookmarkEnd w:id="5"/>
      <w:r w:rsidRPr="00D13AD4">
        <w:t>Links</w:t>
      </w:r>
    </w:p>
    <w:p w:rsidR="00000000" w:rsidRPr="00D13AD4" w:rsidP="00662FCC">
      <w:pPr>
        <w:pStyle w:val="BodyText"/>
      </w:pPr>
      <w:r w:rsidRPr="00D13A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24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13AD4" w:rsidP="00D13AD4"/>
    <w:sectPr w:rsidSect="00D13A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D4" w:rsidRPr="00662FCC" w:rsidP="00662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CC" w:rsidP="00D13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FCC" w:rsidP="00D13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2FCC" w:rsidP="00D13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AD4" w:rsidRPr="00662FCC" w:rsidP="00662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CC" w:rsidRPr="002D2AF8" w:rsidP="00D13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RIIENV202D Suppress airborne contaminants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62FCC" w:rsidP="00D13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A41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2EF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C22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AD4"/>
  </w:style>
  <w:style w:type="character" w:customStyle="1" w:styleId="Heading1Char">
    <w:name w:val="Heading 1 Char"/>
    <w:basedOn w:val="DefaultParagraphFont"/>
    <w:link w:val="Heading1"/>
    <w:rsid w:val="00D13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A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3A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3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3AD4"/>
    <w:rPr>
      <w:b/>
      <w:spacing w:val="0"/>
    </w:rPr>
  </w:style>
  <w:style w:type="paragraph" w:customStyle="1" w:styleId="SuperTitle">
    <w:name w:val="SuperTitle"/>
    <w:basedOn w:val="Title"/>
    <w:rsid w:val="00D13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A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AD4"/>
    <w:rPr>
      <w:i/>
    </w:rPr>
  </w:style>
  <w:style w:type="paragraph" w:styleId="Caption">
    <w:name w:val="caption"/>
    <w:basedOn w:val="BodyText"/>
    <w:next w:val="Normal"/>
    <w:qFormat/>
    <w:rsid w:val="00D13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AD4"/>
  </w:style>
  <w:style w:type="paragraph" w:styleId="TableofFigures">
    <w:name w:val="table of figures"/>
    <w:basedOn w:val="Normal"/>
    <w:next w:val="Normal"/>
    <w:semiHidden/>
    <w:rsid w:val="00D13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A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AD4"/>
    <w:rPr>
      <w:rFonts w:ascii="Wingdings" w:hAnsi="Wingdings"/>
    </w:rPr>
  </w:style>
  <w:style w:type="paragraph" w:customStyle="1" w:styleId="TableHeading">
    <w:name w:val="Table Heading"/>
    <w:basedOn w:val="HeadingBase"/>
    <w:rsid w:val="00D13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AD4"/>
    <w:rPr>
      <w:color w:val="0033CC"/>
      <w:u w:val="none"/>
    </w:rPr>
  </w:style>
  <w:style w:type="paragraph" w:customStyle="1" w:styleId="BodyTextRight">
    <w:name w:val="Body Text Right"/>
    <w:basedOn w:val="BodyText"/>
    <w:rsid w:val="00D13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A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AD4"/>
    <w:rPr>
      <w:sz w:val="32"/>
    </w:rPr>
  </w:style>
  <w:style w:type="paragraph" w:customStyle="1" w:styleId="HeadingProcedure">
    <w:name w:val="Heading Procedure"/>
    <w:basedOn w:val="HeadingBase"/>
    <w:next w:val="Normal"/>
    <w:rsid w:val="00D13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AD4"/>
    <w:pPr>
      <w:spacing w:before="60" w:after="60"/>
    </w:pPr>
  </w:style>
  <w:style w:type="paragraph" w:styleId="ListContinue">
    <w:name w:val="List Continue"/>
    <w:basedOn w:val="List"/>
    <w:rsid w:val="00D13AD4"/>
    <w:pPr>
      <w:ind w:firstLine="0"/>
    </w:pPr>
  </w:style>
  <w:style w:type="paragraph" w:customStyle="1" w:styleId="ListNote">
    <w:name w:val="List Note"/>
    <w:basedOn w:val="List"/>
    <w:rsid w:val="00D13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AD4"/>
    <w:rPr>
      <w:rFonts w:ascii="Courier New" w:hAnsi="Courier New"/>
    </w:rPr>
  </w:style>
  <w:style w:type="paragraph" w:customStyle="1" w:styleId="NoteBullet">
    <w:name w:val="Note Bullet"/>
    <w:basedOn w:val="Note"/>
    <w:rsid w:val="00D13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A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AD4"/>
    <w:rPr>
      <w:b/>
      <w:smallCaps/>
    </w:rPr>
  </w:style>
  <w:style w:type="paragraph" w:customStyle="1" w:styleId="TableListNumber">
    <w:name w:val="Table List Number"/>
    <w:basedOn w:val="ListNumber"/>
    <w:rsid w:val="00D13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AD4"/>
    <w:pPr>
      <w:numPr>
        <w:numId w:val="9"/>
      </w:numPr>
    </w:pPr>
  </w:style>
  <w:style w:type="paragraph" w:customStyle="1" w:styleId="ListAlpha2">
    <w:name w:val="List Alpha 2"/>
    <w:basedOn w:val="List2"/>
    <w:rsid w:val="00D13AD4"/>
    <w:pPr>
      <w:numPr>
        <w:numId w:val="8"/>
      </w:numPr>
    </w:pPr>
  </w:style>
  <w:style w:type="paragraph" w:styleId="List2">
    <w:name w:val="List 2"/>
    <w:basedOn w:val="BodyText"/>
    <w:rsid w:val="00D13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A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A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AD4"/>
    <w:pPr>
      <w:numPr>
        <w:numId w:val="4"/>
      </w:numPr>
    </w:pPr>
  </w:style>
  <w:style w:type="paragraph" w:styleId="ListContinue2">
    <w:name w:val="List Continue 2"/>
    <w:basedOn w:val="List2"/>
    <w:rsid w:val="00D13AD4"/>
    <w:pPr>
      <w:ind w:firstLine="0"/>
    </w:pPr>
  </w:style>
  <w:style w:type="paragraph" w:styleId="ListContinue3">
    <w:name w:val="List Continue 3"/>
    <w:basedOn w:val="List3"/>
    <w:rsid w:val="00D13AD4"/>
    <w:pPr>
      <w:ind w:left="1021" w:firstLine="0"/>
    </w:pPr>
  </w:style>
  <w:style w:type="paragraph" w:styleId="ListContinue4">
    <w:name w:val="List Continue 4"/>
    <w:basedOn w:val="List4"/>
    <w:rsid w:val="00D13AD4"/>
    <w:pPr>
      <w:ind w:firstLine="0"/>
    </w:pPr>
  </w:style>
  <w:style w:type="paragraph" w:styleId="ListContinue5">
    <w:name w:val="List Continue 5"/>
    <w:basedOn w:val="List5"/>
    <w:rsid w:val="00D13AD4"/>
    <w:pPr>
      <w:ind w:firstLine="0"/>
    </w:pPr>
  </w:style>
  <w:style w:type="paragraph" w:styleId="ListNumber3">
    <w:name w:val="List Number 3"/>
    <w:basedOn w:val="List3"/>
    <w:rsid w:val="00D13AD4"/>
    <w:pPr>
      <w:numPr>
        <w:numId w:val="5"/>
      </w:numPr>
    </w:pPr>
  </w:style>
  <w:style w:type="paragraph" w:styleId="ListNumber4">
    <w:name w:val="List Number 4"/>
    <w:basedOn w:val="List4"/>
    <w:rsid w:val="00D13AD4"/>
    <w:pPr>
      <w:numPr>
        <w:numId w:val="6"/>
      </w:numPr>
    </w:pPr>
  </w:style>
  <w:style w:type="paragraph" w:styleId="ListNumber5">
    <w:name w:val="List Number 5"/>
    <w:basedOn w:val="List5"/>
    <w:rsid w:val="00D13AD4"/>
    <w:pPr>
      <w:numPr>
        <w:numId w:val="7"/>
      </w:numPr>
    </w:pPr>
  </w:style>
  <w:style w:type="paragraph" w:styleId="BlockText">
    <w:name w:val="Block Text"/>
    <w:basedOn w:val="Normal"/>
    <w:rsid w:val="00D13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AD4"/>
    <w:rPr>
      <w:sz w:val="16"/>
      <w:vertAlign w:val="superscript"/>
    </w:rPr>
  </w:style>
  <w:style w:type="character" w:customStyle="1" w:styleId="Symbols">
    <w:name w:val="Symbols"/>
    <w:basedOn w:val="DefaultParagraphFont"/>
    <w:rsid w:val="00D13AD4"/>
    <w:rPr>
      <w:rFonts w:ascii="Symbol" w:hAnsi="Symbol"/>
    </w:rPr>
  </w:style>
  <w:style w:type="character" w:customStyle="1" w:styleId="MenuOptions">
    <w:name w:val="Menu Options"/>
    <w:basedOn w:val="DefaultParagraphFont"/>
    <w:rsid w:val="00D13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AD4"/>
    <w:rPr>
      <w:b/>
    </w:rPr>
  </w:style>
  <w:style w:type="character" w:customStyle="1" w:styleId="Underlined">
    <w:name w:val="Underlined"/>
    <w:basedOn w:val="DefaultParagraphFont"/>
    <w:rsid w:val="00D13AD4"/>
    <w:rPr>
      <w:u w:val="single"/>
    </w:rPr>
  </w:style>
  <w:style w:type="paragraph" w:customStyle="1" w:styleId="TableBodyTextRight">
    <w:name w:val="Table Body Text Right"/>
    <w:basedOn w:val="TableBodyText"/>
    <w:rsid w:val="00D13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AD4"/>
    <w:rPr>
      <w:sz w:val="18"/>
    </w:rPr>
  </w:style>
  <w:style w:type="paragraph" w:customStyle="1" w:styleId="BodySmallRight">
    <w:name w:val="Body Small Right"/>
    <w:basedOn w:val="BodyTextRight"/>
    <w:rsid w:val="00D13AD4"/>
    <w:rPr>
      <w:sz w:val="18"/>
      <w:szCs w:val="18"/>
    </w:rPr>
  </w:style>
  <w:style w:type="paragraph" w:customStyle="1" w:styleId="MarginEdition">
    <w:name w:val="Margin Edition"/>
    <w:basedOn w:val="MarginNote"/>
    <w:rsid w:val="00D13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AD4"/>
    <w:rPr>
      <w:sz w:val="2"/>
      <w:szCs w:val="2"/>
    </w:rPr>
  </w:style>
  <w:style w:type="character" w:customStyle="1" w:styleId="Small">
    <w:name w:val="Small"/>
    <w:basedOn w:val="DefaultParagraphFont"/>
    <w:rsid w:val="00D13AD4"/>
    <w:rPr>
      <w:sz w:val="16"/>
    </w:rPr>
  </w:style>
  <w:style w:type="paragraph" w:customStyle="1" w:styleId="WideTable">
    <w:name w:val="Wide Table"/>
    <w:basedOn w:val="Normal"/>
    <w:rsid w:val="00D13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AD4"/>
  </w:style>
  <w:style w:type="paragraph" w:styleId="Quote">
    <w:name w:val="Quote"/>
    <w:basedOn w:val="Heading1"/>
    <w:link w:val="QuoteChar"/>
    <w:qFormat/>
    <w:rsid w:val="00D13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AD4"/>
    <w:pPr>
      <w:pageBreakBefore/>
    </w:pPr>
  </w:style>
  <w:style w:type="paragraph" w:customStyle="1" w:styleId="Border">
    <w:name w:val="Border"/>
    <w:basedOn w:val="Normal"/>
    <w:qFormat/>
    <w:rsid w:val="00D13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AD4"/>
    <w:rPr>
      <w:u w:val="single"/>
    </w:rPr>
  </w:style>
  <w:style w:type="character" w:customStyle="1" w:styleId="BoldandItalics">
    <w:name w:val="Bold and Italics"/>
    <w:qFormat/>
    <w:rsid w:val="00D13AD4"/>
    <w:rPr>
      <w:b/>
      <w:i/>
      <w:u w:val="none"/>
    </w:rPr>
  </w:style>
  <w:style w:type="paragraph" w:styleId="BalloonText">
    <w:name w:val="Balloon Text"/>
    <w:basedOn w:val="Normal"/>
    <w:link w:val="BalloonTextChar"/>
    <w:rsid w:val="00D13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AD4"/>
    <w:pPr>
      <w:spacing w:before="0" w:after="0"/>
    </w:pPr>
  </w:style>
  <w:style w:type="paragraph" w:customStyle="1" w:styleId="BodyTextBold">
    <w:name w:val="Body Text Bold"/>
    <w:basedOn w:val="BodyText"/>
    <w:qFormat/>
    <w:rsid w:val="00D13AD4"/>
    <w:rPr>
      <w:b/>
    </w:rPr>
  </w:style>
  <w:style w:type="character" w:styleId="Hyperlink">
    <w:name w:val="Hyperlink"/>
    <w:basedOn w:val="DefaultParagraphFont"/>
    <w:uiPriority w:val="99"/>
    <w:unhideWhenUsed/>
    <w:rsid w:val="00662F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4770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RIIENV202D Suppress airborne contaminants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2020-07-08T07:00:00Z</dcterms:created>
  <dcterms:modified xsi:type="dcterms:W3CDTF">2020-07-08T07:00:00Z</dcterms:modified>
</cp:coreProperties>
</file>