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459" w:rsidP="00404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RIIEGS306D Prepare drill site</w:t>
      </w:r>
      <w:r>
        <w:fldChar w:fldCharType="end"/>
      </w:r>
    </w:p>
    <w:p w:rsidR="00404459" w:rsidP="00404459">
      <w:pPr>
        <w:pStyle w:val="Version"/>
        <w:sectPr w:rsidSect="00EB6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633C" w:rsidP="00EB633C">
      <w:pPr>
        <w:pStyle w:val="SuperHeading"/>
      </w:pPr>
      <w:r w:rsidRPr="00EB633C">
        <w:t>RIIEGS306D Prepare drill site</w:t>
      </w:r>
    </w:p>
    <w:p w:rsidR="00000000" w:rsidRPr="00EB633C" w:rsidP="00EB633C">
      <w:pPr>
        <w:pStyle w:val="Heading1"/>
      </w:pPr>
      <w:bookmarkStart w:id="1" w:name="O_686744"/>
      <w:bookmarkEnd w:id="1"/>
      <w:r w:rsidRPr="00EB633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044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Comment</w:t>
            </w:r>
          </w:p>
        </w:tc>
      </w:tr>
      <w:tr w:rsidTr="004044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This unit replaces RIIEGS306A Prepare drill site</w:t>
            </w:r>
          </w:p>
        </w:tc>
      </w:tr>
      <w:tr w:rsidTr="004044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3C" w:rsidP="00EB633C">
            <w:pPr>
              <w:pStyle w:val="BodyText"/>
            </w:pPr>
            <w:r w:rsidRPr="00EB633C">
              <w:t>Required frequency and volume of evidence amended in Performance evidence.</w:t>
            </w:r>
          </w:p>
          <w:p w:rsidR="00000000" w:rsidRPr="00EB633C" w:rsidP="00EB633C">
            <w:pPr>
              <w:pStyle w:val="BodyText"/>
            </w:pPr>
            <w:r w:rsidRPr="00EB633C">
              <w:t>Substantial amendments made in Assessment Conditions field, including: references to Indu</w:t>
            </w:r>
            <w:r w:rsidRPr="00EB633C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EB633C" w:rsidP="00EB633C">
      <w:pPr>
        <w:pStyle w:val="BodyText"/>
      </w:pPr>
    </w:p>
    <w:p w:rsidR="00000000" w:rsidRPr="00EB633C" w:rsidP="00EB633C">
      <w:pPr>
        <w:pStyle w:val="AllowPageBreak"/>
      </w:pPr>
    </w:p>
    <w:p w:rsidR="00000000" w:rsidRPr="00EB633C" w:rsidP="00EB633C">
      <w:pPr>
        <w:pStyle w:val="Heading1"/>
      </w:pPr>
      <w:bookmarkStart w:id="2" w:name="O_686743"/>
      <w:bookmarkEnd w:id="2"/>
      <w:r w:rsidRPr="00EB633C">
        <w:t>Application</w:t>
      </w:r>
    </w:p>
    <w:p w:rsidR="00000000" w:rsidRPr="00EB633C" w:rsidP="00404459">
      <w:pPr>
        <w:pStyle w:val="BodyText"/>
      </w:pPr>
      <w:r w:rsidRPr="00EB633C">
        <w:t>This unit describes a participant’</w:t>
      </w:r>
      <w:r w:rsidRPr="00EB633C">
        <w:t>s skills and knowledge required to prepare a drill site in Metalliferous mining.</w:t>
      </w:r>
    </w:p>
    <w:p w:rsidR="00000000" w:rsidRPr="00EB633C" w:rsidP="00404459">
      <w:pPr>
        <w:pStyle w:val="BodyText"/>
      </w:pPr>
      <w:r w:rsidRPr="00EB633C">
        <w:t>This unit is appropriate for those working in operational roles.</w:t>
      </w:r>
    </w:p>
    <w:p w:rsidR="00000000" w:rsidRPr="00EB633C" w:rsidP="00404459">
      <w:pPr>
        <w:pStyle w:val="BodyText"/>
      </w:pPr>
      <w:r w:rsidRPr="00EB633C">
        <w:t>Licensing, legislative, regulatory and certification requirements that apply to this unit can vary between sta</w:t>
      </w:r>
      <w:r w:rsidRPr="00EB633C">
        <w:t>tes, territories, and Industry sectors. Relevant information must be sourced prior to application of the unit.</w:t>
      </w:r>
    </w:p>
    <w:p w:rsidR="00000000" w:rsidRPr="00EB633C" w:rsidP="00EB633C">
      <w:pPr>
        <w:pStyle w:val="Heading1"/>
      </w:pPr>
      <w:bookmarkStart w:id="3" w:name="O_686742"/>
      <w:bookmarkEnd w:id="3"/>
      <w:r w:rsidRPr="00EB633C">
        <w:t>Unit Sector</w:t>
      </w:r>
    </w:p>
    <w:p w:rsidR="00000000" w:rsidRPr="00EB633C" w:rsidP="00404459">
      <w:pPr>
        <w:pStyle w:val="BodyText"/>
      </w:pPr>
      <w:r w:rsidRPr="00EB633C">
        <w:t>Metalliferous mining</w:t>
      </w:r>
    </w:p>
    <w:p w:rsidR="00000000" w:rsidRPr="00EB633C" w:rsidP="00EB633C">
      <w:pPr>
        <w:pStyle w:val="Heading1"/>
      </w:pPr>
      <w:bookmarkStart w:id="4" w:name="O_686741"/>
      <w:bookmarkEnd w:id="4"/>
      <w:r w:rsidRPr="00EB633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B63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1.</w:t>
            </w:r>
            <w:r w:rsidRPr="00EB633C">
              <w:tab/>
              <w:t>Plan and prepare for drill site preparati</w:t>
            </w:r>
            <w:r w:rsidRPr="00EB633C">
              <w:t>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3C" w:rsidP="00EB633C">
            <w:pPr>
              <w:pStyle w:val="BodyText"/>
            </w:pPr>
            <w:r w:rsidRPr="00EB633C">
              <w:t>1.1.</w:t>
            </w:r>
            <w:r w:rsidRPr="00EB633C">
              <w:tab/>
              <w:t>Access, interpret and apply drill site preparation documentation and ensure the work activity is compliant</w:t>
            </w:r>
          </w:p>
          <w:p w:rsidR="00000000" w:rsidRPr="00EB633C" w:rsidP="00EB633C">
            <w:pPr>
              <w:pStyle w:val="BodyText"/>
            </w:pPr>
            <w:r w:rsidRPr="00EB633C">
              <w:t>1.2.</w:t>
            </w:r>
            <w:r w:rsidRPr="00EB633C">
              <w:tab/>
              <w:t xml:space="preserve">Obtain, read, interpret, clarify and confirm the drill site layout plan to confirm the location, size and configuration of the proposed </w:t>
            </w:r>
            <w:r w:rsidRPr="00EB633C">
              <w:t>drill site</w:t>
            </w:r>
          </w:p>
          <w:p w:rsidR="00000000" w:rsidRPr="00EB633C" w:rsidP="00EB633C">
            <w:pPr>
              <w:pStyle w:val="BodyText"/>
            </w:pPr>
            <w:r w:rsidRPr="00EB633C">
              <w:t>1.3.</w:t>
            </w:r>
            <w:r w:rsidRPr="00EB633C">
              <w:tab/>
              <w:t>Identify and address potential  risks, hazards and environmental issues, and implement control measures</w:t>
            </w:r>
          </w:p>
          <w:p w:rsidR="00000000" w:rsidRPr="00EB633C" w:rsidP="00EB633C">
            <w:pPr>
              <w:pStyle w:val="BodyText"/>
            </w:pPr>
            <w:r w:rsidRPr="00EB633C">
              <w:t>1.4.</w:t>
            </w:r>
            <w:r w:rsidRPr="00EB633C">
              <w:tab/>
              <w:t>Select and wear  personal protective equipment appropriate for the work activities</w:t>
            </w:r>
          </w:p>
          <w:p w:rsidR="00000000" w:rsidRPr="00EB633C" w:rsidP="00EB633C">
            <w:pPr>
              <w:pStyle w:val="BodyText"/>
            </w:pPr>
            <w:r w:rsidRPr="00EB633C">
              <w:t>1.5.</w:t>
            </w:r>
            <w:r w:rsidRPr="00EB633C">
              <w:tab/>
              <w:t>Establish communication system and protocol</w:t>
            </w:r>
            <w:r w:rsidRPr="00EB633C">
              <w:t>s</w:t>
            </w:r>
          </w:p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1.6.</w:t>
            </w:r>
            <w:r w:rsidRPr="00EB633C">
              <w:tab/>
              <w:t>Carry out plant and equipment pre-start checks</w:t>
            </w:r>
          </w:p>
        </w:tc>
      </w:tr>
      <w:tr w:rsidTr="00EB63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2.</w:t>
            </w:r>
            <w:r w:rsidRPr="00EB633C">
              <w:tab/>
              <w:t>Create access to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3C" w:rsidP="00EB633C">
            <w:pPr>
              <w:pStyle w:val="BodyText"/>
            </w:pPr>
            <w:r w:rsidRPr="00EB633C">
              <w:t>2.1.</w:t>
            </w:r>
            <w:r w:rsidRPr="00EB633C">
              <w:tab/>
              <w:t>Identify existing tracks and use for entry to drill site</w:t>
            </w:r>
          </w:p>
          <w:p w:rsidR="00000000" w:rsidRPr="00EB633C" w:rsidP="00EB633C">
            <w:pPr>
              <w:pStyle w:val="BodyText"/>
            </w:pPr>
            <w:r w:rsidRPr="00EB633C">
              <w:t>2.2.</w:t>
            </w:r>
            <w:r w:rsidRPr="00EB633C">
              <w:tab/>
              <w:t>If necessary, create new tracks which minimises water flows and eros</w:t>
            </w:r>
            <w:r w:rsidRPr="00EB633C">
              <w:t>ion by following the natural contours of the land</w:t>
            </w:r>
          </w:p>
          <w:p w:rsidR="00000000" w:rsidRPr="00EB633C" w:rsidP="00EB633C">
            <w:pPr>
              <w:pStyle w:val="BodyText"/>
            </w:pPr>
            <w:r w:rsidRPr="00EB633C">
              <w:t>2.3.</w:t>
            </w:r>
            <w:r w:rsidRPr="00EB633C">
              <w:tab/>
              <w:t>Create new tracks to drill site which minimise the clearing of vegetation by avoiding large trees and preserving root stocks</w:t>
            </w:r>
          </w:p>
          <w:p w:rsidR="00000000" w:rsidRPr="00EB633C" w:rsidP="00EB633C">
            <w:pPr>
              <w:pStyle w:val="BodyText"/>
            </w:pPr>
            <w:r w:rsidRPr="00EB633C">
              <w:t>2.4.</w:t>
            </w:r>
            <w:r w:rsidRPr="00EB633C">
              <w:tab/>
              <w:t>Raise blades to a minimum of 150mm when using machinery to prepare acce</w:t>
            </w:r>
            <w:r w:rsidRPr="00EB633C">
              <w:t xml:space="preserve">ss blade </w:t>
            </w:r>
          </w:p>
          <w:p w:rsidR="00000000" w:rsidRPr="00EB633C" w:rsidP="00EB633C">
            <w:pPr>
              <w:pStyle w:val="BodyText"/>
            </w:pPr>
            <w:r w:rsidRPr="00EB633C">
              <w:t>2.5.</w:t>
            </w:r>
            <w:r w:rsidRPr="00EB633C">
              <w:tab/>
              <w:t>Cut or trim larger trees if unavoidable</w:t>
            </w:r>
          </w:p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2.6.</w:t>
            </w:r>
            <w:r w:rsidRPr="00EB633C">
              <w:tab/>
              <w:t>Stockpile or windrow cleared vegetation for use during site rehabilitation</w:t>
            </w:r>
          </w:p>
        </w:tc>
      </w:tr>
      <w:tr w:rsidTr="00EB63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3.</w:t>
            </w:r>
            <w:r w:rsidRPr="00EB633C">
              <w:tab/>
              <w:t>Prepare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3C" w:rsidP="00EB633C">
            <w:pPr>
              <w:pStyle w:val="BodyText"/>
            </w:pPr>
            <w:r w:rsidRPr="00EB633C">
              <w:t>3.1.</w:t>
            </w:r>
            <w:r w:rsidRPr="00EB633C">
              <w:tab/>
              <w:t>Clear drill site removing minimum vegetation</w:t>
            </w:r>
          </w:p>
          <w:p w:rsidR="00000000" w:rsidRPr="00EB633C" w:rsidP="00EB633C">
            <w:pPr>
              <w:pStyle w:val="BodyText"/>
            </w:pPr>
            <w:r w:rsidRPr="00EB633C">
              <w:t>3.2.</w:t>
            </w:r>
            <w:r w:rsidRPr="00EB633C">
              <w:tab/>
              <w:t xml:space="preserve">Seek permission from appropriate person to </w:t>
            </w:r>
            <w:r w:rsidRPr="00EB633C">
              <w:t>move hole location if vegetation significantly impedes access to the proposed drill site</w:t>
            </w:r>
          </w:p>
          <w:p w:rsidR="00000000" w:rsidRPr="00EB633C" w:rsidP="00EB633C">
            <w:pPr>
              <w:pStyle w:val="BodyText"/>
            </w:pPr>
            <w:r w:rsidRPr="00EB633C">
              <w:t>3.3.</w:t>
            </w:r>
            <w:r w:rsidRPr="00EB633C">
              <w:tab/>
              <w:t>Manually clear ground cover to prevent fire hazards to drill rig</w:t>
            </w:r>
          </w:p>
          <w:p w:rsidR="00000000" w:rsidRPr="00EB633C" w:rsidP="00EB633C">
            <w:pPr>
              <w:pStyle w:val="BodyText"/>
            </w:pPr>
            <w:r w:rsidRPr="00EB633C">
              <w:t>3.4.</w:t>
            </w:r>
            <w:r w:rsidRPr="00EB633C">
              <w:tab/>
              <w:t>Leave mature trees undisturbed</w:t>
            </w:r>
          </w:p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3.5.</w:t>
            </w:r>
            <w:r w:rsidRPr="00EB633C">
              <w:tab/>
              <w:t>Build sumps and bunds on the downside of the hole collar</w:t>
            </w:r>
            <w:r w:rsidRPr="00EB633C">
              <w:t xml:space="preserve"> location</w:t>
            </w:r>
          </w:p>
        </w:tc>
      </w:tr>
      <w:tr w:rsidTr="00EB63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4.</w:t>
            </w:r>
            <w:r w:rsidRPr="00EB633C">
              <w:tab/>
              <w:t>Minimise impact of contaminated groundwater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3C" w:rsidP="00EB633C">
            <w:pPr>
              <w:pStyle w:val="BodyText"/>
            </w:pPr>
            <w:r w:rsidRPr="00EB633C">
              <w:t>4.1.</w:t>
            </w:r>
            <w:r w:rsidRPr="00EB633C">
              <w:tab/>
              <w:t>Identify the possible presence of groundwater which may be a threat to vegetation during drilling operations</w:t>
            </w:r>
          </w:p>
          <w:p w:rsidR="00000000" w:rsidRPr="00EB633C" w:rsidP="00EB633C">
            <w:pPr>
              <w:pStyle w:val="BodyText"/>
            </w:pPr>
            <w:r w:rsidRPr="00EB633C">
              <w:t>4.2.</w:t>
            </w:r>
            <w:r w:rsidRPr="00EB633C">
              <w:tab/>
              <w:t>If groundwater is discovered, construct appropriate number of sumps to recommen</w:t>
            </w:r>
            <w:r w:rsidRPr="00EB633C">
              <w:t>ded configuration and distances from the drill rig location</w:t>
            </w:r>
          </w:p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4.3.</w:t>
            </w:r>
            <w:r w:rsidRPr="00EB633C">
              <w:tab/>
              <w:t>Store topsoil removed from sump construction separately to facilitate more effective rehabilitation</w:t>
            </w:r>
          </w:p>
        </w:tc>
      </w:tr>
      <w:tr w:rsidTr="00EB63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5.</w:t>
            </w:r>
            <w:r w:rsidRPr="00EB633C">
              <w:tab/>
              <w:t>Manage rare flora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3C" w:rsidP="00EB633C">
            <w:pPr>
              <w:pStyle w:val="BodyText"/>
            </w:pPr>
            <w:r w:rsidRPr="00EB633C">
              <w:t>5.1.</w:t>
            </w:r>
            <w:r w:rsidRPr="00EB633C">
              <w:tab/>
              <w:t>Determine the presence and type of rare flora before clearing ve</w:t>
            </w:r>
            <w:r w:rsidRPr="00EB633C">
              <w:t>getation,</w:t>
            </w:r>
          </w:p>
          <w:p w:rsidR="00000000" w:rsidRPr="00EB633C" w:rsidP="00EB633C">
            <w:pPr>
              <w:pStyle w:val="BodyText"/>
            </w:pPr>
            <w:r w:rsidRPr="00EB633C">
              <w:t>5.2.</w:t>
            </w:r>
            <w:r w:rsidRPr="00EB633C">
              <w:tab/>
              <w:t>Seek advice on the action to be taken where rare flora are identified</w:t>
            </w:r>
          </w:p>
        </w:tc>
      </w:tr>
    </w:tbl>
    <w:p w:rsidR="00000000" w:rsidRPr="00EB633C" w:rsidP="00EB633C">
      <w:pPr>
        <w:pStyle w:val="BodyText"/>
      </w:pPr>
    </w:p>
    <w:p w:rsidR="00000000" w:rsidRPr="00EB633C" w:rsidP="00EB633C">
      <w:pPr>
        <w:pStyle w:val="AllowPageBreak"/>
      </w:pPr>
    </w:p>
    <w:p w:rsidR="00000000" w:rsidRPr="00EB633C" w:rsidP="00EB633C">
      <w:pPr>
        <w:pStyle w:val="Heading1"/>
      </w:pPr>
      <w:bookmarkStart w:id="5" w:name="O_686740"/>
      <w:bookmarkEnd w:id="5"/>
      <w:r w:rsidRPr="00EB633C">
        <w:t>Foundation Skills</w:t>
      </w:r>
    </w:p>
    <w:p w:rsidR="00000000" w:rsidRPr="00EB633C" w:rsidP="00404459">
      <w:pPr>
        <w:pStyle w:val="BodyText"/>
      </w:pPr>
      <w:r w:rsidRPr="00EB633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B633C" w:rsidP="00EB633C">
      <w:pPr>
        <w:pStyle w:val="Heading1"/>
      </w:pPr>
      <w:bookmarkStart w:id="6" w:name="O_686739"/>
      <w:bookmarkEnd w:id="6"/>
      <w:r w:rsidRPr="00EB633C">
        <w:t>Unit Mapping Information</w:t>
      </w:r>
    </w:p>
    <w:p w:rsidR="00000000" w:rsidRPr="00EB633C" w:rsidP="00404459">
      <w:pPr>
        <w:pStyle w:val="BodyText"/>
      </w:pPr>
      <w:r w:rsidRPr="00EB633C">
        <w:t>RII</w:t>
      </w:r>
      <w:r w:rsidRPr="00EB633C">
        <w:t>EGS306A Prepare drill site</w:t>
      </w:r>
    </w:p>
    <w:p w:rsidR="00000000" w:rsidRPr="00EB633C" w:rsidP="00EB633C">
      <w:pPr>
        <w:pStyle w:val="Heading1"/>
      </w:pPr>
      <w:bookmarkStart w:id="7" w:name="O_686745"/>
      <w:bookmarkEnd w:id="7"/>
      <w:r w:rsidRPr="00EB633C">
        <w:t>Links</w:t>
      </w:r>
    </w:p>
    <w:p w:rsidR="00000000" w:rsidRPr="00EB633C" w:rsidP="00404459">
      <w:pPr>
        <w:pStyle w:val="BodyText"/>
      </w:pPr>
      <w:r w:rsidRPr="00EB63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64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633C" w:rsidP="00404459">
      <w:pPr>
        <w:pStyle w:val="BodyText"/>
        <w:sectPr w:rsidSect="00EB63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633C" w:rsidP="00EB633C">
      <w:pPr>
        <w:pStyle w:val="SuperHeading"/>
      </w:pPr>
      <w:r w:rsidRPr="00EB633C">
        <w:t>Assessment Re</w:t>
      </w:r>
      <w:r w:rsidRPr="00EB633C">
        <w:t>quirements for RIIEGS306D Prepare drill site</w:t>
      </w:r>
    </w:p>
    <w:p w:rsidR="00000000" w:rsidRPr="00EB633C" w:rsidP="00EB633C">
      <w:pPr>
        <w:pStyle w:val="Heading1"/>
      </w:pPr>
      <w:bookmarkStart w:id="8" w:name="O_686737"/>
      <w:bookmarkEnd w:id="8"/>
      <w:r w:rsidRPr="00EB633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044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Comment</w:t>
            </w:r>
          </w:p>
        </w:tc>
      </w:tr>
      <w:tr w:rsidTr="004044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This unit replaces RIIEGS306A Prepare drill site</w:t>
            </w:r>
          </w:p>
        </w:tc>
      </w:tr>
      <w:tr w:rsidTr="004044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3C" w:rsidP="00EB633C">
            <w:pPr>
              <w:pStyle w:val="BodyText"/>
            </w:pPr>
            <w:r w:rsidRPr="00EB633C">
              <w:t>Required frequency and volume of evidence amended in Performance evidence.</w:t>
            </w:r>
          </w:p>
          <w:p w:rsidR="00000000" w:rsidRPr="00EB633C" w:rsidP="00EB633C">
            <w:pPr>
              <w:pStyle w:val="BodyText"/>
            </w:pPr>
            <w:r w:rsidRPr="00EB633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B633C" w:rsidP="00EB633C">
      <w:pPr>
        <w:pStyle w:val="BodyText"/>
      </w:pPr>
    </w:p>
    <w:p w:rsidR="00000000" w:rsidRPr="00EB633C" w:rsidP="00EB633C">
      <w:pPr>
        <w:pStyle w:val="AllowPageBreak"/>
      </w:pPr>
    </w:p>
    <w:p w:rsidR="00000000" w:rsidRPr="00EB633C" w:rsidP="00EB633C">
      <w:pPr>
        <w:pStyle w:val="Heading1"/>
      </w:pPr>
      <w:bookmarkStart w:id="9" w:name="O_686736"/>
      <w:bookmarkEnd w:id="9"/>
      <w:r w:rsidRPr="00EB633C">
        <w:t>Performance Evidence</w:t>
      </w:r>
    </w:p>
    <w:p w:rsidR="00000000" w:rsidRPr="00EB633C" w:rsidP="00404459">
      <w:pPr>
        <w:pStyle w:val="BodyText"/>
      </w:pPr>
      <w:r w:rsidRPr="00EB633C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EB633C">
        <w:t>f this unit and include evidence that the candidate:</w:t>
      </w:r>
    </w:p>
    <w:p w:rsidR="00000000" w:rsidRPr="00EB633C" w:rsidP="00EB633C">
      <w:pPr>
        <w:pStyle w:val="ListBullet"/>
      </w:pPr>
      <w:r w:rsidRPr="00EB633C">
        <w:t>locates and applies relevant documentation, policies and procedures</w:t>
      </w:r>
    </w:p>
    <w:p w:rsidR="00000000" w:rsidRPr="00EB633C" w:rsidP="00EB633C">
      <w:pPr>
        <w:pStyle w:val="ListBullet"/>
      </w:pPr>
      <w:r w:rsidRPr="00EB633C">
        <w:t>implements the requirements, procedures and techniques for the safe, effective and efficient completion of drill site preparation incl</w:t>
      </w:r>
      <w:r w:rsidRPr="00EB633C">
        <w:t xml:space="preserve">uding: </w:t>
      </w:r>
    </w:p>
    <w:p w:rsidR="00000000" w:rsidRPr="00EB633C" w:rsidP="00EB633C">
      <w:pPr>
        <w:pStyle w:val="ListBullet2"/>
      </w:pPr>
      <w:r w:rsidRPr="00EB633C">
        <w:t>identifying, recording and reporting rare flora</w:t>
      </w:r>
    </w:p>
    <w:p w:rsidR="00000000" w:rsidRPr="00EB633C" w:rsidP="00EB633C">
      <w:pPr>
        <w:pStyle w:val="ListBullet2"/>
      </w:pPr>
      <w:r w:rsidRPr="00EB633C">
        <w:t>identifying and containing contaminated groundwater</w:t>
      </w:r>
    </w:p>
    <w:p w:rsidR="00000000" w:rsidRPr="00EB633C" w:rsidP="00EB633C">
      <w:pPr>
        <w:pStyle w:val="ListBullet2"/>
      </w:pPr>
      <w:r w:rsidRPr="00EB633C">
        <w:t>cutting or trimming trees and vegetation</w:t>
      </w:r>
    </w:p>
    <w:p w:rsidR="00000000" w:rsidRPr="00EB633C" w:rsidP="00EB633C">
      <w:pPr>
        <w:pStyle w:val="ListBullet2"/>
      </w:pPr>
      <w:r w:rsidRPr="00EB633C">
        <w:t>performing manual and mechanical handling</w:t>
      </w:r>
    </w:p>
    <w:p w:rsidR="00000000" w:rsidRPr="00EB633C" w:rsidP="00EB633C">
      <w:pPr>
        <w:pStyle w:val="ListBullet2"/>
      </w:pPr>
      <w:r w:rsidRPr="00EB633C">
        <w:t>constructing sumps and bunds</w:t>
      </w:r>
    </w:p>
    <w:p w:rsidR="00000000" w:rsidRPr="00EB633C" w:rsidP="00EB633C">
      <w:pPr>
        <w:pStyle w:val="ListBullet"/>
      </w:pPr>
      <w:r w:rsidRPr="00EB633C">
        <w:t>demonstrates completion of prepari</w:t>
      </w:r>
      <w:r w:rsidRPr="00EB633C">
        <w:t>ng drill site that safely, effectively and efficiently meets all of the required outcomes on more than one (1) occasion including:</w:t>
      </w:r>
    </w:p>
    <w:p w:rsidR="00000000" w:rsidRPr="00EB633C" w:rsidP="00EB633C">
      <w:pPr>
        <w:pStyle w:val="ListBullet2"/>
      </w:pPr>
      <w:r w:rsidRPr="00EB633C">
        <w:t xml:space="preserve">accessing plans to identify drill site requirements </w:t>
      </w:r>
    </w:p>
    <w:p w:rsidR="00000000" w:rsidRPr="00EB633C" w:rsidP="00EB633C">
      <w:pPr>
        <w:pStyle w:val="ListBullet2"/>
      </w:pPr>
      <w:r w:rsidRPr="00EB633C">
        <w:t>performing plant and equipment pre-start checks</w:t>
      </w:r>
    </w:p>
    <w:p w:rsidR="00000000" w:rsidRPr="00EB633C" w:rsidP="00EB633C">
      <w:pPr>
        <w:pStyle w:val="ListBullet2"/>
      </w:pPr>
      <w:r w:rsidRPr="00EB633C">
        <w:t>operating equipment within required limitations</w:t>
      </w:r>
    </w:p>
    <w:p w:rsidR="00000000" w:rsidRPr="00EB633C" w:rsidP="00EB633C">
      <w:pPr>
        <w:pStyle w:val="ListBullet2"/>
      </w:pPr>
      <w:r w:rsidRPr="00EB633C">
        <w:t>creating access to the drill site</w:t>
      </w:r>
    </w:p>
    <w:p w:rsidR="00000000" w:rsidRPr="00EB633C" w:rsidP="00EB633C">
      <w:pPr>
        <w:pStyle w:val="ListBullet2"/>
      </w:pPr>
      <w:r w:rsidRPr="00EB633C">
        <w:t>clearing and preparing the drill site with minimal disruption to environment</w:t>
      </w:r>
    </w:p>
    <w:p w:rsidR="00000000" w:rsidRPr="00EB633C" w:rsidP="00EB633C">
      <w:pPr>
        <w:pStyle w:val="AllowPageBreak"/>
      </w:pPr>
    </w:p>
    <w:p w:rsidR="00000000" w:rsidRPr="00EB633C" w:rsidP="00EB633C">
      <w:pPr>
        <w:pStyle w:val="Heading1"/>
      </w:pPr>
      <w:bookmarkStart w:id="10" w:name="O_686735"/>
      <w:bookmarkEnd w:id="10"/>
      <w:r w:rsidRPr="00EB633C">
        <w:t>Knowledge Evidence</w:t>
      </w:r>
    </w:p>
    <w:p w:rsidR="00000000" w:rsidRPr="00EB633C" w:rsidP="00404459">
      <w:pPr>
        <w:pStyle w:val="BodyText"/>
      </w:pPr>
      <w:r w:rsidRPr="00EB633C">
        <w:t>The candidate must demonstrate knowledge of preparing a drill</w:t>
      </w:r>
      <w:r w:rsidRPr="00EB633C">
        <w:t xml:space="preserve"> site through:</w:t>
      </w:r>
    </w:p>
    <w:p w:rsidR="00000000" w:rsidRPr="00EB633C" w:rsidP="00EB633C">
      <w:pPr>
        <w:pStyle w:val="ListBullet"/>
      </w:pPr>
      <w:r w:rsidRPr="00EB633C">
        <w:t>identifying particular state or territory regulations relating to vegetation clearing</w:t>
      </w:r>
    </w:p>
    <w:p w:rsidR="00000000" w:rsidRPr="00EB633C" w:rsidP="00EB633C">
      <w:pPr>
        <w:pStyle w:val="ListBullet"/>
      </w:pPr>
      <w:r w:rsidRPr="00EB633C">
        <w:t>identifying and controlling hazards associated with drill site preparation work</w:t>
      </w:r>
    </w:p>
    <w:p w:rsidR="00000000" w:rsidRPr="00EB633C" w:rsidP="00EB633C">
      <w:pPr>
        <w:pStyle w:val="ListBullet"/>
      </w:pPr>
      <w:r w:rsidRPr="00EB633C">
        <w:t>interpreting drill site layout plans</w:t>
      </w:r>
    </w:p>
    <w:p w:rsidR="00000000" w:rsidRPr="00EB633C" w:rsidP="00EB633C">
      <w:pPr>
        <w:pStyle w:val="ListBullet"/>
      </w:pPr>
      <w:r w:rsidRPr="00EB633C">
        <w:t>identifying and applying environmenta</w:t>
      </w:r>
      <w:r w:rsidRPr="00EB633C">
        <w:t xml:space="preserve">l principles and practices, and work procedures </w:t>
      </w:r>
    </w:p>
    <w:p w:rsidR="00000000" w:rsidRPr="00EB633C" w:rsidP="00EB633C">
      <w:pPr>
        <w:pStyle w:val="ListBullet"/>
      </w:pPr>
      <w:r w:rsidRPr="00EB633C">
        <w:t>identifying and applying fire control methods</w:t>
      </w:r>
    </w:p>
    <w:p w:rsidR="00000000" w:rsidRPr="00EB633C" w:rsidP="00EB633C">
      <w:pPr>
        <w:pStyle w:val="ListBullet"/>
      </w:pPr>
      <w:r w:rsidRPr="00EB633C">
        <w:t>identifying re-vegetation methods</w:t>
      </w:r>
    </w:p>
    <w:p w:rsidR="00000000" w:rsidRPr="00EB633C" w:rsidP="00EB633C">
      <w:pPr>
        <w:pStyle w:val="ListBullet"/>
      </w:pPr>
      <w:r w:rsidRPr="00EB633C">
        <w:t xml:space="preserve">identifying natural land contours </w:t>
      </w:r>
    </w:p>
    <w:p w:rsidR="00000000" w:rsidRPr="00EB633C" w:rsidP="00EB633C">
      <w:pPr>
        <w:pStyle w:val="ListBullet"/>
      </w:pPr>
      <w:r w:rsidRPr="00EB633C">
        <w:t>identifying groundwater systems</w:t>
      </w:r>
    </w:p>
    <w:p w:rsidR="00000000" w:rsidRPr="00EB633C" w:rsidP="00EB633C">
      <w:pPr>
        <w:pStyle w:val="ListBullet"/>
      </w:pPr>
      <w:r w:rsidRPr="00EB633C">
        <w:t>identifying types and operational characteristics of plant/equipment used in creating access tracks and for drill site preparation operations</w:t>
      </w:r>
    </w:p>
    <w:p w:rsidR="00000000" w:rsidRPr="00EB633C" w:rsidP="00EB633C">
      <w:pPr>
        <w:pStyle w:val="AllowPageBreak"/>
      </w:pPr>
    </w:p>
    <w:p w:rsidR="00000000" w:rsidRPr="00EB633C" w:rsidP="00EB633C">
      <w:pPr>
        <w:pStyle w:val="Heading1"/>
      </w:pPr>
      <w:bookmarkStart w:id="11" w:name="O_686734"/>
      <w:bookmarkEnd w:id="11"/>
      <w:r w:rsidRPr="00EB633C">
        <w:t>Assessment Conditions</w:t>
      </w:r>
    </w:p>
    <w:p w:rsidR="00000000" w:rsidRPr="00EB633C" w:rsidP="00EB633C">
      <w:pPr>
        <w:pStyle w:val="ListBullet"/>
      </w:pPr>
      <w:r w:rsidRPr="00EB633C">
        <w:t xml:space="preserve">An assessor of this unit must satisfy the requirements of the NVR/AQTF or </w:t>
      </w:r>
      <w:r w:rsidRPr="00EB633C">
        <w:t xml:space="preserve">their successors; and Industry regulations for certification and licensing; and, </w:t>
      </w:r>
    </w:p>
    <w:p w:rsidR="00000000" w:rsidRPr="00EB633C" w:rsidP="00EB633C">
      <w:pPr>
        <w:pStyle w:val="ListBullet"/>
      </w:pPr>
      <w:r w:rsidRPr="00EB633C">
        <w:t>this unit must be assessed in the context of this sector’s work environment; and,</w:t>
      </w:r>
    </w:p>
    <w:p w:rsidR="00000000" w:rsidRPr="00EB633C" w:rsidP="00EB633C">
      <w:pPr>
        <w:pStyle w:val="ListBullet"/>
      </w:pPr>
      <w:r w:rsidRPr="00EB633C">
        <w:t>this unit must be assessed in compliance with relevant legislation/regulation and using poli</w:t>
      </w:r>
      <w:r w:rsidRPr="00EB633C">
        <w:t>cies, procedures, processes and operational manuals directly related to the industry sector for which it is being assessed; and,</w:t>
      </w:r>
    </w:p>
    <w:p w:rsidR="00000000" w:rsidRPr="00EB633C" w:rsidP="00EB633C">
      <w:pPr>
        <w:pStyle w:val="ListBullet"/>
      </w:pPr>
      <w:r w:rsidRPr="00EB633C">
        <w:t>assessment may be conducted in conjunction with the assessment of other Units of Competency; and,</w:t>
      </w:r>
    </w:p>
    <w:p w:rsidR="00000000" w:rsidRPr="00EB633C" w:rsidP="00EB633C">
      <w:pPr>
        <w:pStyle w:val="ListBullet"/>
      </w:pPr>
      <w:r w:rsidRPr="00EB633C">
        <w:t>assessment must confirm consi</w:t>
      </w:r>
      <w:r w:rsidRPr="00EB633C">
        <w:t>stent performance can be applied in a range of relevant workplace circumstances; and,</w:t>
      </w:r>
    </w:p>
    <w:p w:rsidR="00000000" w:rsidRPr="00EB633C" w:rsidP="00EB633C">
      <w:pPr>
        <w:pStyle w:val="ListBullet"/>
      </w:pPr>
      <w:r w:rsidRPr="00EB633C">
        <w:t>assessors must demonstrate the performance evidence, and knowledge evidence as outlined in this Unit of Competency, and through the minimum years of current* work experie</w:t>
      </w:r>
      <w:r w:rsidRPr="00EB633C">
        <w:t>nce specified below in an Industry sector relevant to the outcomes of the unit; or,</w:t>
      </w:r>
    </w:p>
    <w:p w:rsidR="00000000" w:rsidRPr="00EB633C" w:rsidP="00EB633C">
      <w:pPr>
        <w:pStyle w:val="ListBullet"/>
      </w:pPr>
      <w:r w:rsidRPr="00EB633C">
        <w:t>where the assessor does not meet experience requirements a co-assessment or partnership arrangement must exist between the qualified assessor and an Industry subject matter</w:t>
      </w:r>
      <w:r w:rsidRPr="00EB633C">
        <w:t xml:space="preserve"> expert. The Industry subject matter expert should hold the unit being assessed (or an equivalent unit) and/or demonstrate equivalence of skills and knowledge at the unit level. An Industry technical expert must also demonstrate skills and knowledge from t</w:t>
      </w:r>
      <w:r w:rsidRPr="00EB633C">
        <w:t>he minimum years of current work experience specified below in the Industry sector, including time spent in roles related to the unit being assessed; and,</w:t>
      </w:r>
    </w:p>
    <w:p w:rsidR="00000000" w:rsidRPr="00EB633C" w:rsidP="00EB633C">
      <w:pPr>
        <w:pStyle w:val="ListBullet"/>
      </w:pPr>
      <w:r w:rsidRPr="00EB633C">
        <w:t>assessor and Industry subject matter expert requirements differ depending on the Australian Qualifica</w:t>
      </w:r>
      <w:r w:rsidRPr="00EB633C">
        <w:t>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B63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Required assessor or Industry subject matter expert experience</w:t>
            </w:r>
          </w:p>
        </w:tc>
      </w:tr>
      <w:tr w:rsidTr="00EB63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1 Year</w:t>
            </w:r>
          </w:p>
        </w:tc>
      </w:tr>
      <w:tr w:rsidTr="00EB63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2 Years</w:t>
            </w:r>
          </w:p>
        </w:tc>
      </w:tr>
      <w:tr w:rsidTr="00EB63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3 Years</w:t>
            </w:r>
          </w:p>
        </w:tc>
      </w:tr>
      <w:tr w:rsidTr="00EB63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5 Years</w:t>
            </w:r>
          </w:p>
        </w:tc>
      </w:tr>
      <w:tr w:rsidTr="00EB63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33C">
            <w:pPr>
              <w:pStyle w:val="BodyText"/>
              <w:rPr>
                <w:lang w:val="en-NZ"/>
              </w:rPr>
            </w:pPr>
            <w:r w:rsidRPr="00EB633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633C" w:rsidP="00EB633C">
            <w:pPr>
              <w:pStyle w:val="BodyText"/>
            </w:pPr>
            <w:r w:rsidRPr="00EB633C">
              <w:t>Where th</w:t>
            </w:r>
            <w:r w:rsidRPr="00EB633C">
              <w:t>is Unit is being assessed outside of the Resources and Infrastructure Sectors assessor and/or Industry subject matter expert experience should be in-line with industry standards for the sector in which it is being assessed and where no Industry standard is</w:t>
            </w:r>
            <w:r w:rsidRPr="00EB633C">
              <w:t xml:space="preserve"> specified should comply with any relevant regulation.</w:t>
            </w:r>
          </w:p>
        </w:tc>
      </w:tr>
    </w:tbl>
    <w:p w:rsidR="00000000" w:rsidRPr="00EB633C" w:rsidP="00404459">
      <w:pPr>
        <w:pStyle w:val="BodyText"/>
      </w:pPr>
      <w:r w:rsidRPr="00EB633C">
        <w:t>*Assessors can demonstrate current work experience through employment within Industry in a role relevant to the outcomes of the Unit; or, for external assessors this can be demonstrated through expos</w:t>
      </w:r>
      <w:r w:rsidRPr="00EB633C">
        <w:t>ure to Industry by conducting frequent site assessments across various locations.</w:t>
      </w:r>
    </w:p>
    <w:p w:rsidR="00000000" w:rsidRPr="00EB633C" w:rsidP="00404459">
      <w:pPr>
        <w:pStyle w:val="BodyText"/>
      </w:pPr>
      <w:r w:rsidRPr="00EB633C">
        <w:t>**Where a unit is being delivered outside of a Qualification the first numeric character in the Unit code should be considered to indicate the AQF level</w:t>
      </w:r>
    </w:p>
    <w:p w:rsidR="00000000" w:rsidRPr="00EB633C" w:rsidP="00EB633C">
      <w:pPr>
        <w:pStyle w:val="Heading1"/>
      </w:pPr>
      <w:bookmarkStart w:id="12" w:name="O_686746"/>
      <w:bookmarkEnd w:id="12"/>
      <w:r w:rsidRPr="00EB633C">
        <w:t>Link</w:t>
      </w:r>
      <w:r w:rsidRPr="00EB633C">
        <w:t>s</w:t>
      </w:r>
    </w:p>
    <w:p w:rsidR="00000000" w:rsidRPr="00EB633C" w:rsidP="00404459">
      <w:pPr>
        <w:pStyle w:val="BodyText"/>
      </w:pPr>
      <w:r w:rsidRPr="00EB63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64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633C" w:rsidP="00EB633C"/>
    <w:sectPr w:rsidSect="00EB63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3C" w:rsidRPr="00404459" w:rsidP="00404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59" w:rsidP="00EB6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459" w:rsidP="00EB6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04459" w:rsidP="00EB63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3C" w:rsidP="00EB6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4459">
      <w:t>Approved</w:t>
    </w:r>
    <w:r w:rsidR="004044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44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4459">
      <w:rPr>
        <w:noProof/>
      </w:rPr>
      <w:t>4</w:t>
    </w:r>
    <w:r>
      <w:rPr>
        <w:noProof/>
      </w:rPr>
      <w:fldChar w:fldCharType="end"/>
    </w:r>
  </w:p>
  <w:p w:rsidR="00EB633C" w:rsidP="00EB6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44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4459">
      <w:t>Mining and Automotive Skills Alliance</w:t>
    </w:r>
    <w:r w:rsidR="00404459">
      <w:fldChar w:fldCharType="end"/>
    </w:r>
  </w:p>
  <w:p w:rsidR="00EB633C" w:rsidP="00EB6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33C" w:rsidRPr="00404459" w:rsidP="00404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59" w:rsidRPr="002D2AF8" w:rsidP="00EB6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RIIEGS306D Prepare drill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4459" w:rsidP="00EB63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3C" w:rsidRPr="002D2AF8" w:rsidP="00EB6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4459">
      <w:t>RIIEGS306D Prepare drill site</w:t>
    </w:r>
    <w:r w:rsidR="004044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4459">
      <w:rPr>
        <w:noProof/>
      </w:rPr>
      <w:t>1 March 2025</w:t>
    </w:r>
    <w:r>
      <w:fldChar w:fldCharType="end"/>
    </w:r>
  </w:p>
  <w:p w:rsidR="00EB633C" w:rsidP="00EB6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27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00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CCC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33C"/>
  </w:style>
  <w:style w:type="character" w:customStyle="1" w:styleId="Heading1Char">
    <w:name w:val="Heading 1 Char"/>
    <w:basedOn w:val="DefaultParagraphFont"/>
    <w:link w:val="Heading1"/>
    <w:rsid w:val="00EB6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3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63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6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633C"/>
    <w:rPr>
      <w:b/>
      <w:spacing w:val="0"/>
    </w:rPr>
  </w:style>
  <w:style w:type="paragraph" w:customStyle="1" w:styleId="SuperTitle">
    <w:name w:val="SuperTitle"/>
    <w:basedOn w:val="Title"/>
    <w:rsid w:val="00EB6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6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3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33C"/>
    <w:rPr>
      <w:i/>
    </w:rPr>
  </w:style>
  <w:style w:type="paragraph" w:styleId="Caption">
    <w:name w:val="caption"/>
    <w:basedOn w:val="BodyText"/>
    <w:next w:val="Normal"/>
    <w:qFormat/>
    <w:rsid w:val="00EB6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33C"/>
  </w:style>
  <w:style w:type="paragraph" w:styleId="TableofFigures">
    <w:name w:val="table of figures"/>
    <w:basedOn w:val="Normal"/>
    <w:next w:val="Normal"/>
    <w:semiHidden/>
    <w:rsid w:val="00EB6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3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633C"/>
    <w:rPr>
      <w:rFonts w:ascii="Wingdings" w:hAnsi="Wingdings"/>
    </w:rPr>
  </w:style>
  <w:style w:type="paragraph" w:customStyle="1" w:styleId="TableHeading">
    <w:name w:val="Table Heading"/>
    <w:basedOn w:val="HeadingBase"/>
    <w:rsid w:val="00EB6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33C"/>
    <w:rPr>
      <w:color w:val="0033CC"/>
      <w:u w:val="none"/>
    </w:rPr>
  </w:style>
  <w:style w:type="paragraph" w:customStyle="1" w:styleId="BodyTextRight">
    <w:name w:val="Body Text Right"/>
    <w:basedOn w:val="BodyText"/>
    <w:rsid w:val="00EB6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3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33C"/>
    <w:rPr>
      <w:sz w:val="32"/>
    </w:rPr>
  </w:style>
  <w:style w:type="paragraph" w:customStyle="1" w:styleId="HeadingProcedure">
    <w:name w:val="Heading Procedure"/>
    <w:basedOn w:val="HeadingBase"/>
    <w:next w:val="Normal"/>
    <w:rsid w:val="00EB6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33C"/>
    <w:pPr>
      <w:spacing w:before="60" w:after="60"/>
    </w:pPr>
  </w:style>
  <w:style w:type="paragraph" w:styleId="ListContinue">
    <w:name w:val="List Continue"/>
    <w:basedOn w:val="List"/>
    <w:rsid w:val="00EB633C"/>
    <w:pPr>
      <w:ind w:firstLine="0"/>
    </w:pPr>
  </w:style>
  <w:style w:type="paragraph" w:customStyle="1" w:styleId="ListNote">
    <w:name w:val="List Note"/>
    <w:basedOn w:val="List"/>
    <w:rsid w:val="00EB6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33C"/>
    <w:rPr>
      <w:rFonts w:ascii="Courier New" w:hAnsi="Courier New"/>
    </w:rPr>
  </w:style>
  <w:style w:type="paragraph" w:customStyle="1" w:styleId="NoteBullet">
    <w:name w:val="Note Bullet"/>
    <w:basedOn w:val="Note"/>
    <w:rsid w:val="00EB6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3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6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33C"/>
    <w:rPr>
      <w:b/>
      <w:smallCaps/>
    </w:rPr>
  </w:style>
  <w:style w:type="paragraph" w:customStyle="1" w:styleId="TableListNumber">
    <w:name w:val="Table List Number"/>
    <w:basedOn w:val="ListNumber"/>
    <w:rsid w:val="00EB6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33C"/>
    <w:pPr>
      <w:numPr>
        <w:numId w:val="9"/>
      </w:numPr>
    </w:pPr>
  </w:style>
  <w:style w:type="paragraph" w:customStyle="1" w:styleId="ListAlpha2">
    <w:name w:val="List Alpha 2"/>
    <w:basedOn w:val="List2"/>
    <w:rsid w:val="00EB633C"/>
    <w:pPr>
      <w:numPr>
        <w:numId w:val="8"/>
      </w:numPr>
    </w:pPr>
  </w:style>
  <w:style w:type="paragraph" w:styleId="List2">
    <w:name w:val="List 2"/>
    <w:basedOn w:val="BodyText"/>
    <w:rsid w:val="00EB6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3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3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633C"/>
    <w:pPr>
      <w:numPr>
        <w:numId w:val="4"/>
      </w:numPr>
    </w:pPr>
  </w:style>
  <w:style w:type="paragraph" w:styleId="ListContinue2">
    <w:name w:val="List Continue 2"/>
    <w:basedOn w:val="List2"/>
    <w:rsid w:val="00EB633C"/>
    <w:pPr>
      <w:ind w:firstLine="0"/>
    </w:pPr>
  </w:style>
  <w:style w:type="paragraph" w:styleId="ListContinue3">
    <w:name w:val="List Continue 3"/>
    <w:basedOn w:val="List3"/>
    <w:rsid w:val="00EB633C"/>
    <w:pPr>
      <w:ind w:left="1021" w:firstLine="0"/>
    </w:pPr>
  </w:style>
  <w:style w:type="paragraph" w:styleId="ListContinue4">
    <w:name w:val="List Continue 4"/>
    <w:basedOn w:val="List4"/>
    <w:rsid w:val="00EB633C"/>
    <w:pPr>
      <w:ind w:firstLine="0"/>
    </w:pPr>
  </w:style>
  <w:style w:type="paragraph" w:styleId="ListContinue5">
    <w:name w:val="List Continue 5"/>
    <w:basedOn w:val="List5"/>
    <w:rsid w:val="00EB633C"/>
    <w:pPr>
      <w:ind w:firstLine="0"/>
    </w:pPr>
  </w:style>
  <w:style w:type="paragraph" w:styleId="ListNumber3">
    <w:name w:val="List Number 3"/>
    <w:basedOn w:val="List3"/>
    <w:rsid w:val="00EB633C"/>
    <w:pPr>
      <w:numPr>
        <w:numId w:val="5"/>
      </w:numPr>
    </w:pPr>
  </w:style>
  <w:style w:type="paragraph" w:styleId="ListNumber4">
    <w:name w:val="List Number 4"/>
    <w:basedOn w:val="List4"/>
    <w:rsid w:val="00EB633C"/>
    <w:pPr>
      <w:numPr>
        <w:numId w:val="6"/>
      </w:numPr>
    </w:pPr>
  </w:style>
  <w:style w:type="paragraph" w:styleId="ListNumber5">
    <w:name w:val="List Number 5"/>
    <w:basedOn w:val="List5"/>
    <w:rsid w:val="00EB633C"/>
    <w:pPr>
      <w:numPr>
        <w:numId w:val="7"/>
      </w:numPr>
    </w:pPr>
  </w:style>
  <w:style w:type="paragraph" w:styleId="BlockText">
    <w:name w:val="Block Text"/>
    <w:basedOn w:val="Normal"/>
    <w:rsid w:val="00EB6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33C"/>
    <w:rPr>
      <w:sz w:val="16"/>
      <w:vertAlign w:val="superscript"/>
    </w:rPr>
  </w:style>
  <w:style w:type="character" w:customStyle="1" w:styleId="Symbols">
    <w:name w:val="Symbols"/>
    <w:basedOn w:val="DefaultParagraphFont"/>
    <w:rsid w:val="00EB633C"/>
    <w:rPr>
      <w:rFonts w:ascii="Symbol" w:hAnsi="Symbol"/>
    </w:rPr>
  </w:style>
  <w:style w:type="character" w:customStyle="1" w:styleId="MenuOptions">
    <w:name w:val="Menu Options"/>
    <w:basedOn w:val="DefaultParagraphFont"/>
    <w:rsid w:val="00EB6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33C"/>
    <w:rPr>
      <w:b/>
    </w:rPr>
  </w:style>
  <w:style w:type="character" w:customStyle="1" w:styleId="Underlined">
    <w:name w:val="Underlined"/>
    <w:basedOn w:val="DefaultParagraphFont"/>
    <w:rsid w:val="00EB633C"/>
    <w:rPr>
      <w:u w:val="single"/>
    </w:rPr>
  </w:style>
  <w:style w:type="paragraph" w:customStyle="1" w:styleId="TableBodyTextRight">
    <w:name w:val="Table Body Text Right"/>
    <w:basedOn w:val="TableBodyText"/>
    <w:rsid w:val="00EB6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33C"/>
    <w:rPr>
      <w:sz w:val="18"/>
    </w:rPr>
  </w:style>
  <w:style w:type="paragraph" w:customStyle="1" w:styleId="BodySmallRight">
    <w:name w:val="Body Small Right"/>
    <w:basedOn w:val="BodyTextRight"/>
    <w:rsid w:val="00EB633C"/>
    <w:rPr>
      <w:sz w:val="18"/>
      <w:szCs w:val="18"/>
    </w:rPr>
  </w:style>
  <w:style w:type="paragraph" w:customStyle="1" w:styleId="MarginEdition">
    <w:name w:val="Margin Edition"/>
    <w:basedOn w:val="MarginNote"/>
    <w:rsid w:val="00EB6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33C"/>
    <w:rPr>
      <w:sz w:val="2"/>
      <w:szCs w:val="2"/>
    </w:rPr>
  </w:style>
  <w:style w:type="character" w:customStyle="1" w:styleId="Small">
    <w:name w:val="Small"/>
    <w:basedOn w:val="DefaultParagraphFont"/>
    <w:rsid w:val="00EB633C"/>
    <w:rPr>
      <w:sz w:val="16"/>
    </w:rPr>
  </w:style>
  <w:style w:type="paragraph" w:customStyle="1" w:styleId="WideTable">
    <w:name w:val="Wide Table"/>
    <w:basedOn w:val="Normal"/>
    <w:rsid w:val="00EB6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33C"/>
  </w:style>
  <w:style w:type="paragraph" w:styleId="Quote">
    <w:name w:val="Quote"/>
    <w:basedOn w:val="Heading1"/>
    <w:link w:val="QuoteChar"/>
    <w:qFormat/>
    <w:rsid w:val="00EB6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33C"/>
    <w:pPr>
      <w:pageBreakBefore/>
    </w:pPr>
  </w:style>
  <w:style w:type="paragraph" w:customStyle="1" w:styleId="Border">
    <w:name w:val="Border"/>
    <w:basedOn w:val="Normal"/>
    <w:qFormat/>
    <w:rsid w:val="00EB6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33C"/>
    <w:rPr>
      <w:u w:val="single"/>
    </w:rPr>
  </w:style>
  <w:style w:type="character" w:customStyle="1" w:styleId="BoldandItalics">
    <w:name w:val="Bold and Italics"/>
    <w:qFormat/>
    <w:rsid w:val="00EB633C"/>
    <w:rPr>
      <w:b/>
      <w:i/>
      <w:u w:val="none"/>
    </w:rPr>
  </w:style>
  <w:style w:type="paragraph" w:styleId="BalloonText">
    <w:name w:val="Balloon Text"/>
    <w:basedOn w:val="Normal"/>
    <w:link w:val="BalloonTextChar"/>
    <w:rsid w:val="00EB6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33C"/>
    <w:pPr>
      <w:spacing w:before="0" w:after="0"/>
    </w:pPr>
  </w:style>
  <w:style w:type="paragraph" w:customStyle="1" w:styleId="BodyTextBold">
    <w:name w:val="Body Text Bold"/>
    <w:basedOn w:val="BodyText"/>
    <w:qFormat/>
    <w:rsid w:val="00EB633C"/>
    <w:rPr>
      <w:b/>
    </w:rPr>
  </w:style>
  <w:style w:type="character" w:styleId="Hyperlink">
    <w:name w:val="Hyperlink"/>
    <w:basedOn w:val="DefaultParagraphFont"/>
    <w:uiPriority w:val="99"/>
    <w:unhideWhenUsed/>
    <w:rsid w:val="00404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1267</Words>
  <Characters>7795</Characters>
  <Application>Microsoft Office Word</Application>
  <DocSecurity>0</DocSecurity>
  <Lines>216</Lines>
  <Paragraphs>137</Paragraphs>
  <ScaleCrop>false</ScaleCrop>
  <Company>Author-it Software Corporation Ltd.</Company>
  <LinksUpToDate>false</LinksUpToDate>
  <CharactersWithSpaces>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RIIEGS306D Prepare drill site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2025-03-01T11:22:00Z</dcterms:modified>
</cp:coreProperties>
</file>