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1548" w:rsidP="00EE15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RIIEGS305D Navigate in remote or trackless areas</w:t>
      </w:r>
      <w:r>
        <w:fldChar w:fldCharType="end"/>
      </w:r>
    </w:p>
    <w:p w:rsidR="00EE1548" w:rsidP="00EE1548">
      <w:pPr>
        <w:pStyle w:val="Version"/>
        <w:sectPr w:rsidSect="00C01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1FDB" w:rsidP="00C01FDB">
      <w:pPr>
        <w:pStyle w:val="SuperHeading"/>
      </w:pPr>
      <w:r w:rsidRPr="00C01FDB">
        <w:t>RIIEGS305D Navigate in remote or trackless areas</w:t>
      </w:r>
    </w:p>
    <w:p w:rsidR="00000000" w:rsidRPr="00C01FDB" w:rsidP="00C01FDB">
      <w:pPr>
        <w:pStyle w:val="Heading1"/>
      </w:pPr>
      <w:bookmarkStart w:id="1" w:name="O_686723"/>
      <w:bookmarkEnd w:id="1"/>
      <w:r w:rsidRPr="00C01FD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E15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Comment</w:t>
            </w:r>
          </w:p>
        </w:tc>
      </w:tr>
      <w:tr w:rsidTr="00EE15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This unit replaces RIIEGS305B Navigate in remote or trackless areas</w:t>
            </w:r>
          </w:p>
        </w:tc>
      </w:tr>
      <w:tr w:rsidTr="00EE15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DB" w:rsidP="00C01FDB">
            <w:pPr>
              <w:pStyle w:val="BodyText"/>
            </w:pPr>
            <w:r w:rsidRPr="00C01FDB">
              <w:t>Required frequency and volume of evidence amended in Performance evidence.</w:t>
            </w:r>
          </w:p>
          <w:p w:rsidR="00000000" w:rsidRPr="00C01FDB" w:rsidP="00C01FDB">
            <w:pPr>
              <w:pStyle w:val="BodyText"/>
            </w:pPr>
            <w:r w:rsidRPr="00C01FDB">
              <w:t>Substantial amendments made in Assessment Conditions field, in</w:t>
            </w:r>
            <w:r w:rsidRPr="00C01FDB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01FDB" w:rsidP="00C01FDB">
      <w:pPr>
        <w:pStyle w:val="BodyText"/>
      </w:pPr>
    </w:p>
    <w:p w:rsidR="00000000" w:rsidRPr="00C01FDB" w:rsidP="00C01FDB">
      <w:pPr>
        <w:pStyle w:val="AllowPageBreak"/>
      </w:pPr>
    </w:p>
    <w:p w:rsidR="00000000" w:rsidRPr="00C01FDB" w:rsidP="00C01FDB">
      <w:pPr>
        <w:pStyle w:val="Heading1"/>
      </w:pPr>
      <w:bookmarkStart w:id="2" w:name="O_686722"/>
      <w:bookmarkEnd w:id="2"/>
      <w:r w:rsidRPr="00C01FDB">
        <w:t>Application</w:t>
      </w:r>
    </w:p>
    <w:p w:rsidR="00000000" w:rsidRPr="00C01FDB" w:rsidP="00EE1548">
      <w:pPr>
        <w:pStyle w:val="BodyText"/>
      </w:pPr>
      <w:r w:rsidRPr="00C01FDB">
        <w:t>This unit describes a participant’</w:t>
      </w:r>
      <w:r w:rsidRPr="00C01FDB">
        <w:t>s skills and knowledge required to navigate in remote or trackless areas in Metalliferous mining.</w:t>
      </w:r>
    </w:p>
    <w:p w:rsidR="00000000" w:rsidRPr="00C01FDB" w:rsidP="00EE1548">
      <w:pPr>
        <w:pStyle w:val="BodyText"/>
      </w:pPr>
      <w:r w:rsidRPr="00C01FDB">
        <w:t>This unit is appropriate for those working in operational roles.</w:t>
      </w:r>
    </w:p>
    <w:p w:rsidR="00000000" w:rsidRPr="00C01FDB" w:rsidP="00EE1548">
      <w:pPr>
        <w:pStyle w:val="BodyText"/>
      </w:pPr>
      <w:r w:rsidRPr="00C01FDB">
        <w:t>Licensing, legislative, regulatory and certification requirements that apply to this unit can</w:t>
      </w:r>
      <w:r w:rsidRPr="00C01FDB">
        <w:t xml:space="preserve"> vary between states, territories, and Industry sectors. Relevant information must be sourced prior to application of the unit.</w:t>
      </w:r>
    </w:p>
    <w:p w:rsidR="00000000" w:rsidRPr="00C01FDB" w:rsidP="00C01FDB">
      <w:pPr>
        <w:pStyle w:val="Heading1"/>
      </w:pPr>
      <w:bookmarkStart w:id="3" w:name="O_686721"/>
      <w:bookmarkEnd w:id="3"/>
      <w:r w:rsidRPr="00C01FDB">
        <w:t>Unit Sector</w:t>
      </w:r>
    </w:p>
    <w:p w:rsidR="00000000" w:rsidRPr="00C01FDB" w:rsidP="00EE1548">
      <w:pPr>
        <w:pStyle w:val="BodyText"/>
      </w:pPr>
      <w:r w:rsidRPr="00C01FDB">
        <w:t>Metalliferous mining</w:t>
      </w:r>
    </w:p>
    <w:p w:rsidR="00000000" w:rsidRPr="00C01FDB" w:rsidP="00C01FDB">
      <w:pPr>
        <w:pStyle w:val="Heading1"/>
      </w:pPr>
      <w:bookmarkStart w:id="4" w:name="O_686720"/>
      <w:bookmarkEnd w:id="4"/>
      <w:r w:rsidRPr="00C01FD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01F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1.</w:t>
            </w:r>
            <w:r w:rsidRPr="00C01FDB">
              <w:tab/>
              <w:t>Plan and prepare to navi</w:t>
            </w:r>
            <w:r w:rsidRPr="00C01FDB">
              <w:t xml:space="preserve">gate in remote or trackless areas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DB" w:rsidP="00C01FDB">
            <w:pPr>
              <w:pStyle w:val="BodyText"/>
            </w:pPr>
            <w:r w:rsidRPr="00C01FDB">
              <w:t>1.1.</w:t>
            </w:r>
            <w:r w:rsidRPr="00C01FDB">
              <w:tab/>
              <w:t>Access, interpret and apply navigation in remote or trackless areas  documentation and ensure the work activity is compliant</w:t>
            </w:r>
          </w:p>
          <w:p w:rsidR="00000000" w:rsidRPr="00C01FDB" w:rsidP="00C01FDB">
            <w:pPr>
              <w:pStyle w:val="BodyText"/>
            </w:pPr>
            <w:r w:rsidRPr="00C01FDB">
              <w:t>1.2.</w:t>
            </w:r>
            <w:r w:rsidRPr="00C01FDB">
              <w:tab/>
              <w:t>Select the type of map(s) suitable for the activity</w:t>
            </w:r>
          </w:p>
          <w:p w:rsidR="00000000" w:rsidRPr="00C01FDB" w:rsidP="00C01FDB">
            <w:pPr>
              <w:pStyle w:val="BodyText"/>
            </w:pPr>
            <w:r w:rsidRPr="00C01FDB">
              <w:t>1.3.</w:t>
            </w:r>
            <w:r w:rsidRPr="00C01FDB">
              <w:tab/>
              <w:t xml:space="preserve">Identify possible sources of </w:t>
            </w:r>
            <w:r w:rsidRPr="00C01FDB">
              <w:t>error and inaccuracies on the map</w:t>
            </w:r>
          </w:p>
          <w:p w:rsidR="00000000" w:rsidRPr="00C01FDB" w:rsidP="00C01FDB">
            <w:pPr>
              <w:pStyle w:val="BodyText"/>
            </w:pPr>
            <w:r w:rsidRPr="00C01FDB">
              <w:t>1.4.</w:t>
            </w:r>
            <w:r w:rsidRPr="00C01FDB">
              <w:tab/>
              <w:t>Identify symbols and information contained on the map</w:t>
            </w:r>
          </w:p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1.5.</w:t>
            </w:r>
            <w:r w:rsidRPr="00C01FDB">
              <w:tab/>
              <w:t>Identify the way in which relevant symbols and information on the map can be used in navigation</w:t>
            </w:r>
          </w:p>
        </w:tc>
      </w:tr>
      <w:tr w:rsidTr="00C01F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2.</w:t>
            </w:r>
            <w:r w:rsidRPr="00C01FDB">
              <w:tab/>
              <w:t>Use a compass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DB" w:rsidP="00C01FDB">
            <w:pPr>
              <w:pStyle w:val="BodyText"/>
            </w:pPr>
            <w:r w:rsidRPr="00C01FDB">
              <w:t>2.1.</w:t>
            </w:r>
            <w:r w:rsidRPr="00C01FDB">
              <w:tab/>
            </w:r>
            <w:r w:rsidRPr="00C01FDB">
              <w:t>Identify the essential features of a compass</w:t>
            </w:r>
          </w:p>
          <w:p w:rsidR="00000000" w:rsidRPr="00C01FDB" w:rsidP="00C01FDB">
            <w:pPr>
              <w:pStyle w:val="BodyText"/>
            </w:pPr>
            <w:r w:rsidRPr="00C01FDB">
              <w:t>2.2.</w:t>
            </w:r>
            <w:r w:rsidRPr="00C01FDB">
              <w:tab/>
              <w:t>Demonstrate the manner in which a compass is used to maintain a designated course</w:t>
            </w:r>
          </w:p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2.3.</w:t>
            </w:r>
            <w:r w:rsidRPr="00C01FDB">
              <w:tab/>
              <w:t>Demonstrate how compass use reflects understanding of the factors that affect accuracy</w:t>
            </w:r>
          </w:p>
        </w:tc>
      </w:tr>
      <w:tr w:rsidTr="00C01F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3.</w:t>
            </w:r>
            <w:r w:rsidRPr="00C01FDB">
              <w:tab/>
              <w:t>Plan a route for remote or t</w:t>
            </w:r>
            <w:r w:rsidRPr="00C01FDB">
              <w:t>rackless areas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DB" w:rsidP="00C01FDB">
            <w:pPr>
              <w:pStyle w:val="BodyText"/>
            </w:pPr>
            <w:r w:rsidRPr="00C01FDB">
              <w:t>3.1.</w:t>
            </w:r>
            <w:r w:rsidRPr="00C01FDB">
              <w:tab/>
              <w:t xml:space="preserve">Apply </w:t>
            </w:r>
            <w:r w:rsidRPr="00C01FDB">
              <w:rPr>
                <w:rStyle w:val="BoldandItalics"/>
              </w:rPr>
              <w:t>symbols and information</w:t>
            </w:r>
            <w:r w:rsidRPr="00C01FDB">
              <w:t xml:space="preserve"> contained on the </w:t>
            </w:r>
            <w:r w:rsidRPr="00C01FDB">
              <w:rPr>
                <w:rStyle w:val="Emphasis"/>
              </w:rPr>
              <w:t>map</w:t>
            </w:r>
            <w:r w:rsidRPr="00C01FDB">
              <w:t xml:space="preserve"> to plan an efficient route/course suitable to navigation and activity-specific abilities</w:t>
            </w:r>
          </w:p>
          <w:p w:rsidR="00000000" w:rsidRPr="00C01FDB" w:rsidP="00C01FDB">
            <w:pPr>
              <w:pStyle w:val="BodyText"/>
            </w:pPr>
            <w:r w:rsidRPr="00C01FDB">
              <w:t>3.2.</w:t>
            </w:r>
            <w:r w:rsidRPr="00C01FDB">
              <w:tab/>
              <w:t xml:space="preserve">Obtain additional information to assist in the preparation of a </w:t>
            </w:r>
            <w:r w:rsidRPr="00C01FDB">
              <w:rPr>
                <w:rStyle w:val="BoldandItalics"/>
              </w:rPr>
              <w:t>navigation data sheet</w:t>
            </w:r>
            <w:r w:rsidRPr="00C01FDB">
              <w:t xml:space="preserve"> from </w:t>
            </w:r>
            <w:r w:rsidRPr="00C01FDB">
              <w:t xml:space="preserve">the map and from other suitable </w:t>
            </w:r>
            <w:r w:rsidRPr="00C01FDB">
              <w:rPr>
                <w:rStyle w:val="BoldandItalics"/>
              </w:rPr>
              <w:t>sources of information</w:t>
            </w:r>
          </w:p>
          <w:p w:rsidR="00000000" w:rsidRPr="00C01FDB" w:rsidP="00C01FDB">
            <w:pPr>
              <w:pStyle w:val="BodyText"/>
            </w:pPr>
            <w:r w:rsidRPr="00C01FDB">
              <w:t>3.3.</w:t>
            </w:r>
            <w:r w:rsidRPr="00C01FDB">
              <w:tab/>
              <w:t xml:space="preserve">Identify </w:t>
            </w:r>
            <w:r w:rsidRPr="00C01FDB">
              <w:rPr>
                <w:rStyle w:val="BoldandItalics"/>
              </w:rPr>
              <w:t>potential hazards</w:t>
            </w:r>
            <w:r w:rsidRPr="00C01FDB">
              <w:t xml:space="preserve"> associated with navigating through adverse environmental conditions</w:t>
            </w:r>
          </w:p>
          <w:p w:rsidR="00000000" w:rsidRPr="00C01FDB" w:rsidP="00C01FDB">
            <w:pPr>
              <w:pStyle w:val="BodyText"/>
            </w:pPr>
            <w:r w:rsidRPr="00C01FDB">
              <w:t>3.4.</w:t>
            </w:r>
            <w:r w:rsidRPr="00C01FDB">
              <w:tab/>
              <w:t xml:space="preserve">Consider </w:t>
            </w:r>
            <w:r w:rsidRPr="00C01FDB">
              <w:rPr>
                <w:rStyle w:val="BoldandItalics"/>
              </w:rPr>
              <w:t>other contextual issues</w:t>
            </w:r>
            <w:r w:rsidRPr="00C01FDB">
              <w:t xml:space="preserve"> in the planning of a route</w:t>
            </w:r>
          </w:p>
          <w:p w:rsidR="00000000" w:rsidRPr="00C01FDB" w:rsidP="00C01FDB">
            <w:pPr>
              <w:pStyle w:val="BodyText"/>
            </w:pPr>
            <w:r w:rsidRPr="00C01FDB">
              <w:t>3.5.</w:t>
            </w:r>
            <w:r w:rsidRPr="00C01FDB">
              <w:tab/>
              <w:t xml:space="preserve">Prepare a </w:t>
            </w:r>
            <w:r w:rsidRPr="00C01FDB">
              <w:rPr>
                <w:rStyle w:val="BoldandItalics"/>
              </w:rPr>
              <w:t>navigation data sheet</w:t>
            </w:r>
            <w:r w:rsidRPr="00C01FDB">
              <w:t>/route card</w:t>
            </w:r>
          </w:p>
          <w:p w:rsidR="00000000" w:rsidRPr="00C01FDB" w:rsidP="00C01FDB">
            <w:pPr>
              <w:pStyle w:val="BodyText"/>
            </w:pPr>
            <w:r w:rsidRPr="00C01FDB">
              <w:t>3.6.</w:t>
            </w:r>
            <w:r w:rsidRPr="00C01FDB">
              <w:tab/>
              <w:t>Identify emergency or contingency escape routes</w:t>
            </w:r>
          </w:p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3.7.</w:t>
            </w:r>
            <w:r w:rsidRPr="00C01FDB">
              <w:tab/>
              <w:t>Consider environmental impact issues in the planning of a route</w:t>
            </w:r>
          </w:p>
        </w:tc>
      </w:tr>
      <w:tr w:rsidTr="00C01F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4.</w:t>
            </w:r>
            <w:r w:rsidRPr="00C01FDB">
              <w:tab/>
              <w:t>Navigate in remote or trackless areas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DB" w:rsidP="00C01FDB">
            <w:pPr>
              <w:pStyle w:val="BodyText"/>
            </w:pPr>
            <w:r w:rsidRPr="00C01FDB">
              <w:t>4.1.</w:t>
            </w:r>
            <w:r w:rsidRPr="00C01FDB">
              <w:tab/>
              <w:t xml:space="preserve">Maintain orientation of </w:t>
            </w:r>
            <w:r w:rsidRPr="00C01FDB">
              <w:rPr>
                <w:rStyle w:val="BoldandItalics"/>
              </w:rPr>
              <w:t>map</w:t>
            </w:r>
            <w:r w:rsidRPr="00C01FDB">
              <w:t xml:space="preserve"> to surroundings</w:t>
            </w:r>
          </w:p>
          <w:p w:rsidR="00000000" w:rsidRPr="00C01FDB" w:rsidP="00C01FDB">
            <w:pPr>
              <w:pStyle w:val="BodyText"/>
            </w:pPr>
            <w:r w:rsidRPr="00C01FDB">
              <w:t>4.2.</w:t>
            </w:r>
            <w:r w:rsidRPr="00C01FDB">
              <w:tab/>
              <w:t xml:space="preserve">Identify possible sources </w:t>
            </w:r>
            <w:r w:rsidRPr="00C01FDB">
              <w:t>of navigation error in specific locations</w:t>
            </w:r>
          </w:p>
          <w:p w:rsidR="00000000" w:rsidRPr="00C01FDB" w:rsidP="00C01FDB">
            <w:pPr>
              <w:pStyle w:val="BodyText"/>
            </w:pPr>
            <w:r w:rsidRPr="00C01FDB">
              <w:t>4.3.</w:t>
            </w:r>
            <w:r w:rsidRPr="00C01FDB">
              <w:tab/>
              <w:t xml:space="preserve">Use combined </w:t>
            </w:r>
            <w:r w:rsidRPr="00C01FDB">
              <w:rPr>
                <w:rStyle w:val="BoldandItalics"/>
              </w:rPr>
              <w:t>map</w:t>
            </w:r>
            <w:r w:rsidRPr="00C01FDB">
              <w:t xml:space="preserve">, compass and other techniques whilst following a route in </w:t>
            </w:r>
            <w:r w:rsidRPr="00C01FDB">
              <w:rPr>
                <w:rStyle w:val="BoldandItalics"/>
              </w:rPr>
              <w:t>unmodified landscapes</w:t>
            </w:r>
          </w:p>
          <w:p w:rsidR="00000000" w:rsidRPr="00C01FDB" w:rsidP="00C01FDB">
            <w:pPr>
              <w:pStyle w:val="BodyText"/>
            </w:pPr>
            <w:r w:rsidRPr="00C01FDB">
              <w:t>4.4.</w:t>
            </w:r>
            <w:r w:rsidRPr="00C01FDB">
              <w:tab/>
              <w:t xml:space="preserve">Employ techniques for </w:t>
            </w:r>
            <w:r w:rsidRPr="00C01FDB">
              <w:rPr>
                <w:rStyle w:val="BoldandItalics"/>
              </w:rPr>
              <w:t>distance estimations</w:t>
            </w:r>
            <w:r w:rsidRPr="00C01FDB">
              <w:t xml:space="preserve"> of travel in the absence of identifying features</w:t>
            </w:r>
          </w:p>
          <w:p w:rsidR="00000000" w:rsidRPr="00C01FDB" w:rsidP="00C01FDB">
            <w:pPr>
              <w:pStyle w:val="BodyText"/>
            </w:pPr>
            <w:r w:rsidRPr="00C01FDB">
              <w:t>4.5.</w:t>
            </w:r>
            <w:r w:rsidRPr="00C01FDB">
              <w:tab/>
              <w:t>Maintain t</w:t>
            </w:r>
            <w:r w:rsidRPr="00C01FDB">
              <w:t xml:space="preserve">he designated course whilst bypassing </w:t>
            </w:r>
            <w:r w:rsidRPr="00C01FDB">
              <w:rPr>
                <w:rStyle w:val="BoldandItalics"/>
              </w:rPr>
              <w:t>obstacles</w:t>
            </w:r>
          </w:p>
          <w:p w:rsidR="00000000" w:rsidRPr="00C01FDB" w:rsidP="00C01FDB">
            <w:pPr>
              <w:pStyle w:val="BodyText"/>
            </w:pPr>
            <w:r w:rsidRPr="00C01FDB">
              <w:t>4.6.</w:t>
            </w:r>
            <w:r w:rsidRPr="00C01FDB">
              <w:tab/>
              <w:t>Maintain a course in adverse environmental conditions and/or poor visibility</w:t>
            </w:r>
          </w:p>
          <w:p w:rsidR="00000000" w:rsidRPr="00C01FDB" w:rsidP="00C01FDB">
            <w:pPr>
              <w:pStyle w:val="BodyText"/>
            </w:pPr>
            <w:r w:rsidRPr="00C01FDB">
              <w:t>4.7.</w:t>
            </w:r>
            <w:r w:rsidRPr="00C01FDB">
              <w:tab/>
              <w:t xml:space="preserve">Fix position accurately and regularly using a combination of appropriate </w:t>
            </w:r>
            <w:r w:rsidRPr="00C01FDB">
              <w:rPr>
                <w:rStyle w:val="BoldandItalics"/>
              </w:rPr>
              <w:t>navigation techniques</w:t>
            </w:r>
          </w:p>
          <w:p w:rsidR="00000000" w:rsidRPr="00C01FDB" w:rsidP="00C01FDB">
            <w:pPr>
              <w:pStyle w:val="BodyText"/>
            </w:pPr>
            <w:r w:rsidRPr="00C01FDB">
              <w:t>4.8.</w:t>
            </w:r>
            <w:r w:rsidRPr="00C01FDB">
              <w:tab/>
              <w:t>Select an efficient r</w:t>
            </w:r>
            <w:r w:rsidRPr="00C01FDB">
              <w:t>oute choice for the surroundings and conditions</w:t>
            </w:r>
          </w:p>
          <w:p w:rsidR="00000000" w:rsidRPr="00C01FDB" w:rsidP="00C01FDB">
            <w:pPr>
              <w:pStyle w:val="BodyText"/>
            </w:pPr>
            <w:r w:rsidRPr="00C01FDB">
              <w:t>4.9.</w:t>
            </w:r>
            <w:r w:rsidRPr="00C01FDB">
              <w:tab/>
              <w:t>Employ suitable combinations of navigation techniques to fix position and identify unknown features when  in unfamiliar surroundings/location</w:t>
            </w:r>
          </w:p>
        </w:tc>
      </w:tr>
    </w:tbl>
    <w:p w:rsidR="00EE1548" w:rsidP="00C01FDB">
      <w:pPr>
        <w:pStyle w:val="BodyText"/>
      </w:pPr>
    </w:p>
    <w:p w:rsidR="00EE1548" w:rsidP="00C01FDB">
      <w:pPr>
        <w:pStyle w:val="BodyText"/>
      </w:pPr>
    </w:p>
    <w:p w:rsidR="00000000" w:rsidRPr="00C01FDB" w:rsidP="00C01FDB">
      <w:pPr>
        <w:pStyle w:val="Heading1"/>
      </w:pPr>
      <w:bookmarkStart w:id="5" w:name="O_686719"/>
      <w:bookmarkEnd w:id="5"/>
      <w:r w:rsidRPr="00C01FDB">
        <w:t>Foundation Skills</w:t>
      </w:r>
    </w:p>
    <w:p w:rsidR="00000000" w:rsidRPr="00C01FDB" w:rsidP="00EE1548">
      <w:pPr>
        <w:pStyle w:val="BodyText"/>
      </w:pPr>
      <w:r w:rsidRPr="00C01FD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01FDB" w:rsidP="00C01FDB">
      <w:pPr>
        <w:pStyle w:val="Heading1"/>
      </w:pPr>
      <w:bookmarkStart w:id="6" w:name="O_686718"/>
      <w:bookmarkEnd w:id="6"/>
      <w:r w:rsidRPr="00C01FDB">
        <w:t>Unit Mapping Information</w:t>
      </w:r>
    </w:p>
    <w:p w:rsidR="00000000" w:rsidRPr="00C01FDB" w:rsidP="00EE1548">
      <w:pPr>
        <w:pStyle w:val="BodyText"/>
      </w:pPr>
      <w:r w:rsidRPr="00C01FDB">
        <w:t>RII</w:t>
      </w:r>
      <w:r w:rsidRPr="00C01FDB">
        <w:t>EGS305A Navigate in remote or trackless areas</w:t>
      </w:r>
    </w:p>
    <w:p w:rsidR="00000000" w:rsidRPr="00C01FDB" w:rsidP="00C01FDB">
      <w:pPr>
        <w:pStyle w:val="Heading1"/>
      </w:pPr>
      <w:bookmarkStart w:id="7" w:name="O_686724"/>
      <w:bookmarkEnd w:id="7"/>
      <w:r w:rsidRPr="00C01FDB">
        <w:t>Links</w:t>
      </w:r>
    </w:p>
    <w:p w:rsidR="00000000" w:rsidRPr="00C01FDB" w:rsidP="00EE1548">
      <w:pPr>
        <w:pStyle w:val="BodyText"/>
      </w:pPr>
      <w:r w:rsidRPr="00C01F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71C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01FDB" w:rsidP="00EE1548">
      <w:pPr>
        <w:pStyle w:val="BodyText"/>
        <w:sectPr w:rsidSect="00C01F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1FDB" w:rsidP="00C01FDB">
      <w:pPr>
        <w:pStyle w:val="SuperHeading"/>
      </w:pPr>
      <w:r w:rsidRPr="00C01FDB">
        <w:t>Assessment Requirements for RIIEGS305D Navigate in remote or trackless areas</w:t>
      </w:r>
    </w:p>
    <w:p w:rsidR="00000000" w:rsidRPr="00C01FDB" w:rsidP="00C01FDB">
      <w:pPr>
        <w:pStyle w:val="Heading1"/>
      </w:pPr>
      <w:bookmarkStart w:id="8" w:name="O_686716"/>
      <w:bookmarkEnd w:id="8"/>
      <w:r w:rsidRPr="00C01FD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E15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Comment</w:t>
            </w:r>
          </w:p>
        </w:tc>
      </w:tr>
      <w:tr w:rsidTr="00EE15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This unit replaces RIIEGS305B Navigate in remote or trackless areas</w:t>
            </w:r>
          </w:p>
        </w:tc>
      </w:tr>
      <w:tr w:rsidTr="00EE154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FDB" w:rsidP="00C01FDB">
            <w:pPr>
              <w:pStyle w:val="BodyText"/>
            </w:pPr>
            <w:r w:rsidRPr="00C01FDB">
              <w:t>Required frequency and volume of evidence amended in Performance evidence.</w:t>
            </w:r>
          </w:p>
          <w:p w:rsidR="00000000" w:rsidRPr="00C01FDB" w:rsidP="00C01FDB">
            <w:pPr>
              <w:pStyle w:val="BodyText"/>
            </w:pPr>
            <w:r w:rsidRPr="00C01FDB">
              <w:t>Substantial amendments made in Assessment Conditions field, including: references to Industry Sectors, assessor and subject matter expert experience requirements, how assessment sho</w:t>
            </w:r>
            <w:r w:rsidRPr="00C01FDB">
              <w:t>uld be conducted and what it should confirm.</w:t>
            </w:r>
          </w:p>
        </w:tc>
      </w:tr>
    </w:tbl>
    <w:p w:rsidR="00000000" w:rsidRPr="00C01FDB" w:rsidP="00C01FDB">
      <w:pPr>
        <w:pStyle w:val="BodyText"/>
      </w:pPr>
    </w:p>
    <w:p w:rsidR="00000000" w:rsidRPr="00C01FDB" w:rsidP="00C01FDB">
      <w:pPr>
        <w:pStyle w:val="AllowPageBreak"/>
      </w:pPr>
    </w:p>
    <w:p w:rsidR="00000000" w:rsidRPr="00C01FDB" w:rsidP="00C01FDB">
      <w:pPr>
        <w:pStyle w:val="Heading1"/>
      </w:pPr>
      <w:bookmarkStart w:id="9" w:name="O_686715"/>
      <w:bookmarkEnd w:id="9"/>
      <w:r w:rsidRPr="00C01FDB">
        <w:t>Performance Evidence</w:t>
      </w:r>
    </w:p>
    <w:p w:rsidR="00000000" w:rsidRPr="00C01FDB" w:rsidP="00EE1548">
      <w:pPr>
        <w:pStyle w:val="BodyText"/>
      </w:pPr>
      <w:r w:rsidRPr="00C01FDB">
        <w:t>Evidence is required to be collected that demonstrates a candidate’s competency in this unit. Evidence must be relevant to the roles within this sector’</w:t>
      </w:r>
      <w:r w:rsidRPr="00C01FDB">
        <w:t>s work operations and satisfy all of the requirements of the performance criteria of this unit and include evidence that the candidate:</w:t>
      </w:r>
    </w:p>
    <w:p w:rsidR="00000000" w:rsidRPr="00C01FDB" w:rsidP="00C01FDB">
      <w:pPr>
        <w:pStyle w:val="ListBullet"/>
      </w:pPr>
      <w:r w:rsidRPr="00C01FDB">
        <w:t>locates and applies relevant documentation, policies and procedures</w:t>
      </w:r>
    </w:p>
    <w:p w:rsidR="00000000" w:rsidRPr="00C01FDB" w:rsidP="00C01FDB">
      <w:pPr>
        <w:pStyle w:val="ListBullet"/>
      </w:pPr>
      <w:r w:rsidRPr="00C01FDB">
        <w:t>implements the requirements, procedures and techniq</w:t>
      </w:r>
      <w:r w:rsidRPr="00C01FDB">
        <w:t xml:space="preserve">ues for the safe, effective and efficient completion of navigating in remote of trackless areas including: </w:t>
      </w:r>
    </w:p>
    <w:p w:rsidR="00000000" w:rsidRPr="00C01FDB" w:rsidP="00C01FDB">
      <w:pPr>
        <w:pStyle w:val="ListBullet2"/>
      </w:pPr>
      <w:r w:rsidRPr="00C01FDB">
        <w:t>using a compass, and identifying factors that affect their accuracy</w:t>
      </w:r>
    </w:p>
    <w:p w:rsidR="00000000" w:rsidRPr="00C01FDB" w:rsidP="00C01FDB">
      <w:pPr>
        <w:pStyle w:val="ListBullet2"/>
      </w:pPr>
      <w:r w:rsidRPr="00C01FDB">
        <w:t>identifying and applying navigational symbols and information on a map</w:t>
      </w:r>
    </w:p>
    <w:p w:rsidR="00000000" w:rsidRPr="00C01FDB" w:rsidP="00C01FDB">
      <w:pPr>
        <w:pStyle w:val="ListBullet2"/>
      </w:pPr>
      <w:r w:rsidRPr="00C01FDB">
        <w:t>identify</w:t>
      </w:r>
      <w:r w:rsidRPr="00C01FDB">
        <w:t>ing and applying required maps to suit work activity</w:t>
      </w:r>
    </w:p>
    <w:p w:rsidR="00000000" w:rsidRPr="00C01FDB" w:rsidP="00C01FDB">
      <w:pPr>
        <w:pStyle w:val="ListBullet"/>
      </w:pPr>
      <w:r w:rsidRPr="00C01FDB">
        <w:t>identify and apply techniques for estimating distance</w:t>
      </w:r>
    </w:p>
    <w:p w:rsidR="00000000" w:rsidRPr="00C01FDB" w:rsidP="00C01FDB">
      <w:pPr>
        <w:pStyle w:val="ListBullet2"/>
      </w:pPr>
      <w:r w:rsidRPr="00C01FDB">
        <w:t>identify and apply environmental considerations</w:t>
      </w:r>
    </w:p>
    <w:p w:rsidR="00000000" w:rsidRPr="00C01FDB" w:rsidP="00C01FDB">
      <w:pPr>
        <w:pStyle w:val="ListBullet2"/>
      </w:pPr>
      <w:r w:rsidRPr="00C01FDB">
        <w:t>maintaining a compass bearing in poor visibility and/or extreme conditions</w:t>
      </w:r>
    </w:p>
    <w:p w:rsidR="00000000" w:rsidRPr="00C01FDB" w:rsidP="00C01FDB">
      <w:pPr>
        <w:pStyle w:val="ListBullet"/>
      </w:pPr>
      <w:r w:rsidRPr="00C01FDB">
        <w:t>demonstrates completion</w:t>
      </w:r>
      <w:r w:rsidRPr="00C01FDB">
        <w:t xml:space="preserve"> of navigating in remote and trackless areas that safely, effectively and efficiently meets all of the required outcomes on more than one (1) occasion including:</w:t>
      </w:r>
    </w:p>
    <w:p w:rsidR="00000000" w:rsidRPr="00C01FDB" w:rsidP="00C01FDB">
      <w:pPr>
        <w:pStyle w:val="ListBullet2"/>
      </w:pPr>
      <w:r w:rsidRPr="00C01FDB">
        <w:t>preparing a navigation data sheet/route card</w:t>
      </w:r>
    </w:p>
    <w:p w:rsidR="00000000" w:rsidRPr="00C01FDB" w:rsidP="00C01FDB">
      <w:pPr>
        <w:pStyle w:val="ListBullet2"/>
      </w:pPr>
      <w:r w:rsidRPr="00C01FDB">
        <w:t>navigating using combined map, compass and other techniques to follow the planned route</w:t>
      </w:r>
    </w:p>
    <w:p w:rsidR="00000000" w:rsidRPr="00C01FDB" w:rsidP="00C01FDB">
      <w:pPr>
        <w:pStyle w:val="ListBullet2"/>
      </w:pPr>
      <w:r w:rsidRPr="00C01FDB">
        <w:t xml:space="preserve">observing surroundings </w:t>
      </w:r>
    </w:p>
    <w:p w:rsidR="00000000" w:rsidRPr="00C01FDB" w:rsidP="00C01FDB">
      <w:pPr>
        <w:pStyle w:val="ListBullet2"/>
      </w:pPr>
      <w:r w:rsidRPr="00C01FDB">
        <w:t>fixing position accurately and regularly using appropriate navigation techniques</w:t>
      </w:r>
    </w:p>
    <w:p w:rsidR="00000000" w:rsidRPr="00C01FDB" w:rsidP="00C01FDB">
      <w:pPr>
        <w:pStyle w:val="ListBullet2"/>
      </w:pPr>
      <w:r w:rsidRPr="00C01FDB">
        <w:t>selecting an efficient route choice for the surroundings and co</w:t>
      </w:r>
      <w:r w:rsidRPr="00C01FDB">
        <w:t>nditions</w:t>
      </w:r>
    </w:p>
    <w:p w:rsidR="00000000" w:rsidRPr="00C01FDB" w:rsidP="00C01FDB">
      <w:pPr>
        <w:pStyle w:val="ListBullet2"/>
      </w:pPr>
      <w:r w:rsidRPr="00C01FDB">
        <w:t>employing suitable combinations of navigation techniques to fix position and identify unknown features when in unfamiliar surroundings/location</w:t>
      </w:r>
    </w:p>
    <w:p w:rsidR="00000000" w:rsidRPr="00C01FDB" w:rsidP="00C01FDB">
      <w:pPr>
        <w:pStyle w:val="AllowPageBreak"/>
      </w:pPr>
    </w:p>
    <w:p w:rsidR="00000000" w:rsidRPr="00C01FDB" w:rsidP="00C01FDB">
      <w:pPr>
        <w:pStyle w:val="Heading1"/>
      </w:pPr>
      <w:bookmarkStart w:id="10" w:name="O_686714"/>
      <w:bookmarkEnd w:id="10"/>
      <w:r w:rsidRPr="00C01FDB">
        <w:t>Knowledge Evidence</w:t>
      </w:r>
    </w:p>
    <w:p w:rsidR="00000000" w:rsidRPr="00C01FDB" w:rsidP="00EE1548">
      <w:pPr>
        <w:pStyle w:val="BodyText"/>
      </w:pPr>
      <w:r w:rsidRPr="00C01FDB">
        <w:t>The candidate must demonstrate knowledge of navigating in remote or</w:t>
      </w:r>
      <w:r w:rsidRPr="00C01FDB">
        <w:t xml:space="preserve"> trackless areas through:</w:t>
      </w:r>
    </w:p>
    <w:p w:rsidR="00000000" w:rsidRPr="00C01FDB" w:rsidP="00C01FDB">
      <w:pPr>
        <w:pStyle w:val="ListBullet"/>
      </w:pPr>
      <w:r w:rsidRPr="00C01FDB">
        <w:t xml:space="preserve">identifying factors affecting navigation techniques in extreme environmental conditions </w:t>
      </w:r>
    </w:p>
    <w:p w:rsidR="00000000" w:rsidRPr="00C01FDB" w:rsidP="00C01FDB">
      <w:pPr>
        <w:pStyle w:val="ListBullet"/>
      </w:pPr>
      <w:r w:rsidRPr="00C01FDB">
        <w:t>identifying map types and sources of error</w:t>
      </w:r>
    </w:p>
    <w:p w:rsidR="00000000" w:rsidRPr="00C01FDB" w:rsidP="00C01FDB">
      <w:pPr>
        <w:pStyle w:val="ListBullet"/>
      </w:pPr>
      <w:r w:rsidRPr="00C01FDB">
        <w:t>identifying navigation techniques and aids</w:t>
      </w:r>
    </w:p>
    <w:p w:rsidR="00000000" w:rsidRPr="00C01FDB" w:rsidP="00C01FDB">
      <w:pPr>
        <w:pStyle w:val="ListBullet"/>
      </w:pPr>
      <w:r w:rsidRPr="00C01FDB">
        <w:t>planning and preparing navigation data sheets</w:t>
      </w:r>
    </w:p>
    <w:p w:rsidR="00000000" w:rsidRPr="00C01FDB" w:rsidP="00C01FDB">
      <w:pPr>
        <w:pStyle w:val="ListBullet"/>
      </w:pPr>
      <w:r w:rsidRPr="00C01FDB">
        <w:t xml:space="preserve">identifying route planning and issues that should be considered in extreme environmental conditions </w:t>
      </w:r>
    </w:p>
    <w:p w:rsidR="00000000" w:rsidRPr="00C01FDB" w:rsidP="00C01FDB">
      <w:pPr>
        <w:pStyle w:val="ListBullet"/>
      </w:pPr>
      <w:r w:rsidRPr="00C01FDB">
        <w:t>identifying methods for estimation of travelling times in unmodified landscape and/or difficult terrain/conditions</w:t>
      </w:r>
    </w:p>
    <w:p w:rsidR="00000000" w:rsidRPr="00C01FDB" w:rsidP="00C01FDB">
      <w:pPr>
        <w:pStyle w:val="ListBullet"/>
      </w:pPr>
      <w:r w:rsidRPr="00C01FDB">
        <w:t xml:space="preserve">identifying and applying techniques for </w:t>
      </w:r>
      <w:r w:rsidRPr="00C01FDB">
        <w:t>estimating distance travelled in poor visibility</w:t>
      </w:r>
    </w:p>
    <w:p w:rsidR="00000000" w:rsidRPr="00C01FDB" w:rsidP="00C01FDB">
      <w:pPr>
        <w:pStyle w:val="ListBullet"/>
      </w:pPr>
      <w:r w:rsidRPr="00C01FDB">
        <w:t>identifying techniques to navigate around obstacles</w:t>
      </w:r>
    </w:p>
    <w:p w:rsidR="00000000" w:rsidRPr="00C01FDB" w:rsidP="00C01FDB">
      <w:pPr>
        <w:pStyle w:val="AllowPageBreak"/>
      </w:pPr>
    </w:p>
    <w:p w:rsidR="00000000" w:rsidRPr="00C01FDB" w:rsidP="00C01FDB">
      <w:pPr>
        <w:pStyle w:val="Heading1"/>
      </w:pPr>
      <w:bookmarkStart w:id="11" w:name="O_686713"/>
      <w:bookmarkEnd w:id="11"/>
      <w:r w:rsidRPr="00C01FDB">
        <w:t>Assessment Conditions</w:t>
      </w:r>
    </w:p>
    <w:p w:rsidR="00000000" w:rsidRPr="00C01FDB" w:rsidP="00C01FDB">
      <w:pPr>
        <w:pStyle w:val="ListBullet"/>
      </w:pPr>
      <w:r w:rsidRPr="00C01FDB">
        <w:t>An assessor of this unit must satisfy the requirements of the NVR/AQTF or their successors; and Industry regulation</w:t>
      </w:r>
      <w:r w:rsidRPr="00C01FDB">
        <w:t xml:space="preserve">s for certification and licensing; and, </w:t>
      </w:r>
    </w:p>
    <w:p w:rsidR="00000000" w:rsidRPr="00C01FDB" w:rsidP="00C01FDB">
      <w:pPr>
        <w:pStyle w:val="ListBullet"/>
      </w:pPr>
      <w:r w:rsidRPr="00C01FDB">
        <w:t>this unit must be assessed in the context of this sector’s work environment; and,</w:t>
      </w:r>
    </w:p>
    <w:p w:rsidR="00000000" w:rsidRPr="00C01FDB" w:rsidP="00C01FDB">
      <w:pPr>
        <w:pStyle w:val="ListBullet"/>
      </w:pPr>
      <w:r w:rsidRPr="00C01FDB">
        <w:t>this unit must be assessed in compliance with relevant legislation/regulation and using policies, procedures, processes and operation</w:t>
      </w:r>
      <w:r w:rsidRPr="00C01FDB">
        <w:t>al manuals directly related to the industry sector for which it is being assessed; and,</w:t>
      </w:r>
    </w:p>
    <w:p w:rsidR="00000000" w:rsidRPr="00C01FDB" w:rsidP="00C01FDB">
      <w:pPr>
        <w:pStyle w:val="ListBullet"/>
      </w:pPr>
      <w:r w:rsidRPr="00C01FDB">
        <w:t>assessment may be conducted in conjunction with the assessment of other Units of Competency; and,</w:t>
      </w:r>
    </w:p>
    <w:p w:rsidR="00000000" w:rsidRPr="00C01FDB" w:rsidP="00C01FDB">
      <w:pPr>
        <w:pStyle w:val="ListBullet"/>
      </w:pPr>
      <w:r w:rsidRPr="00C01FDB">
        <w:t>assessment must confirm consistent performance can be applied in a ran</w:t>
      </w:r>
      <w:r w:rsidRPr="00C01FDB">
        <w:t>ge of relevant workplace circumstances; and,</w:t>
      </w:r>
    </w:p>
    <w:p w:rsidR="00000000" w:rsidRPr="00C01FDB" w:rsidP="00C01FDB">
      <w:pPr>
        <w:pStyle w:val="ListBullet"/>
      </w:pPr>
      <w:r w:rsidRPr="00C01FDB">
        <w:t>assessors must demonstrate the performance evidence, and knowledge evidence as outlined in this Unit of Competency, and through the minimum years of current* work experience specified below in an Industry sector</w:t>
      </w:r>
      <w:r w:rsidRPr="00C01FDB">
        <w:t xml:space="preserve"> relevant to the outcomes of the unit; or,</w:t>
      </w:r>
    </w:p>
    <w:p w:rsidR="00000000" w:rsidRPr="00C01FDB" w:rsidP="00C01FDB">
      <w:pPr>
        <w:pStyle w:val="ListBullet"/>
      </w:pPr>
      <w:r w:rsidRPr="00C01FDB">
        <w:t>where the assessor does not meet experience requirements a co-assessment or partnership arrangement must exist between the qualified assessor and an Industry subject matter expert. The Industry subject matter expe</w:t>
      </w:r>
      <w:r w:rsidRPr="00C01FDB">
        <w:t>rt should hold the unit being assessed (or an equivalent unit) and/or demonstrate equivalence of skills and knowledge at the unit level. An Industry technical expert must also demonstrate skills and knowledge from the minimum years of current work experien</w:t>
      </w:r>
      <w:r w:rsidRPr="00C01FDB">
        <w:t>ce specified below in the Industry sector, including time spent in roles related to the unit being assessed; and,</w:t>
      </w:r>
    </w:p>
    <w:p w:rsidR="00000000" w:rsidRPr="00C01FDB" w:rsidP="00C01FDB">
      <w:pPr>
        <w:pStyle w:val="ListBullet"/>
      </w:pPr>
      <w:r w:rsidRPr="00C01FDB">
        <w:t>assessor and Industry subject matter expert requirements differ depending on the Australian Qualifications Framework Level (AQF) of the qualif</w:t>
      </w:r>
      <w:r w:rsidRPr="00C01FDB">
        <w:t>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01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Required assessor or Industry subject matter expert experience</w:t>
            </w:r>
          </w:p>
        </w:tc>
      </w:tr>
      <w:tr w:rsidTr="00C01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1 Year</w:t>
            </w:r>
          </w:p>
        </w:tc>
      </w:tr>
      <w:tr w:rsidTr="00C01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2 Years</w:t>
            </w:r>
          </w:p>
        </w:tc>
      </w:tr>
      <w:tr w:rsidTr="00C01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3 Years</w:t>
            </w:r>
          </w:p>
        </w:tc>
      </w:tr>
      <w:tr w:rsidTr="00C01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5 Years</w:t>
            </w:r>
          </w:p>
        </w:tc>
      </w:tr>
      <w:tr w:rsidTr="00C01FD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1FDB">
            <w:pPr>
              <w:pStyle w:val="BodyText"/>
              <w:rPr>
                <w:lang w:val="en-NZ"/>
              </w:rPr>
            </w:pPr>
            <w:r w:rsidRPr="00C01FD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1FDB" w:rsidP="00C01FDB">
            <w:pPr>
              <w:pStyle w:val="BodyText"/>
            </w:pPr>
            <w:r w:rsidRPr="00C01FD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01FDB">
              <w:t>ndard is specified should comply with any relevant regulation.</w:t>
            </w:r>
          </w:p>
        </w:tc>
      </w:tr>
    </w:tbl>
    <w:p w:rsidR="00000000" w:rsidRPr="00C01FDB" w:rsidP="00EE1548">
      <w:pPr>
        <w:pStyle w:val="BodyText"/>
      </w:pPr>
      <w:r w:rsidRPr="00C01FDB">
        <w:t>*Assessors can demonstrate current work experience through employment within Industry in a role relevant to the outcomes of the Unit; or, for external assessors this can be demonstrated throu</w:t>
      </w:r>
      <w:r w:rsidRPr="00C01FDB">
        <w:t>gh exposure to Industry by conducting frequent site assessments across various locations.</w:t>
      </w:r>
    </w:p>
    <w:p w:rsidR="00000000" w:rsidRPr="00C01FDB" w:rsidP="00EE1548">
      <w:pPr>
        <w:pStyle w:val="BodyText"/>
      </w:pPr>
      <w:r w:rsidRPr="00C01FDB">
        <w:t>**Where a unit is being delivered outside of a Qualification the first numeric character in the Unit code should be considered to indicate the AQF level</w:t>
      </w:r>
    </w:p>
    <w:p w:rsidR="00000000" w:rsidRPr="00C01FDB" w:rsidP="00C01FDB">
      <w:pPr>
        <w:pStyle w:val="Heading1"/>
      </w:pPr>
      <w:bookmarkStart w:id="12" w:name="O_686726"/>
      <w:bookmarkEnd w:id="12"/>
      <w:r w:rsidRPr="00C01FDB">
        <w:t>Links</w:t>
      </w:r>
    </w:p>
    <w:p w:rsidR="00000000" w:rsidRPr="00C01FDB" w:rsidP="00EE1548">
      <w:pPr>
        <w:pStyle w:val="BodyText"/>
      </w:pPr>
      <w:r w:rsidRPr="00C01F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71C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01FDB" w:rsidP="00C01FDB"/>
    <w:sectPr w:rsidSect="00C01F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DB" w:rsidRPr="00EE1548" w:rsidP="00EE15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48" w:rsidP="00C01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1548" w:rsidP="00C01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E1548" w:rsidP="00C01F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DB" w:rsidP="00C01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1548">
      <w:t>Approved</w:t>
    </w:r>
    <w:r w:rsidR="00EE15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15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1548">
      <w:rPr>
        <w:noProof/>
      </w:rPr>
      <w:t>4</w:t>
    </w:r>
    <w:r>
      <w:rPr>
        <w:noProof/>
      </w:rPr>
      <w:fldChar w:fldCharType="end"/>
    </w:r>
  </w:p>
  <w:p w:rsidR="00C01FDB" w:rsidP="00C01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15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1548">
      <w:t>Mining and Automotive Skills Alliance</w:t>
    </w:r>
    <w:r w:rsidR="00EE1548">
      <w:fldChar w:fldCharType="end"/>
    </w:r>
  </w:p>
  <w:p w:rsidR="00C01FDB" w:rsidP="00C01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FDB" w:rsidRPr="00EE1548" w:rsidP="00EE15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548" w:rsidRPr="002D2AF8" w:rsidP="00C01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RIIEGS305D Navigate in remote or trackless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1548" w:rsidP="00C01F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DB" w:rsidRPr="002D2AF8" w:rsidP="00C01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1548">
      <w:t>RIIEGS305D Navigate in remote or trackless areas</w:t>
    </w:r>
    <w:r w:rsidR="00EE15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1548">
      <w:rPr>
        <w:noProof/>
      </w:rPr>
      <w:t>2 March 2025</w:t>
    </w:r>
    <w:r>
      <w:fldChar w:fldCharType="end"/>
    </w:r>
  </w:p>
  <w:p w:rsidR="00C01FDB" w:rsidP="00C01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5AED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3CE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704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FDB"/>
  </w:style>
  <w:style w:type="character" w:customStyle="1" w:styleId="Heading1Char">
    <w:name w:val="Heading 1 Char"/>
    <w:basedOn w:val="DefaultParagraphFont"/>
    <w:link w:val="Heading1"/>
    <w:rsid w:val="00C01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F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1F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1FDB"/>
    <w:rPr>
      <w:i/>
    </w:rPr>
  </w:style>
  <w:style w:type="paragraph" w:customStyle="1" w:styleId="SuperHeading">
    <w:name w:val="SuperHeading"/>
    <w:basedOn w:val="Normal"/>
    <w:rsid w:val="00C01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01FD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01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1FDB"/>
    <w:rPr>
      <w:b/>
      <w:spacing w:val="0"/>
    </w:rPr>
  </w:style>
  <w:style w:type="paragraph" w:customStyle="1" w:styleId="SuperTitle">
    <w:name w:val="SuperTitle"/>
    <w:basedOn w:val="Title"/>
    <w:rsid w:val="00C01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1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F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1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FDB"/>
  </w:style>
  <w:style w:type="paragraph" w:styleId="TableofFigures">
    <w:name w:val="table of figures"/>
    <w:basedOn w:val="Normal"/>
    <w:next w:val="Normal"/>
    <w:semiHidden/>
    <w:rsid w:val="00C01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F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1FDB"/>
    <w:rPr>
      <w:rFonts w:ascii="Wingdings" w:hAnsi="Wingdings"/>
    </w:rPr>
  </w:style>
  <w:style w:type="paragraph" w:customStyle="1" w:styleId="TableHeading">
    <w:name w:val="Table Heading"/>
    <w:basedOn w:val="HeadingBase"/>
    <w:rsid w:val="00C01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FDB"/>
    <w:rPr>
      <w:color w:val="0033CC"/>
      <w:u w:val="none"/>
    </w:rPr>
  </w:style>
  <w:style w:type="paragraph" w:customStyle="1" w:styleId="BodyTextRight">
    <w:name w:val="Body Text Right"/>
    <w:basedOn w:val="BodyText"/>
    <w:rsid w:val="00C01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F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FDB"/>
    <w:rPr>
      <w:sz w:val="32"/>
    </w:rPr>
  </w:style>
  <w:style w:type="paragraph" w:customStyle="1" w:styleId="HeadingProcedure">
    <w:name w:val="Heading Procedure"/>
    <w:basedOn w:val="HeadingBase"/>
    <w:next w:val="Normal"/>
    <w:rsid w:val="00C01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FDB"/>
    <w:pPr>
      <w:spacing w:before="60" w:after="60"/>
    </w:pPr>
  </w:style>
  <w:style w:type="paragraph" w:styleId="ListContinue">
    <w:name w:val="List Continue"/>
    <w:basedOn w:val="List"/>
    <w:rsid w:val="00C01FDB"/>
    <w:pPr>
      <w:ind w:firstLine="0"/>
    </w:pPr>
  </w:style>
  <w:style w:type="paragraph" w:customStyle="1" w:styleId="ListNote">
    <w:name w:val="List Note"/>
    <w:basedOn w:val="List"/>
    <w:rsid w:val="00C01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FDB"/>
    <w:rPr>
      <w:rFonts w:ascii="Courier New" w:hAnsi="Courier New"/>
    </w:rPr>
  </w:style>
  <w:style w:type="paragraph" w:customStyle="1" w:styleId="NoteBullet">
    <w:name w:val="Note Bullet"/>
    <w:basedOn w:val="Note"/>
    <w:rsid w:val="00C01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F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1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FDB"/>
    <w:rPr>
      <w:b/>
      <w:smallCaps/>
    </w:rPr>
  </w:style>
  <w:style w:type="paragraph" w:customStyle="1" w:styleId="TableListNumber">
    <w:name w:val="Table List Number"/>
    <w:basedOn w:val="ListNumber"/>
    <w:rsid w:val="00C01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FDB"/>
    <w:pPr>
      <w:numPr>
        <w:numId w:val="9"/>
      </w:numPr>
    </w:pPr>
  </w:style>
  <w:style w:type="paragraph" w:customStyle="1" w:styleId="ListAlpha2">
    <w:name w:val="List Alpha 2"/>
    <w:basedOn w:val="List2"/>
    <w:rsid w:val="00C01FDB"/>
    <w:pPr>
      <w:numPr>
        <w:numId w:val="8"/>
      </w:numPr>
    </w:pPr>
  </w:style>
  <w:style w:type="paragraph" w:styleId="List2">
    <w:name w:val="List 2"/>
    <w:basedOn w:val="BodyText"/>
    <w:rsid w:val="00C01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F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F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F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1FDB"/>
    <w:pPr>
      <w:numPr>
        <w:numId w:val="4"/>
      </w:numPr>
    </w:pPr>
  </w:style>
  <w:style w:type="paragraph" w:styleId="ListContinue2">
    <w:name w:val="List Continue 2"/>
    <w:basedOn w:val="List2"/>
    <w:rsid w:val="00C01FDB"/>
    <w:pPr>
      <w:ind w:firstLine="0"/>
    </w:pPr>
  </w:style>
  <w:style w:type="paragraph" w:styleId="ListContinue3">
    <w:name w:val="List Continue 3"/>
    <w:basedOn w:val="List3"/>
    <w:rsid w:val="00C01FDB"/>
    <w:pPr>
      <w:ind w:left="1021" w:firstLine="0"/>
    </w:pPr>
  </w:style>
  <w:style w:type="paragraph" w:styleId="ListContinue4">
    <w:name w:val="List Continue 4"/>
    <w:basedOn w:val="List4"/>
    <w:rsid w:val="00C01FDB"/>
    <w:pPr>
      <w:ind w:firstLine="0"/>
    </w:pPr>
  </w:style>
  <w:style w:type="paragraph" w:styleId="ListContinue5">
    <w:name w:val="List Continue 5"/>
    <w:basedOn w:val="List5"/>
    <w:rsid w:val="00C01FDB"/>
    <w:pPr>
      <w:ind w:firstLine="0"/>
    </w:pPr>
  </w:style>
  <w:style w:type="paragraph" w:styleId="ListNumber3">
    <w:name w:val="List Number 3"/>
    <w:basedOn w:val="List3"/>
    <w:rsid w:val="00C01FDB"/>
    <w:pPr>
      <w:numPr>
        <w:numId w:val="5"/>
      </w:numPr>
    </w:pPr>
  </w:style>
  <w:style w:type="paragraph" w:styleId="ListNumber4">
    <w:name w:val="List Number 4"/>
    <w:basedOn w:val="List4"/>
    <w:rsid w:val="00C01FDB"/>
    <w:pPr>
      <w:numPr>
        <w:numId w:val="6"/>
      </w:numPr>
    </w:pPr>
  </w:style>
  <w:style w:type="paragraph" w:styleId="ListNumber5">
    <w:name w:val="List Number 5"/>
    <w:basedOn w:val="List5"/>
    <w:rsid w:val="00C01FDB"/>
    <w:pPr>
      <w:numPr>
        <w:numId w:val="7"/>
      </w:numPr>
    </w:pPr>
  </w:style>
  <w:style w:type="paragraph" w:styleId="BlockText">
    <w:name w:val="Block Text"/>
    <w:basedOn w:val="Normal"/>
    <w:rsid w:val="00C01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FDB"/>
    <w:rPr>
      <w:sz w:val="16"/>
      <w:vertAlign w:val="superscript"/>
    </w:rPr>
  </w:style>
  <w:style w:type="character" w:customStyle="1" w:styleId="Symbols">
    <w:name w:val="Symbols"/>
    <w:basedOn w:val="DefaultParagraphFont"/>
    <w:rsid w:val="00C01FDB"/>
    <w:rPr>
      <w:rFonts w:ascii="Symbol" w:hAnsi="Symbol"/>
    </w:rPr>
  </w:style>
  <w:style w:type="character" w:customStyle="1" w:styleId="MenuOptions">
    <w:name w:val="Menu Options"/>
    <w:basedOn w:val="DefaultParagraphFont"/>
    <w:rsid w:val="00C01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FDB"/>
    <w:rPr>
      <w:b/>
    </w:rPr>
  </w:style>
  <w:style w:type="character" w:customStyle="1" w:styleId="Underlined">
    <w:name w:val="Underlined"/>
    <w:basedOn w:val="DefaultParagraphFont"/>
    <w:rsid w:val="00C01FDB"/>
    <w:rPr>
      <w:u w:val="single"/>
    </w:rPr>
  </w:style>
  <w:style w:type="paragraph" w:customStyle="1" w:styleId="TableBodyTextRight">
    <w:name w:val="Table Body Text Right"/>
    <w:basedOn w:val="TableBodyText"/>
    <w:rsid w:val="00C01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FDB"/>
    <w:rPr>
      <w:sz w:val="18"/>
    </w:rPr>
  </w:style>
  <w:style w:type="paragraph" w:customStyle="1" w:styleId="BodySmallRight">
    <w:name w:val="Body Small Right"/>
    <w:basedOn w:val="BodyTextRight"/>
    <w:rsid w:val="00C01FDB"/>
    <w:rPr>
      <w:sz w:val="18"/>
      <w:szCs w:val="18"/>
    </w:rPr>
  </w:style>
  <w:style w:type="paragraph" w:customStyle="1" w:styleId="MarginEdition">
    <w:name w:val="Margin Edition"/>
    <w:basedOn w:val="MarginNote"/>
    <w:rsid w:val="00C01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FDB"/>
    <w:rPr>
      <w:sz w:val="2"/>
      <w:szCs w:val="2"/>
    </w:rPr>
  </w:style>
  <w:style w:type="character" w:customStyle="1" w:styleId="Small">
    <w:name w:val="Small"/>
    <w:basedOn w:val="DefaultParagraphFont"/>
    <w:rsid w:val="00C01FDB"/>
    <w:rPr>
      <w:sz w:val="16"/>
    </w:rPr>
  </w:style>
  <w:style w:type="paragraph" w:customStyle="1" w:styleId="WideTable">
    <w:name w:val="Wide Table"/>
    <w:basedOn w:val="Normal"/>
    <w:rsid w:val="00C01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FDB"/>
  </w:style>
  <w:style w:type="paragraph" w:styleId="Quote">
    <w:name w:val="Quote"/>
    <w:basedOn w:val="Heading1"/>
    <w:link w:val="QuoteChar"/>
    <w:qFormat/>
    <w:rsid w:val="00C01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FDB"/>
    <w:pPr>
      <w:pageBreakBefore/>
    </w:pPr>
  </w:style>
  <w:style w:type="paragraph" w:customStyle="1" w:styleId="Border">
    <w:name w:val="Border"/>
    <w:basedOn w:val="Normal"/>
    <w:qFormat/>
    <w:rsid w:val="00C01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FDB"/>
    <w:rPr>
      <w:u w:val="single"/>
    </w:rPr>
  </w:style>
  <w:style w:type="paragraph" w:styleId="BalloonText">
    <w:name w:val="Balloon Text"/>
    <w:basedOn w:val="Normal"/>
    <w:link w:val="BalloonTextChar"/>
    <w:rsid w:val="00C01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FDB"/>
    <w:pPr>
      <w:spacing w:before="0" w:after="0"/>
    </w:pPr>
  </w:style>
  <w:style w:type="paragraph" w:customStyle="1" w:styleId="BodyTextBold">
    <w:name w:val="Body Text Bold"/>
    <w:basedOn w:val="BodyText"/>
    <w:qFormat/>
    <w:rsid w:val="00C01FDB"/>
    <w:rPr>
      <w:b/>
    </w:rPr>
  </w:style>
  <w:style w:type="character" w:styleId="Hyperlink">
    <w:name w:val="Hyperlink"/>
    <w:basedOn w:val="DefaultParagraphFont"/>
    <w:uiPriority w:val="99"/>
    <w:unhideWhenUsed/>
    <w:rsid w:val="00EE15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1346</Words>
  <Characters>8349</Characters>
  <Application>Microsoft Office Word</Application>
  <DocSecurity>0</DocSecurity>
  <Lines>225</Lines>
  <Paragraphs>138</Paragraphs>
  <ScaleCrop>false</ScaleCrop>
  <Company>Author-it Software Corporation Ltd.</Company>
  <LinksUpToDate>false</LinksUpToDate>
  <CharactersWithSpaces>9557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RIIEGS305D Navigate in remote or trackless areas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2025-03-02T03:35:00Z</dcterms:created>
  <dcterms:modified xsi:type="dcterms:W3CDTF">2025-03-02T03:35:00Z</dcterms:modified>
</cp:coreProperties>
</file>