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EAC" w:rsidP="00F41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RIIEGS202D Conduct field work</w:t>
      </w:r>
      <w:r>
        <w:fldChar w:fldCharType="end"/>
      </w:r>
    </w:p>
    <w:p w:rsidR="00F41EAC" w:rsidP="00F41EAC">
      <w:pPr>
        <w:pStyle w:val="Version"/>
        <w:sectPr w:rsidSect="001B2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2612" w:rsidP="001B2612">
      <w:pPr>
        <w:pStyle w:val="SuperHeading"/>
      </w:pPr>
      <w:r w:rsidRPr="001B2612">
        <w:t>RIIEGS202D Conduct field work</w:t>
      </w:r>
    </w:p>
    <w:p w:rsidR="00000000" w:rsidRPr="001B2612" w:rsidP="001B2612">
      <w:pPr>
        <w:pStyle w:val="Heading1"/>
      </w:pPr>
      <w:bookmarkStart w:id="1" w:name="O_686574"/>
      <w:bookmarkEnd w:id="1"/>
      <w:r w:rsidRPr="001B261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41E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Comment</w:t>
            </w:r>
          </w:p>
        </w:tc>
      </w:tr>
      <w:tr w:rsidTr="00F41E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This unit replaces RIIEGS202B Conduct field work</w:t>
            </w:r>
          </w:p>
        </w:tc>
      </w:tr>
      <w:tr w:rsidTr="00F41E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12" w:rsidP="001B2612">
            <w:pPr>
              <w:pStyle w:val="BodyText"/>
            </w:pPr>
            <w:r w:rsidRPr="001B2612">
              <w:t>Required frequency and volume of evidence amended in Performance evidence.</w:t>
            </w:r>
          </w:p>
          <w:p w:rsidR="00000000" w:rsidRPr="001B2612" w:rsidP="001B2612">
            <w:pPr>
              <w:pStyle w:val="BodyText"/>
            </w:pPr>
            <w:r w:rsidRPr="001B2612">
              <w:t>Substantial amendments made in Assessment Conditions field, including: references to Indu</w:t>
            </w:r>
            <w:r w:rsidRPr="001B2612">
              <w:t>stry Sectors, assessor and subject matter expert experience requirements, how assessment should be conducted and what it should confirm.</w:t>
            </w:r>
          </w:p>
        </w:tc>
      </w:tr>
    </w:tbl>
    <w:p w:rsidR="00000000" w:rsidRPr="001B2612" w:rsidP="001B2612">
      <w:pPr>
        <w:pStyle w:val="BodyText"/>
      </w:pPr>
    </w:p>
    <w:p w:rsidR="00000000" w:rsidRPr="001B2612" w:rsidP="001B2612">
      <w:pPr>
        <w:pStyle w:val="AllowPageBreak"/>
      </w:pPr>
    </w:p>
    <w:p w:rsidR="00000000" w:rsidRPr="001B2612" w:rsidP="001B2612">
      <w:pPr>
        <w:pStyle w:val="Heading1"/>
      </w:pPr>
      <w:bookmarkStart w:id="2" w:name="O_686572"/>
      <w:bookmarkEnd w:id="2"/>
      <w:r w:rsidRPr="001B2612">
        <w:t>Application</w:t>
      </w:r>
    </w:p>
    <w:p w:rsidR="00000000" w:rsidRPr="001B2612" w:rsidP="00F41EAC">
      <w:pPr>
        <w:pStyle w:val="BodyText"/>
      </w:pPr>
      <w:r w:rsidRPr="001B2612">
        <w:t>This unit describes a participant’</w:t>
      </w:r>
      <w:r w:rsidRPr="001B2612">
        <w:t>s skills and knowledge required to conduct field work in Metalliferous mining.</w:t>
      </w:r>
    </w:p>
    <w:p w:rsidR="00000000" w:rsidRPr="001B2612" w:rsidP="00F41EAC">
      <w:pPr>
        <w:pStyle w:val="BodyText"/>
      </w:pPr>
      <w:r w:rsidRPr="001B2612">
        <w:t>This unit is appropriate for those working in operational roles. Licensing, legislative, regulatory and certification requirements that apply to this unit can vary between state</w:t>
      </w:r>
      <w:r w:rsidRPr="001B2612">
        <w:t>s, territories, and Industry sectors. Relevant information must be sourced prior to application of the unit.</w:t>
      </w:r>
    </w:p>
    <w:p w:rsidR="00000000" w:rsidRPr="001B2612" w:rsidP="001B2612">
      <w:pPr>
        <w:pStyle w:val="Heading1"/>
      </w:pPr>
      <w:bookmarkStart w:id="3" w:name="O_686569"/>
      <w:bookmarkEnd w:id="3"/>
      <w:r w:rsidRPr="001B2612">
        <w:t>Unit Sector</w:t>
      </w:r>
    </w:p>
    <w:p w:rsidR="00000000" w:rsidRPr="001B2612" w:rsidP="00F41EAC">
      <w:pPr>
        <w:pStyle w:val="BodyText"/>
      </w:pPr>
      <w:r w:rsidRPr="001B2612">
        <w:t>Metalliferous mining</w:t>
      </w:r>
    </w:p>
    <w:p w:rsidR="00000000" w:rsidRPr="001B2612" w:rsidP="001B2612">
      <w:pPr>
        <w:pStyle w:val="Heading1"/>
      </w:pPr>
      <w:bookmarkStart w:id="4" w:name="O_686567"/>
      <w:bookmarkEnd w:id="4"/>
      <w:r w:rsidRPr="001B261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B26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1.</w:t>
            </w:r>
            <w:r w:rsidRPr="001B2612">
              <w:tab/>
              <w:t>Plan and prepare to conduct field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12" w:rsidP="001B2612">
            <w:pPr>
              <w:pStyle w:val="BodyText"/>
            </w:pPr>
            <w:r w:rsidRPr="001B2612">
              <w:t>1.1.</w:t>
            </w:r>
            <w:r w:rsidRPr="001B2612">
              <w:tab/>
              <w:t xml:space="preserve">Access, interpret and apply compliance documentation and ensure the work activity is compliant </w:t>
            </w:r>
          </w:p>
          <w:p w:rsidR="00000000" w:rsidRPr="001B2612" w:rsidP="001B2612">
            <w:pPr>
              <w:pStyle w:val="BodyText"/>
            </w:pPr>
            <w:r w:rsidRPr="001B2612">
              <w:t>1.2.</w:t>
            </w:r>
            <w:r w:rsidRPr="001B2612">
              <w:tab/>
              <w:t>Obtain, read, interpret, clarify and confirm work requirements</w:t>
            </w:r>
          </w:p>
          <w:p w:rsidR="00000000" w:rsidRPr="001B2612" w:rsidP="001B2612">
            <w:pPr>
              <w:pStyle w:val="BodyText"/>
            </w:pPr>
            <w:r w:rsidRPr="001B2612">
              <w:t>1.3.</w:t>
            </w:r>
            <w:r w:rsidRPr="001B2612">
              <w:tab/>
              <w:t xml:space="preserve">Identify and address potential risks, hazards and environmental issues, and implement </w:t>
            </w:r>
            <w:r w:rsidRPr="001B2612">
              <w:t>control measures</w:t>
            </w:r>
          </w:p>
          <w:p w:rsidR="00000000" w:rsidRPr="001B2612" w:rsidP="001B2612">
            <w:pPr>
              <w:pStyle w:val="BodyText"/>
            </w:pPr>
            <w:r w:rsidRPr="001B2612">
              <w:t>1.4.</w:t>
            </w:r>
            <w:r w:rsidRPr="001B2612">
              <w:tab/>
              <w:t>Select and wear personal protective equipment appropriate for work activities</w:t>
            </w:r>
          </w:p>
          <w:p w:rsidR="00000000" w:rsidRPr="001B2612" w:rsidP="001B2612">
            <w:pPr>
              <w:pStyle w:val="BodyText"/>
            </w:pPr>
            <w:r w:rsidRPr="001B2612">
              <w:t>1.5.</w:t>
            </w:r>
            <w:r w:rsidRPr="001B2612">
              <w:tab/>
              <w:t xml:space="preserve">Carry out surveys using relevant survey equipment </w:t>
            </w:r>
          </w:p>
          <w:p w:rsidR="00000000" w:rsidRPr="001B2612" w:rsidP="001B2612">
            <w:pPr>
              <w:pStyle w:val="BodyText"/>
            </w:pPr>
            <w:r w:rsidRPr="001B2612">
              <w:t>1.6.</w:t>
            </w:r>
            <w:r w:rsidRPr="001B2612">
              <w:tab/>
              <w:t xml:space="preserve">Conduct reconnaissance survey of the field </w:t>
            </w:r>
          </w:p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1.7.</w:t>
            </w:r>
            <w:r w:rsidRPr="001B2612">
              <w:tab/>
              <w:t>Locate reference pegs where available</w:t>
            </w:r>
          </w:p>
        </w:tc>
      </w:tr>
      <w:tr w:rsidTr="001B26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2.</w:t>
            </w:r>
            <w:r w:rsidRPr="001B2612">
              <w:tab/>
            </w:r>
            <w:r w:rsidRPr="001B2612">
              <w:t>Design, plot and lay out a grid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12" w:rsidP="001B2612">
            <w:pPr>
              <w:pStyle w:val="BodyText"/>
            </w:pPr>
            <w:r w:rsidRPr="001B2612">
              <w:t>2.1.</w:t>
            </w:r>
            <w:r w:rsidRPr="001B2612">
              <w:tab/>
              <w:t xml:space="preserve">Design a grid from supplied information </w:t>
            </w:r>
          </w:p>
          <w:p w:rsidR="00000000" w:rsidRPr="001B2612" w:rsidP="001B2612">
            <w:pPr>
              <w:pStyle w:val="BodyText"/>
            </w:pPr>
            <w:r w:rsidRPr="001B2612">
              <w:t>2.2.</w:t>
            </w:r>
            <w:r w:rsidRPr="001B2612">
              <w:tab/>
              <w:t xml:space="preserve">Plot grid to scale </w:t>
            </w:r>
          </w:p>
          <w:p w:rsidR="00000000" w:rsidRPr="001B2612" w:rsidP="001B2612">
            <w:pPr>
              <w:pStyle w:val="BodyText"/>
            </w:pPr>
            <w:r w:rsidRPr="001B2612">
              <w:t>2.3.</w:t>
            </w:r>
            <w:r w:rsidRPr="001B2612">
              <w:tab/>
              <w:t>Mark baseline and grid datum mark-up pegs with eastings and northings</w:t>
            </w:r>
          </w:p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2.4.</w:t>
            </w:r>
            <w:r w:rsidRPr="001B2612">
              <w:tab/>
              <w:t>Lay out grid using plotting techniques</w:t>
            </w:r>
          </w:p>
        </w:tc>
      </w:tr>
      <w:tr w:rsidTr="001B26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3.</w:t>
            </w:r>
            <w:r w:rsidRPr="001B2612">
              <w:tab/>
              <w:t>Read and use maps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12" w:rsidP="001B2612">
            <w:pPr>
              <w:pStyle w:val="BodyText"/>
            </w:pPr>
            <w:r w:rsidRPr="001B2612">
              <w:t>3.1.</w:t>
            </w:r>
            <w:r w:rsidRPr="001B2612">
              <w:tab/>
              <w:t>Identif</w:t>
            </w:r>
            <w:r w:rsidRPr="001B2612">
              <w:t xml:space="preserve">y the sources of maps </w:t>
            </w:r>
          </w:p>
          <w:p w:rsidR="00000000" w:rsidRPr="001B2612" w:rsidP="001B2612">
            <w:pPr>
              <w:pStyle w:val="BodyText"/>
            </w:pPr>
            <w:r w:rsidRPr="001B2612">
              <w:t>3.2.</w:t>
            </w:r>
            <w:r w:rsidRPr="001B2612">
              <w:tab/>
              <w:t>Identify the types and features of maps used for mineral exploration fieldwork</w:t>
            </w:r>
          </w:p>
          <w:p w:rsidR="00000000" w:rsidRPr="001B2612" w:rsidP="001B2612">
            <w:pPr>
              <w:pStyle w:val="BodyText"/>
            </w:pPr>
            <w:r w:rsidRPr="001B2612">
              <w:t>3.3.</w:t>
            </w:r>
            <w:r w:rsidRPr="001B2612">
              <w:tab/>
              <w:t>Maintain map storage system</w:t>
            </w:r>
          </w:p>
          <w:p w:rsidR="00000000" w:rsidRPr="001B2612" w:rsidP="001B2612">
            <w:pPr>
              <w:pStyle w:val="BodyText"/>
            </w:pPr>
            <w:r w:rsidRPr="001B2612">
              <w:t>3.4.</w:t>
            </w:r>
            <w:r w:rsidRPr="001B2612">
              <w:tab/>
              <w:t>Calculate scales and distances between points</w:t>
            </w:r>
          </w:p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3.5.</w:t>
            </w:r>
            <w:r w:rsidRPr="001B2612">
              <w:tab/>
              <w:t>Calculate bearings relative to true, magnetic, grid and loca</w:t>
            </w:r>
            <w:r w:rsidRPr="001B2612">
              <w:t>l north</w:t>
            </w:r>
          </w:p>
        </w:tc>
      </w:tr>
      <w:tr w:rsidTr="001B26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612">
            <w:pPr>
              <w:pStyle w:val="BodyText"/>
              <w:rPr>
                <w:lang w:val="en-NZ"/>
              </w:rPr>
            </w:pPr>
            <w:r w:rsidRPr="001B2612">
              <w:t>4.</w:t>
            </w:r>
            <w:r w:rsidRPr="001B2612">
              <w:tab/>
              <w:t>Locate mining tenement marks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612" w:rsidP="001B2612">
            <w:pPr>
              <w:pStyle w:val="BodyText"/>
            </w:pPr>
            <w:r w:rsidRPr="001B2612">
              <w:t>4.1.</w:t>
            </w:r>
            <w:r w:rsidRPr="001B2612">
              <w:tab/>
              <w:t>Refer to state and federal agencies for information relevant to mining tenements to determine the types of mining tenements and their purpose</w:t>
            </w:r>
          </w:p>
          <w:p w:rsidR="00000000" w:rsidRPr="001B2612" w:rsidP="001B2612">
            <w:pPr>
              <w:pStyle w:val="BodyText"/>
            </w:pPr>
            <w:r w:rsidRPr="001B2612">
              <w:t>4.2.</w:t>
            </w:r>
            <w:r w:rsidRPr="001B2612">
              <w:tab/>
              <w:t>Draw scale maps of mining tenement to statutory regulations</w:t>
            </w:r>
          </w:p>
          <w:p w:rsidR="00000000" w:rsidRPr="001B2612" w:rsidP="001B2612">
            <w:pPr>
              <w:pStyle w:val="BodyText"/>
            </w:pPr>
            <w:r w:rsidRPr="001B2612">
              <w:t>4.3</w:t>
            </w:r>
            <w:r w:rsidRPr="001B2612">
              <w:t>.</w:t>
            </w:r>
            <w:r w:rsidRPr="001B2612">
              <w:tab/>
              <w:t>Obtain and complete forms required to obtain mining tenements to statutory requirements for lodging, and lodge with relevant agencies/authorities</w:t>
            </w:r>
          </w:p>
          <w:p w:rsidR="00000000" w:rsidRPr="001B2612" w:rsidP="001B2612">
            <w:pPr>
              <w:pStyle w:val="BodyText"/>
            </w:pPr>
            <w:r w:rsidRPr="001B2612">
              <w:t>4.4.</w:t>
            </w:r>
            <w:r w:rsidRPr="001B2612">
              <w:tab/>
              <w:t>Mark out, or locate and maintain mining tenement marks to statutory requirements, using Global Position</w:t>
            </w:r>
            <w:r w:rsidRPr="001B2612">
              <w:t>ing System (GPS)</w:t>
            </w:r>
          </w:p>
        </w:tc>
      </w:tr>
    </w:tbl>
    <w:p w:rsidR="00000000" w:rsidRPr="001B2612" w:rsidP="001B2612">
      <w:pPr>
        <w:pStyle w:val="BodyText"/>
      </w:pPr>
    </w:p>
    <w:p w:rsidR="00000000" w:rsidRPr="001B2612" w:rsidP="001B2612">
      <w:pPr>
        <w:pStyle w:val="AllowPageBreak"/>
      </w:pPr>
    </w:p>
    <w:p w:rsidR="00000000" w:rsidRPr="001B2612" w:rsidP="001B2612">
      <w:pPr>
        <w:pStyle w:val="Heading1"/>
      </w:pPr>
      <w:bookmarkStart w:id="5" w:name="O_686566"/>
      <w:bookmarkEnd w:id="5"/>
      <w:r w:rsidRPr="001B2612">
        <w:t>Foundation Skills</w:t>
      </w:r>
    </w:p>
    <w:p w:rsidR="00000000" w:rsidRPr="001B2612" w:rsidP="00F41EAC">
      <w:pPr>
        <w:pStyle w:val="BodyText"/>
      </w:pPr>
      <w:r w:rsidRPr="001B2612">
        <w:t xml:space="preserve">Foundation skills essential to performance are explicit in the performance criteria of this unit. Further information is available in the Resources </w:t>
      </w:r>
      <w:r w:rsidRPr="001B2612">
        <w:t>and Infrastructure Industry Training Package Companion Volume.</w:t>
      </w:r>
    </w:p>
    <w:p w:rsidR="00000000" w:rsidRPr="001B2612" w:rsidP="001B2612">
      <w:pPr>
        <w:pStyle w:val="Heading1"/>
      </w:pPr>
      <w:bookmarkStart w:id="6" w:name="O_686565"/>
      <w:bookmarkEnd w:id="6"/>
      <w:r w:rsidRPr="001B2612">
        <w:t>Unit Mapping Information</w:t>
      </w:r>
    </w:p>
    <w:p w:rsidR="00000000" w:rsidRPr="001B2612" w:rsidP="00F41EAC">
      <w:pPr>
        <w:pStyle w:val="BodyText"/>
      </w:pPr>
      <w:r w:rsidRPr="001B2612">
        <w:t>RIIEGS202B Conduct field work</w:t>
      </w:r>
    </w:p>
    <w:p w:rsidR="00000000" w:rsidRPr="001B2612" w:rsidP="001B2612">
      <w:pPr>
        <w:pStyle w:val="Heading1"/>
      </w:pPr>
      <w:bookmarkStart w:id="7" w:name="O_686580"/>
      <w:bookmarkEnd w:id="7"/>
      <w:r w:rsidRPr="001B2612">
        <w:t>Links</w:t>
      </w:r>
    </w:p>
    <w:p w:rsidR="00000000" w:rsidRPr="001B2612" w:rsidP="00F41EAC">
      <w:pPr>
        <w:pStyle w:val="BodyText"/>
      </w:pPr>
      <w:r w:rsidRPr="001B2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A1F2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B2612" w:rsidP="001B2612"/>
    <w:sectPr w:rsidSect="001B26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12" w:rsidRPr="00F41EAC" w:rsidP="00F41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AC" w:rsidP="001B2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1EAC" w:rsidP="001B2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1EAC" w:rsidP="001B2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612" w:rsidRPr="00F41EAC" w:rsidP="00F41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AC" w:rsidRPr="002D2AF8" w:rsidP="001B2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RIIEGS202D Conduct 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41EAC" w:rsidP="001B2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612"/>
  </w:style>
  <w:style w:type="character" w:customStyle="1" w:styleId="Heading1Char">
    <w:name w:val="Heading 1 Char"/>
    <w:basedOn w:val="DefaultParagraphFont"/>
    <w:link w:val="Heading1"/>
    <w:rsid w:val="001B2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61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B2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6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26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2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612"/>
    <w:rPr>
      <w:b/>
      <w:spacing w:val="0"/>
    </w:rPr>
  </w:style>
  <w:style w:type="paragraph" w:customStyle="1" w:styleId="SuperTitle">
    <w:name w:val="SuperTitle"/>
    <w:basedOn w:val="Title"/>
    <w:rsid w:val="001B2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6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6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612"/>
    <w:rPr>
      <w:i/>
    </w:rPr>
  </w:style>
  <w:style w:type="paragraph" w:styleId="Caption">
    <w:name w:val="caption"/>
    <w:basedOn w:val="BodyText"/>
    <w:next w:val="Normal"/>
    <w:qFormat/>
    <w:rsid w:val="001B2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612"/>
  </w:style>
  <w:style w:type="paragraph" w:styleId="TableofFigures">
    <w:name w:val="table of figures"/>
    <w:basedOn w:val="Normal"/>
    <w:next w:val="Normal"/>
    <w:semiHidden/>
    <w:rsid w:val="001B2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6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2612"/>
    <w:rPr>
      <w:rFonts w:ascii="Wingdings" w:hAnsi="Wingdings"/>
    </w:rPr>
  </w:style>
  <w:style w:type="paragraph" w:customStyle="1" w:styleId="TableHeading">
    <w:name w:val="Table Heading"/>
    <w:basedOn w:val="HeadingBase"/>
    <w:rsid w:val="001B2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612"/>
    <w:rPr>
      <w:color w:val="0033CC"/>
      <w:u w:val="none"/>
    </w:rPr>
  </w:style>
  <w:style w:type="paragraph" w:customStyle="1" w:styleId="BodyTextRight">
    <w:name w:val="Body Text Right"/>
    <w:basedOn w:val="BodyText"/>
    <w:rsid w:val="001B2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6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612"/>
    <w:rPr>
      <w:sz w:val="32"/>
    </w:rPr>
  </w:style>
  <w:style w:type="paragraph" w:customStyle="1" w:styleId="HeadingProcedure">
    <w:name w:val="Heading Procedure"/>
    <w:basedOn w:val="HeadingBase"/>
    <w:next w:val="Normal"/>
    <w:rsid w:val="001B2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612"/>
    <w:pPr>
      <w:spacing w:before="60" w:after="60"/>
    </w:pPr>
  </w:style>
  <w:style w:type="paragraph" w:styleId="ListContinue">
    <w:name w:val="List Continue"/>
    <w:basedOn w:val="List"/>
    <w:rsid w:val="001B2612"/>
    <w:pPr>
      <w:ind w:firstLine="0"/>
    </w:pPr>
  </w:style>
  <w:style w:type="paragraph" w:customStyle="1" w:styleId="ListNote">
    <w:name w:val="List Note"/>
    <w:basedOn w:val="List"/>
    <w:rsid w:val="001B2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612"/>
    <w:rPr>
      <w:rFonts w:ascii="Courier New" w:hAnsi="Courier New"/>
    </w:rPr>
  </w:style>
  <w:style w:type="paragraph" w:customStyle="1" w:styleId="NoteBullet">
    <w:name w:val="Note Bullet"/>
    <w:basedOn w:val="Note"/>
    <w:rsid w:val="001B2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6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2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612"/>
    <w:rPr>
      <w:b/>
      <w:smallCaps/>
    </w:rPr>
  </w:style>
  <w:style w:type="paragraph" w:customStyle="1" w:styleId="TableListNumber">
    <w:name w:val="Table List Number"/>
    <w:basedOn w:val="ListNumber"/>
    <w:rsid w:val="001B2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612"/>
    <w:pPr>
      <w:numPr>
        <w:numId w:val="7"/>
      </w:numPr>
    </w:pPr>
  </w:style>
  <w:style w:type="paragraph" w:customStyle="1" w:styleId="ListAlpha2">
    <w:name w:val="List Alpha 2"/>
    <w:basedOn w:val="List2"/>
    <w:rsid w:val="001B2612"/>
    <w:pPr>
      <w:numPr>
        <w:numId w:val="6"/>
      </w:numPr>
    </w:pPr>
  </w:style>
  <w:style w:type="paragraph" w:styleId="List2">
    <w:name w:val="List 2"/>
    <w:basedOn w:val="BodyText"/>
    <w:rsid w:val="001B2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6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6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2612"/>
    <w:pPr>
      <w:numPr>
        <w:numId w:val="2"/>
      </w:numPr>
    </w:pPr>
  </w:style>
  <w:style w:type="paragraph" w:styleId="ListContinue2">
    <w:name w:val="List Continue 2"/>
    <w:basedOn w:val="List2"/>
    <w:rsid w:val="001B2612"/>
    <w:pPr>
      <w:ind w:firstLine="0"/>
    </w:pPr>
  </w:style>
  <w:style w:type="paragraph" w:styleId="ListContinue3">
    <w:name w:val="List Continue 3"/>
    <w:basedOn w:val="List3"/>
    <w:rsid w:val="001B2612"/>
    <w:pPr>
      <w:ind w:left="1021" w:firstLine="0"/>
    </w:pPr>
  </w:style>
  <w:style w:type="paragraph" w:styleId="ListContinue4">
    <w:name w:val="List Continue 4"/>
    <w:basedOn w:val="List4"/>
    <w:rsid w:val="001B2612"/>
    <w:pPr>
      <w:ind w:firstLine="0"/>
    </w:pPr>
  </w:style>
  <w:style w:type="paragraph" w:styleId="ListContinue5">
    <w:name w:val="List Continue 5"/>
    <w:basedOn w:val="List5"/>
    <w:rsid w:val="001B2612"/>
    <w:pPr>
      <w:ind w:firstLine="0"/>
    </w:pPr>
  </w:style>
  <w:style w:type="paragraph" w:styleId="ListNumber3">
    <w:name w:val="List Number 3"/>
    <w:basedOn w:val="List3"/>
    <w:rsid w:val="001B2612"/>
    <w:pPr>
      <w:numPr>
        <w:numId w:val="3"/>
      </w:numPr>
    </w:pPr>
  </w:style>
  <w:style w:type="paragraph" w:styleId="ListNumber4">
    <w:name w:val="List Number 4"/>
    <w:basedOn w:val="List4"/>
    <w:rsid w:val="001B2612"/>
    <w:pPr>
      <w:numPr>
        <w:numId w:val="4"/>
      </w:numPr>
    </w:pPr>
  </w:style>
  <w:style w:type="paragraph" w:styleId="ListNumber5">
    <w:name w:val="List Number 5"/>
    <w:basedOn w:val="List5"/>
    <w:rsid w:val="001B2612"/>
    <w:pPr>
      <w:numPr>
        <w:numId w:val="5"/>
      </w:numPr>
    </w:pPr>
  </w:style>
  <w:style w:type="paragraph" w:styleId="BlockText">
    <w:name w:val="Block Text"/>
    <w:basedOn w:val="Normal"/>
    <w:rsid w:val="001B2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612"/>
    <w:rPr>
      <w:sz w:val="16"/>
      <w:vertAlign w:val="superscript"/>
    </w:rPr>
  </w:style>
  <w:style w:type="character" w:customStyle="1" w:styleId="Symbols">
    <w:name w:val="Symbols"/>
    <w:basedOn w:val="DefaultParagraphFont"/>
    <w:rsid w:val="001B2612"/>
    <w:rPr>
      <w:rFonts w:ascii="Symbol" w:hAnsi="Symbol"/>
    </w:rPr>
  </w:style>
  <w:style w:type="character" w:customStyle="1" w:styleId="MenuOptions">
    <w:name w:val="Menu Options"/>
    <w:basedOn w:val="DefaultParagraphFont"/>
    <w:rsid w:val="001B2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612"/>
    <w:rPr>
      <w:b/>
    </w:rPr>
  </w:style>
  <w:style w:type="character" w:customStyle="1" w:styleId="Underlined">
    <w:name w:val="Underlined"/>
    <w:basedOn w:val="DefaultParagraphFont"/>
    <w:rsid w:val="001B2612"/>
    <w:rPr>
      <w:u w:val="single"/>
    </w:rPr>
  </w:style>
  <w:style w:type="paragraph" w:customStyle="1" w:styleId="TableBodyTextRight">
    <w:name w:val="Table Body Text Right"/>
    <w:basedOn w:val="TableBodyText"/>
    <w:rsid w:val="001B2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612"/>
    <w:rPr>
      <w:sz w:val="18"/>
    </w:rPr>
  </w:style>
  <w:style w:type="paragraph" w:customStyle="1" w:styleId="BodySmallRight">
    <w:name w:val="Body Small Right"/>
    <w:basedOn w:val="BodyTextRight"/>
    <w:rsid w:val="001B2612"/>
    <w:rPr>
      <w:sz w:val="18"/>
      <w:szCs w:val="18"/>
    </w:rPr>
  </w:style>
  <w:style w:type="paragraph" w:customStyle="1" w:styleId="MarginEdition">
    <w:name w:val="Margin Edition"/>
    <w:basedOn w:val="MarginNote"/>
    <w:rsid w:val="001B2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612"/>
    <w:rPr>
      <w:sz w:val="2"/>
      <w:szCs w:val="2"/>
    </w:rPr>
  </w:style>
  <w:style w:type="character" w:customStyle="1" w:styleId="Small">
    <w:name w:val="Small"/>
    <w:basedOn w:val="DefaultParagraphFont"/>
    <w:rsid w:val="001B2612"/>
    <w:rPr>
      <w:sz w:val="16"/>
    </w:rPr>
  </w:style>
  <w:style w:type="paragraph" w:customStyle="1" w:styleId="WideTable">
    <w:name w:val="Wide Table"/>
    <w:basedOn w:val="Normal"/>
    <w:rsid w:val="001B2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612"/>
  </w:style>
  <w:style w:type="paragraph" w:styleId="Quote">
    <w:name w:val="Quote"/>
    <w:basedOn w:val="Heading1"/>
    <w:link w:val="QuoteChar"/>
    <w:qFormat/>
    <w:rsid w:val="001B2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612"/>
    <w:pPr>
      <w:pageBreakBefore/>
    </w:pPr>
  </w:style>
  <w:style w:type="paragraph" w:customStyle="1" w:styleId="Border">
    <w:name w:val="Border"/>
    <w:basedOn w:val="Normal"/>
    <w:qFormat/>
    <w:rsid w:val="001B2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612"/>
    <w:rPr>
      <w:u w:val="single"/>
    </w:rPr>
  </w:style>
  <w:style w:type="character" w:customStyle="1" w:styleId="BoldandItalics">
    <w:name w:val="Bold and Italics"/>
    <w:qFormat/>
    <w:rsid w:val="001B2612"/>
    <w:rPr>
      <w:b/>
      <w:i/>
      <w:u w:val="none"/>
    </w:rPr>
  </w:style>
  <w:style w:type="paragraph" w:styleId="BalloonText">
    <w:name w:val="Balloon Text"/>
    <w:basedOn w:val="Normal"/>
    <w:link w:val="BalloonTextChar"/>
    <w:rsid w:val="001B2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612"/>
    <w:pPr>
      <w:spacing w:before="0" w:after="0"/>
    </w:pPr>
  </w:style>
  <w:style w:type="paragraph" w:customStyle="1" w:styleId="BodyTextBold">
    <w:name w:val="Body Text Bold"/>
    <w:basedOn w:val="BodyText"/>
    <w:qFormat/>
    <w:rsid w:val="001B2612"/>
    <w:rPr>
      <w:b/>
    </w:rPr>
  </w:style>
  <w:style w:type="character" w:styleId="Hyperlink">
    <w:name w:val="Hyperlink"/>
    <w:basedOn w:val="DefaultParagraphFont"/>
    <w:uiPriority w:val="99"/>
    <w:unhideWhenUsed/>
    <w:rsid w:val="00F41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2710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RIIEGS202D Conduct field work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2020-07-08T05:32:00Z</dcterms:created>
  <dcterms:modified xsi:type="dcterms:W3CDTF">2020-07-08T05:32:00Z</dcterms:modified>
</cp:coreProperties>
</file>