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69D" w:rsidP="0024369D">
      <w:pPr>
        <w:pStyle w:val="Title"/>
      </w:pPr>
      <w:r>
        <w:fldChar w:fldCharType="begin"/>
      </w:r>
      <w:r>
        <w:instrText xml:space="preserve"> TITLE   \* MERGEFORMAT </w:instrText>
      </w:r>
      <w:r>
        <w:fldChar w:fldCharType="separate"/>
      </w:r>
      <w:r>
        <w:t>Assessment Requirements for RIICWD521D Prepare detailed design of flexible pavements</w:t>
      </w:r>
      <w:r>
        <w:fldChar w:fldCharType="end"/>
      </w:r>
    </w:p>
    <w:p w:rsidR="0024369D" w:rsidP="0024369D">
      <w:pPr>
        <w:pStyle w:val="Version"/>
        <w:sectPr w:rsidSect="00D50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0988" w:rsidP="00D50988">
      <w:pPr>
        <w:pStyle w:val="SuperHeading"/>
      </w:pPr>
      <w:r w:rsidRPr="00D50988">
        <w:t>Assessment Requirements for RIICWD521D Prepare detailed design of flexible pavements</w:t>
      </w:r>
    </w:p>
    <w:p w:rsidR="00000000" w:rsidRPr="00D50988" w:rsidP="00D50988">
      <w:pPr>
        <w:pStyle w:val="Heading1"/>
      </w:pPr>
      <w:bookmarkStart w:id="1" w:name="O_685188"/>
      <w:bookmarkEnd w:id="1"/>
      <w:r w:rsidRPr="00D50988">
        <w:t>Modification History</w:t>
      </w:r>
    </w:p>
    <w:tbl>
      <w:tblPr>
        <w:tblW w:w="9270" w:type="dxa"/>
        <w:tblLayout w:type="fixed"/>
        <w:tblCellMar>
          <w:left w:w="62" w:type="dxa"/>
          <w:right w:w="62" w:type="dxa"/>
        </w:tblCellMar>
        <w:tblLook w:val="0000"/>
      </w:tblPr>
      <w:tblGrid>
        <w:gridCol w:w="1170"/>
        <w:gridCol w:w="8100"/>
      </w:tblGrid>
      <w:tr w:rsidTr="0024369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88">
            <w:pPr>
              <w:pStyle w:val="BodyText"/>
              <w:rPr>
                <w:lang w:val="en-NZ"/>
              </w:rPr>
            </w:pPr>
            <w:r w:rsidRPr="00D509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88">
            <w:pPr>
              <w:pStyle w:val="BodyText"/>
              <w:rPr>
                <w:lang w:val="en-NZ"/>
              </w:rPr>
            </w:pPr>
            <w:r w:rsidRPr="00D50988">
              <w:t>Comment</w:t>
            </w:r>
          </w:p>
        </w:tc>
      </w:tr>
      <w:tr w:rsidTr="0024369D">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88">
            <w:pPr>
              <w:pStyle w:val="BodyText"/>
              <w:rPr>
                <w:lang w:val="en-NZ"/>
              </w:rPr>
            </w:pPr>
            <w:r w:rsidRPr="00D509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88">
            <w:pPr>
              <w:pStyle w:val="BodyText"/>
              <w:rPr>
                <w:lang w:val="en-NZ"/>
              </w:rPr>
            </w:pPr>
            <w:r w:rsidRPr="00D50988">
              <w:t>This unit replaces RIICWD521A Prepare detailed design of flexible pavements</w:t>
            </w:r>
          </w:p>
        </w:tc>
      </w:tr>
      <w:tr w:rsidTr="0024369D">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88">
            <w:pPr>
              <w:pStyle w:val="BodyText"/>
              <w:rPr>
                <w:lang w:val="en-NZ"/>
              </w:rPr>
            </w:pPr>
            <w:r w:rsidRPr="00D509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988" w:rsidP="00D50988">
            <w:pPr>
              <w:pStyle w:val="BodyText"/>
            </w:pPr>
            <w:r w:rsidRPr="00D50988">
              <w:t>Required frequency and volume of evidence amended in Performance evidence.</w:t>
            </w:r>
          </w:p>
          <w:p w:rsidR="00000000" w:rsidRPr="00D50988" w:rsidP="00D50988">
            <w:pPr>
              <w:pStyle w:val="BodyText"/>
            </w:pPr>
            <w:r w:rsidRPr="00D50988">
              <w:t>Substantial amendments made in Assessment Conditions field, including: references to Industry Sectors, assessor and subject matter expert experience requirements, how assessment sho</w:t>
            </w:r>
            <w:r w:rsidRPr="00D50988">
              <w:t>uld be conducted and what it should confirm.</w:t>
            </w:r>
          </w:p>
        </w:tc>
      </w:tr>
    </w:tbl>
    <w:p w:rsidR="00000000" w:rsidRPr="00D50988" w:rsidP="00D50988">
      <w:pPr>
        <w:pStyle w:val="BodyText"/>
      </w:pPr>
    </w:p>
    <w:p w:rsidR="00000000" w:rsidRPr="00D50988" w:rsidP="00D50988">
      <w:pPr>
        <w:pStyle w:val="AllowPageBreak"/>
      </w:pPr>
    </w:p>
    <w:p w:rsidR="00000000" w:rsidRPr="00D50988" w:rsidP="00D50988">
      <w:pPr>
        <w:pStyle w:val="Heading1"/>
      </w:pPr>
      <w:bookmarkStart w:id="2" w:name="O_685187"/>
      <w:bookmarkEnd w:id="2"/>
      <w:r w:rsidRPr="00D50988">
        <w:t>Performance Evidence</w:t>
      </w:r>
    </w:p>
    <w:p w:rsidR="00000000" w:rsidRPr="00D50988" w:rsidP="0024369D">
      <w:pPr>
        <w:pStyle w:val="BodyText"/>
      </w:pPr>
      <w:r w:rsidRPr="00D50988">
        <w:t>Evidence is required to be collected that demonstrates a candidate’s competency in this unit. Evidence must be relevant to the roles within this sector’</w:t>
      </w:r>
      <w:r w:rsidRPr="00D50988">
        <w:t>s work operations and satisfy all of the requirements of the performance criteria of this unit and include evidence that the candidate:</w:t>
      </w:r>
    </w:p>
    <w:p w:rsidR="00000000" w:rsidRPr="00D50988" w:rsidP="00D50988">
      <w:pPr>
        <w:pStyle w:val="ListBullet"/>
      </w:pPr>
      <w:r w:rsidRPr="00D50988">
        <w:t>locates and applies applicable legislation, documentation, policies and procedures</w:t>
      </w:r>
    </w:p>
    <w:p w:rsidR="00000000" w:rsidRPr="00D50988" w:rsidP="00D50988">
      <w:pPr>
        <w:pStyle w:val="ListBullet"/>
      </w:pPr>
      <w:r w:rsidRPr="00D50988">
        <w:t>implements the requirements, procedu</w:t>
      </w:r>
      <w:r w:rsidRPr="00D50988">
        <w:t>res and techniques for the safe, effective and efficient completion of the detailed design of flexible pavements including:</w:t>
      </w:r>
    </w:p>
    <w:p w:rsidR="00000000" w:rsidRPr="00D50988" w:rsidP="00D50988">
      <w:pPr>
        <w:pStyle w:val="ListBullet2"/>
      </w:pPr>
      <w:r w:rsidRPr="00D50988">
        <w:t>accessing and interpreting plans, drawings, specifications and design briefs</w:t>
      </w:r>
    </w:p>
    <w:p w:rsidR="00000000" w:rsidRPr="00D50988" w:rsidP="00D50988">
      <w:pPr>
        <w:pStyle w:val="ListBullet2"/>
      </w:pPr>
      <w:r w:rsidRPr="00D50988">
        <w:t>accessing and interpreting engineering survey and geot</w:t>
      </w:r>
      <w:r w:rsidRPr="00D50988">
        <w:t>echnical information</w:t>
      </w:r>
    </w:p>
    <w:p w:rsidR="00000000" w:rsidRPr="00D50988" w:rsidP="00D50988">
      <w:pPr>
        <w:pStyle w:val="ListBullet2"/>
      </w:pPr>
      <w:r w:rsidRPr="00D50988">
        <w:t>accessing and interpreting hydrological, meteorological, cultural and heritage data</w:t>
      </w:r>
    </w:p>
    <w:p w:rsidR="00000000" w:rsidRPr="00D50988" w:rsidP="00D50988">
      <w:pPr>
        <w:pStyle w:val="ListBullet2"/>
      </w:pPr>
      <w:r w:rsidRPr="00D50988">
        <w:t>accessing and interpreting flexible pavements construction materials test results</w:t>
      </w:r>
    </w:p>
    <w:p w:rsidR="00000000" w:rsidRPr="00D50988" w:rsidP="00D50988">
      <w:pPr>
        <w:pStyle w:val="ListBullet2"/>
      </w:pPr>
      <w:r w:rsidRPr="00D50988">
        <w:t>accessing and interpreting flexible pavements selection data</w:t>
      </w:r>
    </w:p>
    <w:p w:rsidR="00000000" w:rsidRPr="00D50988" w:rsidP="00D50988">
      <w:pPr>
        <w:pStyle w:val="ListBullet2"/>
      </w:pPr>
      <w:r w:rsidRPr="00D50988">
        <w:t>applying computer based technology</w:t>
      </w:r>
    </w:p>
    <w:p w:rsidR="00000000" w:rsidRPr="00D50988" w:rsidP="00D50988">
      <w:pPr>
        <w:pStyle w:val="ListBullet2"/>
      </w:pPr>
      <w:r w:rsidRPr="00D50988">
        <w:t>applying engineering graphical presentation techniques</w:t>
      </w:r>
    </w:p>
    <w:p w:rsidR="00000000" w:rsidRPr="00D50988" w:rsidP="00D50988">
      <w:pPr>
        <w:pStyle w:val="ListBullet"/>
      </w:pPr>
      <w:r w:rsidRPr="00D50988">
        <w:t>works effectively with others to undertake and complete the detailed design of flexible pavements that meets all the required outcomes including:</w:t>
      </w:r>
    </w:p>
    <w:p w:rsidR="00000000" w:rsidRPr="00D50988" w:rsidP="00D50988">
      <w:pPr>
        <w:pStyle w:val="ListBullet2"/>
      </w:pPr>
      <w:r w:rsidRPr="00D50988">
        <w:t>complying with wri</w:t>
      </w:r>
      <w:r w:rsidRPr="00D50988">
        <w:t>tten and verbal reporting requirements and procedures</w:t>
      </w:r>
    </w:p>
    <w:p w:rsidR="00000000" w:rsidRPr="00D50988" w:rsidP="00D50988">
      <w:pPr>
        <w:pStyle w:val="ListBullet2"/>
      </w:pPr>
      <w:r w:rsidRPr="00D50988">
        <w:t>communicating clearly and concisely with others to receive and clarify work instructions</w:t>
      </w:r>
    </w:p>
    <w:p w:rsidR="00000000" w:rsidRPr="00D50988" w:rsidP="00D50988">
      <w:pPr>
        <w:pStyle w:val="ListBullet2"/>
      </w:pPr>
      <w:r w:rsidRPr="00D50988">
        <w:t>communicating clearly and concisely with others to coordinate work activities</w:t>
      </w:r>
    </w:p>
    <w:p w:rsidR="00000000" w:rsidRPr="00D50988" w:rsidP="00D50988">
      <w:pPr>
        <w:pStyle w:val="ListBullet"/>
      </w:pPr>
      <w:r w:rsidRPr="00D50988">
        <w:t>demonstrates completion of detaile</w:t>
      </w:r>
      <w:r w:rsidRPr="00D50988">
        <w:t>d designs of flexible pavements that safely, effectively and efficiently meets all of the required outcomes on more than one (1) occasion including:</w:t>
      </w:r>
    </w:p>
    <w:p w:rsidR="00000000" w:rsidRPr="00D50988" w:rsidP="00D50988">
      <w:pPr>
        <w:pStyle w:val="ListBullet2"/>
      </w:pPr>
      <w:r w:rsidRPr="00D50988">
        <w:t>calculate areas, volumes, densities, mass, percentages and grades</w:t>
      </w:r>
    </w:p>
    <w:p w:rsidR="00000000" w:rsidRPr="00D50988" w:rsidP="00D50988">
      <w:pPr>
        <w:pStyle w:val="ListBullet2"/>
      </w:pPr>
      <w:r w:rsidRPr="00D50988">
        <w:t>maintain design and cost records</w:t>
      </w:r>
    </w:p>
    <w:p w:rsidR="00000000" w:rsidRPr="00D50988" w:rsidP="00D50988">
      <w:pPr>
        <w:pStyle w:val="ListBullet2"/>
      </w:pPr>
      <w:r w:rsidRPr="00D50988">
        <w:t>determi</w:t>
      </w:r>
      <w:r w:rsidRPr="00D50988">
        <w:t>ne flexible pavements capacity requirements</w:t>
      </w:r>
    </w:p>
    <w:p w:rsidR="00000000" w:rsidRPr="00D50988" w:rsidP="00D50988">
      <w:pPr>
        <w:pStyle w:val="ListBullet2"/>
      </w:pPr>
      <w:r w:rsidRPr="00D50988">
        <w:t xml:space="preserve">select flexible pavements options </w:t>
      </w:r>
    </w:p>
    <w:p w:rsidR="00000000" w:rsidRPr="00D50988" w:rsidP="00D50988">
      <w:pPr>
        <w:pStyle w:val="ListBullet2"/>
      </w:pPr>
      <w:r w:rsidRPr="00D50988">
        <w:t>size flexible pavements components</w:t>
      </w:r>
    </w:p>
    <w:p w:rsidR="00000000" w:rsidRPr="00D50988" w:rsidP="00D50988">
      <w:pPr>
        <w:pStyle w:val="ListBullet2"/>
      </w:pPr>
      <w:r w:rsidRPr="00D50988">
        <w:t>select and apply appropriate construction techniques</w:t>
      </w:r>
    </w:p>
    <w:p w:rsidR="00000000" w:rsidRPr="00D50988" w:rsidP="00D50988">
      <w:pPr>
        <w:pStyle w:val="ListBullet2"/>
      </w:pPr>
      <w:r w:rsidRPr="00D50988">
        <w:t>develop and apply design plans</w:t>
      </w:r>
    </w:p>
    <w:p w:rsidR="00000000" w:rsidRPr="00D50988" w:rsidP="00D50988">
      <w:pPr>
        <w:pStyle w:val="ListBullet2"/>
      </w:pPr>
      <w:r>
        <w:t>•</w:t>
      </w:r>
      <w:r>
        <w:tab/>
      </w:r>
      <w:r w:rsidRPr="00D50988">
        <w:t>interpret and analyse data</w:t>
      </w:r>
    </w:p>
    <w:p w:rsidR="00000000" w:rsidRPr="00D50988" w:rsidP="00D50988">
      <w:pPr>
        <w:pStyle w:val="ListBullet2"/>
      </w:pPr>
      <w:r w:rsidRPr="00D50988">
        <w:t>complete a detailed design of flexible pavements</w:t>
      </w:r>
    </w:p>
    <w:p w:rsidR="00000000" w:rsidRPr="00D50988" w:rsidP="00D50988">
      <w:pPr>
        <w:pStyle w:val="ListBullet2"/>
      </w:pPr>
      <w:r w:rsidRPr="00D50988">
        <w:t>prepare a cost estimate</w:t>
      </w:r>
    </w:p>
    <w:p w:rsidR="00000000" w:rsidRPr="00D50988" w:rsidP="00D50988">
      <w:pPr>
        <w:pStyle w:val="ListBullet2"/>
      </w:pPr>
      <w:r w:rsidRPr="00D50988">
        <w:t>participate in a design review</w:t>
      </w:r>
    </w:p>
    <w:p w:rsidR="00000000" w:rsidRPr="00D50988" w:rsidP="00D50988">
      <w:pPr>
        <w:pStyle w:val="ListBullet2"/>
      </w:pPr>
      <w:r w:rsidRPr="00D50988">
        <w:t>obtain design approval</w:t>
      </w:r>
    </w:p>
    <w:p w:rsidR="00000000" w:rsidRPr="00D50988" w:rsidP="00D50988">
      <w:pPr>
        <w:pStyle w:val="ListBullet2"/>
      </w:pPr>
      <w:r w:rsidRPr="00D50988">
        <w:t>complete and submit design cost</w:t>
      </w:r>
    </w:p>
    <w:p w:rsidR="00000000" w:rsidRPr="00D50988" w:rsidP="00D50988">
      <w:pPr>
        <w:pStyle w:val="ListBullet2"/>
      </w:pPr>
      <w:r w:rsidRPr="00D50988">
        <w:t>reviewing application of design and recommending changes</w:t>
      </w:r>
    </w:p>
    <w:p w:rsidR="00000000" w:rsidRPr="00D50988" w:rsidP="00D50988">
      <w:pPr>
        <w:pStyle w:val="AllowPageBreak"/>
      </w:pPr>
    </w:p>
    <w:p w:rsidR="00000000" w:rsidRPr="00D50988" w:rsidP="00D50988">
      <w:pPr>
        <w:pStyle w:val="Heading1"/>
      </w:pPr>
      <w:bookmarkStart w:id="3" w:name="O_685186"/>
      <w:bookmarkEnd w:id="3"/>
      <w:r w:rsidRPr="00D50988">
        <w:t>Knowledge Evidence</w:t>
      </w:r>
    </w:p>
    <w:p w:rsidR="00000000" w:rsidRPr="00D50988" w:rsidP="0024369D">
      <w:pPr>
        <w:pStyle w:val="BodyText"/>
      </w:pPr>
      <w:r w:rsidRPr="00D50988">
        <w:t xml:space="preserve">The </w:t>
      </w:r>
      <w:r w:rsidRPr="00D50988">
        <w:t>candidate must demonstrate knowledge in preparing detailed designs of flexible pavements through:</w:t>
      </w:r>
    </w:p>
    <w:p w:rsidR="00000000" w:rsidRPr="00D50988" w:rsidP="00D50988">
      <w:pPr>
        <w:pStyle w:val="ListBullet"/>
      </w:pPr>
      <w:r w:rsidRPr="00D50988">
        <w:t>accessing, interpreting and applying legislative, organisation and site requirements and procedures for:</w:t>
      </w:r>
    </w:p>
    <w:p w:rsidR="00000000" w:rsidRPr="00D50988" w:rsidP="00D50988">
      <w:pPr>
        <w:pStyle w:val="ListBullet2"/>
      </w:pPr>
      <w:r w:rsidRPr="00D50988">
        <w:t>risk assessment and management</w:t>
      </w:r>
    </w:p>
    <w:p w:rsidR="00000000" w:rsidRPr="00D50988" w:rsidP="00D50988">
      <w:pPr>
        <w:pStyle w:val="ListBullet2"/>
      </w:pPr>
      <w:r w:rsidRPr="00D50988">
        <w:t>statutory compliance</w:t>
      </w:r>
    </w:p>
    <w:p w:rsidR="00000000" w:rsidRPr="00D50988" w:rsidP="00D50988">
      <w:pPr>
        <w:pStyle w:val="ListBullet2"/>
      </w:pPr>
      <w:r w:rsidRPr="00D50988">
        <w:t>work health and safety</w:t>
      </w:r>
    </w:p>
    <w:p w:rsidR="00000000" w:rsidRPr="00D50988" w:rsidP="00D50988">
      <w:pPr>
        <w:pStyle w:val="ListBullet2"/>
      </w:pPr>
      <w:r w:rsidRPr="00D50988">
        <w:t>environmental management</w:t>
      </w:r>
    </w:p>
    <w:p w:rsidR="00000000" w:rsidRPr="00D50988" w:rsidP="00D50988">
      <w:pPr>
        <w:pStyle w:val="ListBullet2"/>
      </w:pPr>
      <w:r w:rsidRPr="00D50988">
        <w:t>cultural and heritage</w:t>
      </w:r>
    </w:p>
    <w:p w:rsidR="00000000" w:rsidRPr="00D50988" w:rsidP="00D50988">
      <w:pPr>
        <w:pStyle w:val="ListBullet2"/>
      </w:pPr>
      <w:r w:rsidRPr="00D50988">
        <w:t>quality management</w:t>
      </w:r>
    </w:p>
    <w:p w:rsidR="00000000" w:rsidRPr="00D50988" w:rsidP="00D50988">
      <w:pPr>
        <w:pStyle w:val="ListBullet2"/>
      </w:pPr>
      <w:r w:rsidRPr="00D50988">
        <w:t>Australian and other relevant standards</w:t>
      </w:r>
    </w:p>
    <w:p w:rsidR="00000000" w:rsidRPr="00D50988" w:rsidP="00D50988">
      <w:pPr>
        <w:pStyle w:val="ListBullet2"/>
      </w:pPr>
      <w:r w:rsidRPr="00D50988">
        <w:t>Industry and organisational design</w:t>
      </w:r>
    </w:p>
    <w:p w:rsidR="00000000" w:rsidRPr="00D50988" w:rsidP="00D50988">
      <w:pPr>
        <w:pStyle w:val="ListBullet2"/>
      </w:pPr>
      <w:r w:rsidRPr="00D50988">
        <w:t>current Industry best practice</w:t>
      </w:r>
    </w:p>
    <w:p w:rsidR="00000000" w:rsidRPr="00D50988" w:rsidP="00D50988">
      <w:pPr>
        <w:pStyle w:val="ListBullet2"/>
      </w:pPr>
      <w:r w:rsidRPr="00D50988">
        <w:t>flexible pavements options</w:t>
      </w:r>
    </w:p>
    <w:p w:rsidR="00000000" w:rsidRPr="00D50988" w:rsidP="00D50988">
      <w:pPr>
        <w:pStyle w:val="ListBullet2"/>
      </w:pPr>
      <w:r w:rsidRPr="00D50988">
        <w:t>flexible pavements geometrics</w:t>
      </w:r>
    </w:p>
    <w:p w:rsidR="00000000" w:rsidRPr="00D50988" w:rsidP="00D50988">
      <w:pPr>
        <w:pStyle w:val="ListBullet2"/>
      </w:pPr>
      <w:r w:rsidRPr="00D50988">
        <w:t>fle</w:t>
      </w:r>
      <w:r w:rsidRPr="00D50988">
        <w:t>xible pavements surfacing</w:t>
      </w:r>
    </w:p>
    <w:p w:rsidR="00000000" w:rsidRPr="00D50988" w:rsidP="00D50988">
      <w:pPr>
        <w:pStyle w:val="ListBullet2"/>
      </w:pPr>
      <w:r w:rsidRPr="00D50988">
        <w:t>potential hazards, constraints and conditions</w:t>
      </w:r>
    </w:p>
    <w:p w:rsidR="00000000" w:rsidRPr="00D50988" w:rsidP="00D50988">
      <w:pPr>
        <w:pStyle w:val="ListBullet2"/>
      </w:pPr>
      <w:r w:rsidRPr="00D50988">
        <w:t>design review</w:t>
      </w:r>
    </w:p>
    <w:p w:rsidR="00000000" w:rsidRPr="00D50988" w:rsidP="00D50988">
      <w:pPr>
        <w:pStyle w:val="ListBullet2"/>
      </w:pPr>
      <w:r w:rsidRPr="00D50988">
        <w:t>documentation and reporting</w:t>
      </w:r>
    </w:p>
    <w:p w:rsidR="00000000" w:rsidRPr="00D50988" w:rsidP="00D50988">
      <w:pPr>
        <w:pStyle w:val="ListBullet2"/>
      </w:pPr>
      <w:r w:rsidRPr="00D50988">
        <w:t>design approvals and records filing</w:t>
      </w:r>
    </w:p>
    <w:p w:rsidR="00000000" w:rsidRPr="00D50988" w:rsidP="00D50988">
      <w:pPr>
        <w:pStyle w:val="ListBullet2"/>
      </w:pPr>
      <w:r w:rsidRPr="00D50988">
        <w:t>performance reviews</w:t>
      </w:r>
    </w:p>
    <w:p w:rsidR="00000000" w:rsidRPr="00D50988" w:rsidP="00D50988">
      <w:pPr>
        <w:pStyle w:val="ListBullet2"/>
      </w:pPr>
      <w:r w:rsidRPr="00D50988">
        <w:t>systems close out</w:t>
      </w:r>
    </w:p>
    <w:p w:rsidR="00000000" w:rsidRPr="00D50988" w:rsidP="00D50988">
      <w:pPr>
        <w:pStyle w:val="ListBullet"/>
      </w:pPr>
      <w:r w:rsidRPr="00D50988">
        <w:t xml:space="preserve">techniques for choosing preferred options </w:t>
      </w:r>
    </w:p>
    <w:p w:rsidR="00000000" w:rsidRPr="00D50988" w:rsidP="00D50988">
      <w:pPr>
        <w:pStyle w:val="ListBullet"/>
      </w:pPr>
      <w:r w:rsidRPr="00D50988">
        <w:t>team leadership techniques</w:t>
      </w:r>
    </w:p>
    <w:p w:rsidR="00000000" w:rsidRPr="00D50988" w:rsidP="00D50988">
      <w:pPr>
        <w:pStyle w:val="ListBullet"/>
      </w:pPr>
      <w:r w:rsidRPr="00D50988">
        <w:t>operational techniques</w:t>
      </w:r>
    </w:p>
    <w:p w:rsidR="00000000" w:rsidRPr="00D50988" w:rsidP="00D50988">
      <w:pPr>
        <w:pStyle w:val="ListBullet"/>
      </w:pPr>
      <w:r w:rsidRPr="00D50988">
        <w:t xml:space="preserve">flexible pavements construction plant and equipment capabilities </w:t>
      </w:r>
    </w:p>
    <w:p w:rsidR="00000000" w:rsidRPr="00D50988" w:rsidP="00D50988">
      <w:pPr>
        <w:pStyle w:val="ListBullet"/>
      </w:pPr>
      <w:r w:rsidRPr="00D50988">
        <w:t xml:space="preserve">cost estimation techniques </w:t>
      </w:r>
    </w:p>
    <w:p w:rsidR="00000000" w:rsidRPr="00D50988" w:rsidP="00D50988">
      <w:pPr>
        <w:pStyle w:val="ListBullet"/>
      </w:pPr>
      <w:r w:rsidRPr="00D50988">
        <w:t>principles of road user behaviour</w:t>
      </w:r>
    </w:p>
    <w:p w:rsidR="00000000" w:rsidRPr="00D50988" w:rsidP="00D50988">
      <w:pPr>
        <w:pStyle w:val="AllowPageBreak"/>
      </w:pPr>
    </w:p>
    <w:p w:rsidR="00000000" w:rsidRPr="00D50988" w:rsidP="00D50988">
      <w:pPr>
        <w:pStyle w:val="Heading1"/>
      </w:pPr>
      <w:bookmarkStart w:id="4" w:name="O_685185"/>
      <w:bookmarkEnd w:id="4"/>
      <w:r w:rsidRPr="00D50988">
        <w:t>Assessment Conditions</w:t>
      </w:r>
    </w:p>
    <w:p w:rsidR="00000000" w:rsidRPr="00D50988" w:rsidP="00D50988">
      <w:pPr>
        <w:pStyle w:val="ListBullet"/>
      </w:pPr>
      <w:r w:rsidRPr="00D50988">
        <w:t xml:space="preserve">An assessor of this unit must satisfy </w:t>
      </w:r>
      <w:r w:rsidRPr="00D50988">
        <w:t>the requirements of the NVR/AQTF or their successors; and Industry regulations for certification and licensing; and,</w:t>
      </w:r>
    </w:p>
    <w:p w:rsidR="00000000" w:rsidRPr="00D50988" w:rsidP="00D50988">
      <w:pPr>
        <w:pStyle w:val="ListBullet"/>
      </w:pPr>
      <w:r w:rsidRPr="00D50988">
        <w:t>this unit is best assessed in the context of this sector’s work environment; and,</w:t>
      </w:r>
    </w:p>
    <w:p w:rsidR="00000000" w:rsidRPr="00D50988" w:rsidP="00D50988">
      <w:pPr>
        <w:pStyle w:val="ListBullet"/>
      </w:pPr>
      <w:r w:rsidRPr="00D50988">
        <w:t>outcomes of this unit that occur in an office-based setti</w:t>
      </w:r>
      <w:r w:rsidRPr="00D50988">
        <w:t xml:space="preserve">ng may be assessed in a simulated environment provided it is realistic and sufficiently rigorous to cover all aspects of this sector’s workplace performance, including environment, task skills, task management skills, contingency management skills and job </w:t>
      </w:r>
      <w:r w:rsidRPr="00D50988">
        <w:t>role environment skills; and,</w:t>
      </w:r>
    </w:p>
    <w:p w:rsidR="00000000" w:rsidRPr="00D50988" w:rsidP="00D50988">
      <w:pPr>
        <w:pStyle w:val="ListBullet"/>
      </w:pPr>
      <w:r w:rsidRPr="00D50988">
        <w:t>tthis unit must be assessed in compliance with relevant legislation/regulation and using policies, procedures, processes and operational manuals directly related to the industry sector for which it is being assessed; and,</w:t>
      </w:r>
    </w:p>
    <w:p w:rsidR="00000000" w:rsidRPr="00D50988" w:rsidP="00D50988">
      <w:pPr>
        <w:pStyle w:val="ListBullet"/>
      </w:pPr>
      <w:r w:rsidRPr="00D50988">
        <w:t>asse</w:t>
      </w:r>
      <w:r w:rsidRPr="00D50988">
        <w:t>ssment may be conducted in conjunction with the assessment of other Units of Competency; and,</w:t>
      </w:r>
    </w:p>
    <w:p w:rsidR="00000000" w:rsidRPr="00D50988" w:rsidP="00D50988">
      <w:pPr>
        <w:pStyle w:val="ListBullet"/>
      </w:pPr>
      <w:r w:rsidRPr="00D50988">
        <w:t>assessment must confirm consistent performance can be applied in a range of relevant workplace circumstances; and,</w:t>
      </w:r>
    </w:p>
    <w:p w:rsidR="00000000" w:rsidRPr="00D50988" w:rsidP="00D50988">
      <w:pPr>
        <w:pStyle w:val="ListBullet"/>
      </w:pPr>
      <w:r w:rsidRPr="00D50988">
        <w:t>assessors must demonstrate the performance evid</w:t>
      </w:r>
      <w:r w:rsidRPr="00D50988">
        <w:t>ence, and knowledge evidence as outlined in this Unit of Competency, and through the minimum years of current* work experience specified below in an Industry sector relevant to the outcomes of the unit; or,</w:t>
      </w:r>
    </w:p>
    <w:p w:rsidR="00000000" w:rsidRPr="00D50988" w:rsidP="00D50988">
      <w:pPr>
        <w:pStyle w:val="ListBullet"/>
      </w:pPr>
      <w:r w:rsidRPr="00D50988">
        <w:t>where the assessor does not meet experience requi</w:t>
      </w:r>
      <w:r w:rsidRPr="00D50988">
        <w:t>rements a co-assessment or partnership arrangement must exist between the qualified assessor and an Industry subject matter expert. The Industry subject matter expert should hold the unit being assessed (or an equivalent unit) and/or demonstrate equivalenc</w:t>
      </w:r>
      <w:r w:rsidRPr="00D50988">
        <w:t>e of skills and knowledge at the unit level. An Industry technical expert must also demonstrate skills and knowledge from the minimum years of current work experience specified below in the Industry sector, including time spent in roles related to the unit</w:t>
      </w:r>
      <w:r w:rsidRPr="00D50988">
        <w:t xml:space="preserve"> being assessed; and,</w:t>
      </w:r>
    </w:p>
    <w:p w:rsidR="00000000" w:rsidRPr="00D50988" w:rsidP="00D50988">
      <w:pPr>
        <w:pStyle w:val="ListBullet"/>
      </w:pPr>
      <w:r w:rsidRPr="00D5098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509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Requir</w:t>
            </w:r>
            <w:r w:rsidRPr="00D50988">
              <w:t>ed assessor or Industry subject matter expert experience</w:t>
            </w:r>
          </w:p>
        </w:tc>
      </w:tr>
      <w:tr w:rsidTr="00D5098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1 Year</w:t>
            </w:r>
          </w:p>
        </w:tc>
      </w:tr>
      <w:tr w:rsidTr="00D5098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2 Years</w:t>
            </w:r>
          </w:p>
        </w:tc>
      </w:tr>
      <w:tr w:rsidTr="00D509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3 Years</w:t>
            </w:r>
          </w:p>
        </w:tc>
      </w:tr>
      <w:tr w:rsidTr="00D509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5 Years</w:t>
            </w:r>
          </w:p>
        </w:tc>
      </w:tr>
      <w:tr w:rsidTr="00D509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988">
            <w:pPr>
              <w:pStyle w:val="BodyText"/>
              <w:rPr>
                <w:lang w:val="en-NZ"/>
              </w:rPr>
            </w:pPr>
            <w:r w:rsidRPr="00D509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0988" w:rsidP="00D50988">
            <w:pPr>
              <w:pStyle w:val="BodyText"/>
            </w:pPr>
            <w:r w:rsidRPr="00D50988">
              <w:t>Where this Unit is being assessed outside of the Resources and Infrastructure Sectors assessor and/or Industry subject matter expert experience should be in-line with industry standards</w:t>
            </w:r>
            <w:r w:rsidRPr="00D50988">
              <w:t xml:space="preserve"> for the sector in which it is being assessed and where no Industry standard is specified should comply with any relevant regulation.</w:t>
            </w:r>
          </w:p>
        </w:tc>
      </w:tr>
    </w:tbl>
    <w:p w:rsidR="00000000" w:rsidRPr="00D50988" w:rsidP="0024369D">
      <w:pPr>
        <w:pStyle w:val="BodyText"/>
      </w:pPr>
      <w:r w:rsidRPr="00D50988">
        <w:t>*Assessors can demonstrate current work experience through employment within Industry in a role relevant to the outcomes</w:t>
      </w:r>
      <w:r w:rsidRPr="00D50988">
        <w:t xml:space="preserve"> of the Unit; or, for external assessors this can be demonstrated through exposure to Industry by conducting frequent site assessments across various locations.</w:t>
      </w:r>
    </w:p>
    <w:p w:rsidR="00000000" w:rsidRPr="00D50988" w:rsidP="0024369D">
      <w:pPr>
        <w:pStyle w:val="BodyText"/>
      </w:pPr>
      <w:r w:rsidRPr="00D50988">
        <w:t>**Where a unit is being delivered outside of a Qualification the first numeric character in the</w:t>
      </w:r>
      <w:r w:rsidRPr="00D50988">
        <w:t xml:space="preserve"> Unit code should be considered to indicate the AQF level</w:t>
      </w:r>
    </w:p>
    <w:p w:rsidR="00000000" w:rsidRPr="00D50988" w:rsidP="00D50988">
      <w:pPr>
        <w:pStyle w:val="Heading1"/>
      </w:pPr>
      <w:bookmarkStart w:id="5" w:name="O_685197"/>
      <w:bookmarkEnd w:id="5"/>
      <w:r w:rsidRPr="00D50988">
        <w:t>Links</w:t>
      </w:r>
    </w:p>
    <w:p w:rsidR="00000000" w:rsidRPr="00D50988" w:rsidP="0024369D">
      <w:pPr>
        <w:pStyle w:val="BodyText"/>
      </w:pPr>
      <w:r w:rsidRPr="00D509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63F9D">
        <w:rPr>
          <w:rStyle w:val="Hyperlink"/>
        </w:rPr>
        <w:t>https://vetnet.gov.au/Pages/TrainingDocs.aspx?q=88a61002-9a21-4386-aaf8-69c76e675272</w:t>
      </w:r>
      <w:r>
        <w:fldChar w:fldCharType="end"/>
      </w:r>
    </w:p>
    <w:p w:rsidR="00000000" w:rsidRPr="00D50988" w:rsidP="00D50988"/>
    <w:sectPr w:rsidSect="00D50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88" w:rsidRPr="0024369D" w:rsidP="00243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D" w:rsidP="00D50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69D" w:rsidP="00D5098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4369D" w:rsidP="00D50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988" w:rsidRPr="0024369D" w:rsidP="00243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D" w:rsidRPr="002D2AF8" w:rsidP="00D50988">
    <w:pPr>
      <w:pStyle w:val="Header"/>
      <w:framePr w:wrap="around"/>
    </w:pPr>
    <w:r>
      <w:fldChar w:fldCharType="begin"/>
    </w:r>
    <w:r>
      <w:instrText xml:space="preserve"> TITLE   \* MERGEFORMAT </w:instrText>
    </w:r>
    <w:r>
      <w:fldChar w:fldCharType="separate"/>
    </w:r>
    <w:r>
      <w:t>Assessment Requirements for RIICWD521D Prepare detailed design of flexible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24369D" w:rsidP="00D50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A4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2F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C8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988"/>
    <w:pPr>
      <w:spacing w:before="360" w:after="60"/>
      <w:outlineLvl w:val="0"/>
    </w:pPr>
    <w:rPr>
      <w:sz w:val="32"/>
    </w:rPr>
  </w:style>
  <w:style w:type="paragraph" w:styleId="Heading2">
    <w:name w:val="heading 2"/>
    <w:basedOn w:val="HeadingBase"/>
    <w:next w:val="BodyText"/>
    <w:link w:val="Heading2Char"/>
    <w:qFormat/>
    <w:rsid w:val="00D50988"/>
    <w:pPr>
      <w:keepLines/>
      <w:spacing w:before="240" w:after="120"/>
      <w:outlineLvl w:val="1"/>
    </w:pPr>
    <w:rPr>
      <w:sz w:val="28"/>
      <w:szCs w:val="40"/>
    </w:rPr>
  </w:style>
  <w:style w:type="paragraph" w:styleId="Heading3">
    <w:name w:val="heading 3"/>
    <w:basedOn w:val="HeadingBase"/>
    <w:next w:val="BodyText"/>
    <w:link w:val="Heading3Char"/>
    <w:qFormat/>
    <w:rsid w:val="00D50988"/>
    <w:pPr>
      <w:spacing w:before="180" w:after="120"/>
      <w:outlineLvl w:val="2"/>
    </w:pPr>
    <w:rPr>
      <w:spacing w:val="-10"/>
      <w:kern w:val="32"/>
    </w:rPr>
  </w:style>
  <w:style w:type="paragraph" w:styleId="Heading4">
    <w:name w:val="heading 4"/>
    <w:basedOn w:val="HeadingBase"/>
    <w:next w:val="BodyText"/>
    <w:link w:val="Heading4Char"/>
    <w:qFormat/>
    <w:rsid w:val="00D50988"/>
    <w:pPr>
      <w:spacing w:before="160" w:after="120"/>
      <w:outlineLvl w:val="3"/>
    </w:pPr>
    <w:rPr>
      <w:sz w:val="22"/>
    </w:rPr>
  </w:style>
  <w:style w:type="paragraph" w:styleId="Heading5">
    <w:name w:val="heading 5"/>
    <w:basedOn w:val="HeadingBase"/>
    <w:next w:val="Normal"/>
    <w:link w:val="Heading5Char"/>
    <w:qFormat/>
    <w:rsid w:val="00D50988"/>
    <w:pPr>
      <w:spacing w:before="80"/>
      <w:outlineLvl w:val="4"/>
    </w:pPr>
    <w:rPr>
      <w:color w:val="918585"/>
      <w:sz w:val="20"/>
    </w:rPr>
  </w:style>
  <w:style w:type="paragraph" w:styleId="Heading6">
    <w:name w:val="heading 6"/>
    <w:basedOn w:val="HeadingBase"/>
    <w:next w:val="Normal"/>
    <w:link w:val="Heading6Char"/>
    <w:qFormat/>
    <w:rsid w:val="00D50988"/>
    <w:pPr>
      <w:spacing w:before="60"/>
      <w:outlineLvl w:val="5"/>
    </w:pPr>
    <w:rPr>
      <w:color w:val="918585"/>
      <w:sz w:val="20"/>
    </w:rPr>
  </w:style>
  <w:style w:type="paragraph" w:styleId="Heading7">
    <w:name w:val="heading 7"/>
    <w:basedOn w:val="Normal"/>
    <w:next w:val="Normal"/>
    <w:link w:val="Heading7Char"/>
    <w:qFormat/>
    <w:rsid w:val="00D50988"/>
    <w:pPr>
      <w:ind w:left="720"/>
      <w:outlineLvl w:val="6"/>
    </w:pPr>
    <w:rPr>
      <w:i/>
    </w:rPr>
  </w:style>
  <w:style w:type="paragraph" w:styleId="Heading8">
    <w:name w:val="heading 8"/>
    <w:basedOn w:val="Normal"/>
    <w:next w:val="Normal"/>
    <w:link w:val="Heading8Char"/>
    <w:qFormat/>
    <w:rsid w:val="00D50988"/>
    <w:pPr>
      <w:ind w:left="720"/>
      <w:outlineLvl w:val="7"/>
    </w:pPr>
    <w:rPr>
      <w:i/>
    </w:rPr>
  </w:style>
  <w:style w:type="paragraph" w:styleId="Heading9">
    <w:name w:val="heading 9"/>
    <w:basedOn w:val="Normal"/>
    <w:next w:val="Normal"/>
    <w:link w:val="Heading9Char"/>
    <w:qFormat/>
    <w:rsid w:val="00D50988"/>
    <w:pPr>
      <w:ind w:left="720"/>
      <w:outlineLvl w:val="8"/>
    </w:pPr>
    <w:rPr>
      <w:i/>
    </w:rPr>
  </w:style>
  <w:style w:type="character" w:default="1" w:styleId="DefaultParagraphFont">
    <w:name w:val="Default Paragraph Font"/>
    <w:uiPriority w:val="1"/>
    <w:unhideWhenUsed/>
    <w:rsid w:val="00D50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988"/>
  </w:style>
  <w:style w:type="character" w:customStyle="1" w:styleId="Heading1Char">
    <w:name w:val="Heading 1 Char"/>
    <w:basedOn w:val="DefaultParagraphFont"/>
    <w:link w:val="Heading1"/>
    <w:rsid w:val="00D50988"/>
    <w:rPr>
      <w:rFonts w:ascii="Times New Roman" w:eastAsia="Times New Roman" w:hAnsi="Times New Roman" w:cs="Times New Roman"/>
      <w:b/>
      <w:sz w:val="32"/>
      <w:szCs w:val="20"/>
      <w:lang w:eastAsia="en-US"/>
    </w:rPr>
  </w:style>
  <w:style w:type="paragraph" w:styleId="BodyText">
    <w:name w:val="Body Text"/>
    <w:basedOn w:val="Normal"/>
    <w:link w:val="BodyTextChar"/>
    <w:rsid w:val="00D50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988"/>
    <w:rPr>
      <w:rFonts w:ascii="Times New Roman" w:eastAsia="Times New Roman" w:hAnsi="Times New Roman" w:cs="Times New Roman"/>
      <w:sz w:val="24"/>
      <w:lang w:eastAsia="en-US"/>
    </w:rPr>
  </w:style>
  <w:style w:type="paragraph" w:styleId="ListBullet">
    <w:name w:val="List Bullet"/>
    <w:basedOn w:val="List"/>
    <w:rsid w:val="00D50988"/>
    <w:pPr>
      <w:numPr>
        <w:numId w:val="12"/>
      </w:numPr>
      <w:tabs>
        <w:tab w:val="clear" w:pos="340"/>
      </w:tabs>
      <w:spacing w:before="40" w:after="40"/>
    </w:pPr>
  </w:style>
  <w:style w:type="paragraph" w:styleId="ListBullet2">
    <w:name w:val="List Bullet 2"/>
    <w:basedOn w:val="List2"/>
    <w:rsid w:val="00D50988"/>
    <w:pPr>
      <w:numPr>
        <w:numId w:val="13"/>
      </w:numPr>
      <w:tabs>
        <w:tab w:val="clear" w:pos="680"/>
      </w:tabs>
    </w:pPr>
  </w:style>
  <w:style w:type="paragraph" w:customStyle="1" w:styleId="SuperHeading">
    <w:name w:val="SuperHeading"/>
    <w:basedOn w:val="Normal"/>
    <w:rsid w:val="00D50988"/>
    <w:pPr>
      <w:spacing w:before="240" w:after="120"/>
      <w:outlineLvl w:val="0"/>
    </w:pPr>
    <w:rPr>
      <w:rFonts w:ascii="Times New Roman" w:hAnsi="Times New Roman"/>
      <w:b/>
      <w:sz w:val="32"/>
    </w:rPr>
  </w:style>
  <w:style w:type="paragraph" w:customStyle="1" w:styleId="AllowPageBreak">
    <w:name w:val="AllowPageBreak"/>
    <w:rsid w:val="00D50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988"/>
    <w:rPr>
      <w:rFonts w:ascii="Courier New" w:eastAsia="Times New Roman" w:hAnsi="Courier New" w:cs="Times New Roman"/>
      <w:i/>
      <w:szCs w:val="20"/>
      <w:lang w:eastAsia="en-US"/>
    </w:rPr>
  </w:style>
  <w:style w:type="paragraph" w:customStyle="1" w:styleId="HeadingBase">
    <w:name w:val="Heading Base"/>
    <w:rsid w:val="00D50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988"/>
    <w:pPr>
      <w:tabs>
        <w:tab w:val="right" w:leader="dot" w:pos="9072"/>
      </w:tabs>
      <w:ind w:left="567"/>
    </w:pPr>
    <w:rPr>
      <w:szCs w:val="22"/>
    </w:rPr>
  </w:style>
  <w:style w:type="paragraph" w:customStyle="1" w:styleId="TOCBase">
    <w:name w:val="TOC Base"/>
    <w:rsid w:val="00D50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988"/>
    <w:pPr>
      <w:tabs>
        <w:tab w:val="right" w:leader="dot" w:pos="9072"/>
      </w:tabs>
      <w:spacing w:before="40" w:after="40"/>
      <w:ind w:left="284"/>
    </w:pPr>
    <w:rPr>
      <w:rFonts w:ascii="Times New Roman" w:hAnsi="Times New Roman"/>
    </w:rPr>
  </w:style>
  <w:style w:type="paragraph" w:styleId="TOC1">
    <w:name w:val="toc 1"/>
    <w:basedOn w:val="TOCBase"/>
    <w:next w:val="Normal"/>
    <w:rsid w:val="00D50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988"/>
    <w:rPr>
      <w:rFonts w:ascii="Times New Roman" w:eastAsia="Times New Roman" w:hAnsi="Times New Roman" w:cs="Times New Roman"/>
      <w:sz w:val="16"/>
      <w:lang w:eastAsia="en-US"/>
    </w:rPr>
  </w:style>
  <w:style w:type="paragraph" w:styleId="Title">
    <w:name w:val="Title"/>
    <w:basedOn w:val="HeadingBase"/>
    <w:link w:val="TitleChar"/>
    <w:qFormat/>
    <w:rsid w:val="00D50988"/>
    <w:pPr>
      <w:spacing w:before="5040"/>
      <w:jc w:val="center"/>
    </w:pPr>
    <w:rPr>
      <w:sz w:val="48"/>
      <w:szCs w:val="72"/>
      <w:lang w:val="en-US"/>
    </w:rPr>
  </w:style>
  <w:style w:type="character" w:customStyle="1" w:styleId="TitleChar">
    <w:name w:val="Title Char"/>
    <w:basedOn w:val="DefaultParagraphFont"/>
    <w:link w:val="Title"/>
    <w:rsid w:val="00D50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988"/>
    <w:pPr>
      <w:tabs>
        <w:tab w:val="left" w:pos="3600"/>
        <w:tab w:val="left" w:pos="3958"/>
      </w:tabs>
    </w:pPr>
  </w:style>
  <w:style w:type="paragraph" w:styleId="List">
    <w:name w:val="List"/>
    <w:basedOn w:val="BodyText"/>
    <w:next w:val="BodyText"/>
    <w:rsid w:val="00D50988"/>
    <w:pPr>
      <w:tabs>
        <w:tab w:val="left" w:pos="340"/>
      </w:tabs>
      <w:spacing w:before="60" w:after="60"/>
      <w:ind w:left="340" w:hanging="340"/>
    </w:pPr>
  </w:style>
  <w:style w:type="paragraph" w:customStyle="1" w:styleId="Note">
    <w:name w:val="Note"/>
    <w:basedOn w:val="BodyText"/>
    <w:rsid w:val="00D509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988"/>
    <w:rPr>
      <w:b/>
      <w:spacing w:val="0"/>
    </w:rPr>
  </w:style>
  <w:style w:type="paragraph" w:customStyle="1" w:styleId="SuperTitle">
    <w:name w:val="SuperTitle"/>
    <w:basedOn w:val="Title"/>
    <w:rsid w:val="00D50988"/>
    <w:pPr>
      <w:framePr w:wrap="auto" w:hAnchor="text" w:y="6049"/>
    </w:pPr>
    <w:rPr>
      <w:color w:val="000000"/>
      <w:sz w:val="40"/>
    </w:rPr>
  </w:style>
  <w:style w:type="paragraph" w:customStyle="1" w:styleId="TOCTitle">
    <w:name w:val="TOCTitle"/>
    <w:basedOn w:val="Heading1"/>
    <w:rsid w:val="00D50988"/>
    <w:pPr>
      <w:spacing w:after="240"/>
      <w:jc w:val="center"/>
      <w:outlineLvl w:val="9"/>
    </w:pPr>
    <w:rPr>
      <w:caps/>
    </w:rPr>
  </w:style>
  <w:style w:type="paragraph" w:customStyle="1" w:styleId="Version">
    <w:name w:val="Version"/>
    <w:rsid w:val="00D50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988"/>
    <w:pPr>
      <w:keepNext w:val="0"/>
      <w:tabs>
        <w:tab w:val="right" w:pos="4176"/>
      </w:tabs>
      <w:ind w:left="198" w:hanging="198"/>
    </w:pPr>
    <w:rPr>
      <w:rFonts w:ascii="Garamond" w:hAnsi="Garamond"/>
    </w:rPr>
  </w:style>
  <w:style w:type="paragraph" w:styleId="IndexHeading">
    <w:name w:val="index heading"/>
    <w:basedOn w:val="Normal"/>
    <w:next w:val="Index1"/>
    <w:semiHidden/>
    <w:rsid w:val="00D50988"/>
    <w:pPr>
      <w:spacing w:before="120" w:after="120"/>
    </w:pPr>
    <w:rPr>
      <w:rFonts w:ascii="Arial" w:hAnsi="Arial"/>
      <w:b/>
      <w:color w:val="918585"/>
      <w:sz w:val="24"/>
    </w:rPr>
  </w:style>
  <w:style w:type="paragraph" w:styleId="Header">
    <w:name w:val="header"/>
    <w:basedOn w:val="Normal"/>
    <w:link w:val="HeaderChar"/>
    <w:rsid w:val="00D50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988"/>
    <w:rPr>
      <w:rFonts w:ascii="Times New Roman" w:eastAsia="Times New Roman" w:hAnsi="Times New Roman" w:cs="Times New Roman"/>
      <w:sz w:val="16"/>
      <w:szCs w:val="20"/>
      <w:lang w:val="en-GB" w:eastAsia="en-US"/>
    </w:rPr>
  </w:style>
  <w:style w:type="paragraph" w:customStyle="1" w:styleId="Chapter">
    <w:name w:val="Chapter"/>
    <w:basedOn w:val="Normal"/>
    <w:rsid w:val="00D50988"/>
    <w:pPr>
      <w:spacing w:before="240"/>
    </w:pPr>
    <w:rPr>
      <w:rFonts w:ascii="Times New Roman" w:hAnsi="Times New Roman"/>
      <w:smallCaps/>
      <w:spacing w:val="80"/>
      <w:sz w:val="28"/>
    </w:rPr>
  </w:style>
  <w:style w:type="paragraph" w:customStyle="1" w:styleId="InChapter">
    <w:name w:val="InChapter"/>
    <w:basedOn w:val="Heading3"/>
    <w:rsid w:val="00D50988"/>
    <w:pPr>
      <w:spacing w:after="240"/>
      <w:outlineLvl w:val="9"/>
    </w:pPr>
    <w:rPr>
      <w:noProof/>
    </w:rPr>
  </w:style>
  <w:style w:type="paragraph" w:styleId="Index2">
    <w:name w:val="index 2"/>
    <w:basedOn w:val="Normal"/>
    <w:next w:val="Normal"/>
    <w:semiHidden/>
    <w:rsid w:val="00D50988"/>
    <w:pPr>
      <w:tabs>
        <w:tab w:val="right" w:pos="4176"/>
      </w:tabs>
      <w:ind w:left="568" w:hanging="284"/>
    </w:pPr>
    <w:rPr>
      <w:rFonts w:ascii="Garamond" w:hAnsi="Garamond"/>
    </w:rPr>
  </w:style>
  <w:style w:type="paragraph" w:customStyle="1" w:styleId="Byline">
    <w:name w:val="Byline"/>
    <w:rsid w:val="00D50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988"/>
    <w:pPr>
      <w:tabs>
        <w:tab w:val="clear" w:pos="3600"/>
        <w:tab w:val="clear" w:pos="3958"/>
      </w:tabs>
      <w:jc w:val="right"/>
    </w:pPr>
  </w:style>
  <w:style w:type="character" w:styleId="Emphasis">
    <w:name w:val="Emphasis"/>
    <w:basedOn w:val="DefaultParagraphFont"/>
    <w:qFormat/>
    <w:rsid w:val="00D50988"/>
    <w:rPr>
      <w:i/>
    </w:rPr>
  </w:style>
  <w:style w:type="paragraph" w:styleId="Caption">
    <w:name w:val="caption"/>
    <w:basedOn w:val="BodyText"/>
    <w:next w:val="Normal"/>
    <w:qFormat/>
    <w:rsid w:val="00D50988"/>
    <w:pPr>
      <w:framePr w:w="2268" w:hSpace="181" w:vSpace="181" w:wrap="around" w:vAnchor="text" w:hAnchor="page" w:x="1135" w:y="285" w:anchorLock="1"/>
    </w:pPr>
    <w:rPr>
      <w:i/>
    </w:rPr>
  </w:style>
  <w:style w:type="paragraph" w:customStyle="1" w:styleId="MiniTOCTitle">
    <w:name w:val="MiniTOCTitle"/>
    <w:basedOn w:val="Heading4"/>
    <w:rsid w:val="00D50988"/>
    <w:pPr>
      <w:spacing w:before="240"/>
      <w:outlineLvl w:val="9"/>
    </w:pPr>
    <w:rPr>
      <w:noProof/>
      <w:sz w:val="24"/>
    </w:rPr>
  </w:style>
  <w:style w:type="paragraph" w:customStyle="1" w:styleId="MiniTOCItem">
    <w:name w:val="MiniTOCItem"/>
    <w:basedOn w:val="ListBullet"/>
    <w:rsid w:val="00D50988"/>
    <w:pPr>
      <w:numPr>
        <w:numId w:val="0"/>
      </w:numPr>
      <w:tabs>
        <w:tab w:val="right" w:leader="dot" w:pos="6521"/>
      </w:tabs>
      <w:spacing w:before="0" w:after="0"/>
    </w:pPr>
  </w:style>
  <w:style w:type="paragraph" w:customStyle="1" w:styleId="TOFTitle">
    <w:name w:val="TOFTitle"/>
    <w:basedOn w:val="TOCTitle"/>
    <w:rsid w:val="00D50988"/>
  </w:style>
  <w:style w:type="paragraph" w:styleId="TableofFigures">
    <w:name w:val="table of figures"/>
    <w:basedOn w:val="Normal"/>
    <w:next w:val="Normal"/>
    <w:semiHidden/>
    <w:rsid w:val="00D50988"/>
    <w:pPr>
      <w:tabs>
        <w:tab w:val="right" w:leader="dot" w:pos="9072"/>
      </w:tabs>
      <w:ind w:left="970" w:hanging="403"/>
    </w:pPr>
    <w:rPr>
      <w:rFonts w:ascii="Times New Roman" w:hAnsi="Times New Roman"/>
      <w:b/>
    </w:rPr>
  </w:style>
  <w:style w:type="paragraph" w:styleId="ListNumber">
    <w:name w:val="List Number"/>
    <w:basedOn w:val="List"/>
    <w:rsid w:val="00D50988"/>
    <w:pPr>
      <w:numPr>
        <w:numId w:val="15"/>
      </w:numPr>
      <w:tabs>
        <w:tab w:val="clear" w:pos="340"/>
      </w:tabs>
    </w:pPr>
  </w:style>
  <w:style w:type="character" w:customStyle="1" w:styleId="WingdingSymbols">
    <w:name w:val="Wingding Symbols"/>
    <w:rsid w:val="00D50988"/>
    <w:rPr>
      <w:rFonts w:ascii="Wingdings" w:hAnsi="Wingdings"/>
    </w:rPr>
  </w:style>
  <w:style w:type="paragraph" w:customStyle="1" w:styleId="TableHeading">
    <w:name w:val="Table Heading"/>
    <w:basedOn w:val="HeadingBase"/>
    <w:rsid w:val="00D50988"/>
    <w:pPr>
      <w:keepLines/>
      <w:pBdr>
        <w:bottom w:val="single" w:sz="6" w:space="1" w:color="918585"/>
      </w:pBdr>
      <w:spacing w:before="240"/>
    </w:pPr>
  </w:style>
  <w:style w:type="character" w:customStyle="1" w:styleId="HotSpot">
    <w:name w:val="HotSpot"/>
    <w:rsid w:val="00D50988"/>
    <w:rPr>
      <w:color w:val="0033CC"/>
      <w:u w:val="none"/>
    </w:rPr>
  </w:style>
  <w:style w:type="paragraph" w:customStyle="1" w:styleId="BodyTextRight">
    <w:name w:val="Body Text Right"/>
    <w:basedOn w:val="BodyText"/>
    <w:rsid w:val="00D50988"/>
    <w:pPr>
      <w:spacing w:before="0" w:after="0"/>
      <w:jc w:val="right"/>
    </w:pPr>
  </w:style>
  <w:style w:type="paragraph" w:styleId="Index3">
    <w:name w:val="index 3"/>
    <w:basedOn w:val="ListNumber2"/>
    <w:next w:val="Normal"/>
    <w:semiHidden/>
    <w:rsid w:val="00D50988"/>
    <w:pPr>
      <w:numPr>
        <w:numId w:val="0"/>
      </w:numPr>
      <w:tabs>
        <w:tab w:val="right" w:leader="dot" w:pos="4176"/>
      </w:tabs>
    </w:pPr>
  </w:style>
  <w:style w:type="paragraph" w:styleId="ListNumber2">
    <w:name w:val="List Number 2"/>
    <w:basedOn w:val="List2"/>
    <w:rsid w:val="00D50988"/>
    <w:pPr>
      <w:numPr>
        <w:numId w:val="10"/>
      </w:numPr>
      <w:tabs>
        <w:tab w:val="clear" w:pos="1060"/>
      </w:tabs>
    </w:pPr>
  </w:style>
  <w:style w:type="paragraph" w:customStyle="1" w:styleId="MarginNote">
    <w:name w:val="Margin Note"/>
    <w:basedOn w:val="BodyText"/>
    <w:rsid w:val="00D50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988"/>
    <w:rPr>
      <w:sz w:val="32"/>
    </w:rPr>
  </w:style>
  <w:style w:type="paragraph" w:customStyle="1" w:styleId="HeadingProcedure">
    <w:name w:val="Heading Procedure"/>
    <w:basedOn w:val="HeadingBase"/>
    <w:next w:val="Normal"/>
    <w:rsid w:val="00D50988"/>
    <w:pPr>
      <w:tabs>
        <w:tab w:val="left" w:pos="0"/>
      </w:tabs>
      <w:spacing w:before="120" w:after="60"/>
    </w:pPr>
    <w:rPr>
      <w:i/>
      <w:color w:val="918585"/>
      <w:sz w:val="22"/>
    </w:rPr>
  </w:style>
  <w:style w:type="paragraph" w:customStyle="1" w:styleId="TableBodyText">
    <w:name w:val="Table Body Text"/>
    <w:basedOn w:val="BodyText"/>
    <w:rsid w:val="00D50988"/>
    <w:pPr>
      <w:spacing w:before="60" w:after="60"/>
    </w:pPr>
  </w:style>
  <w:style w:type="paragraph" w:styleId="ListContinue">
    <w:name w:val="List Continue"/>
    <w:basedOn w:val="List"/>
    <w:rsid w:val="00D50988"/>
    <w:pPr>
      <w:ind w:firstLine="0"/>
    </w:pPr>
  </w:style>
  <w:style w:type="paragraph" w:customStyle="1" w:styleId="ListNote">
    <w:name w:val="List Note"/>
    <w:basedOn w:val="List"/>
    <w:rsid w:val="00D50988"/>
    <w:pPr>
      <w:pBdr>
        <w:top w:val="single" w:sz="6" w:space="2" w:color="918585"/>
        <w:bottom w:val="single" w:sz="6" w:space="2" w:color="918585"/>
      </w:pBdr>
      <w:tabs>
        <w:tab w:val="left" w:pos="1021"/>
      </w:tabs>
      <w:ind w:firstLine="0"/>
    </w:pPr>
  </w:style>
  <w:style w:type="paragraph" w:customStyle="1" w:styleId="Warning">
    <w:name w:val="Warning"/>
    <w:basedOn w:val="BodyText"/>
    <w:rsid w:val="00D50988"/>
    <w:pPr>
      <w:shd w:val="clear" w:color="auto" w:fill="D9D9D9"/>
      <w:tabs>
        <w:tab w:val="left" w:pos="992"/>
      </w:tabs>
      <w:ind w:left="119" w:right="119"/>
    </w:pPr>
    <w:rPr>
      <w:sz w:val="20"/>
    </w:rPr>
  </w:style>
  <w:style w:type="paragraph" w:customStyle="1" w:styleId="MarginIcons">
    <w:name w:val="Margin Icons"/>
    <w:basedOn w:val="BodyText"/>
    <w:rsid w:val="00D50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988"/>
    <w:rPr>
      <w:rFonts w:ascii="Courier New" w:hAnsi="Courier New"/>
    </w:rPr>
  </w:style>
  <w:style w:type="paragraph" w:customStyle="1" w:styleId="NoteBullet">
    <w:name w:val="Note Bullet"/>
    <w:basedOn w:val="Note"/>
    <w:rsid w:val="00D50988"/>
    <w:pPr>
      <w:tabs>
        <w:tab w:val="clear" w:pos="680"/>
      </w:tabs>
      <w:spacing w:before="60" w:after="60"/>
    </w:pPr>
  </w:style>
  <w:style w:type="paragraph" w:customStyle="1" w:styleId="SubHeading2">
    <w:name w:val="SubHeading2"/>
    <w:basedOn w:val="HeadingBase"/>
    <w:rsid w:val="00D50988"/>
    <w:pPr>
      <w:spacing w:before="240" w:after="60"/>
    </w:pPr>
    <w:rPr>
      <w:sz w:val="20"/>
    </w:rPr>
  </w:style>
  <w:style w:type="paragraph" w:customStyle="1" w:styleId="SubHeading1">
    <w:name w:val="SubHeading1"/>
    <w:basedOn w:val="HeadingBase"/>
    <w:rsid w:val="00D50988"/>
    <w:pPr>
      <w:spacing w:before="240" w:after="60"/>
    </w:pPr>
    <w:rPr>
      <w:color w:val="918585"/>
      <w:sz w:val="22"/>
    </w:rPr>
  </w:style>
  <w:style w:type="paragraph" w:customStyle="1" w:styleId="SideHeading">
    <w:name w:val="Side Heading"/>
    <w:basedOn w:val="HeadingBase"/>
    <w:rsid w:val="00D50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988"/>
    <w:pPr>
      <w:tabs>
        <w:tab w:val="num" w:pos="360"/>
      </w:tabs>
    </w:pPr>
  </w:style>
  <w:style w:type="paragraph" w:styleId="PlainText">
    <w:name w:val="Plain Text"/>
    <w:basedOn w:val="Normal"/>
    <w:link w:val="PlainTextChar"/>
    <w:rsid w:val="00D50988"/>
    <w:rPr>
      <w:sz w:val="20"/>
    </w:rPr>
  </w:style>
  <w:style w:type="character" w:customStyle="1" w:styleId="PlainTextChar">
    <w:name w:val="Plain Text Char"/>
    <w:basedOn w:val="DefaultParagraphFont"/>
    <w:link w:val="PlainText"/>
    <w:rsid w:val="00D50988"/>
    <w:rPr>
      <w:rFonts w:ascii="Courier New" w:eastAsia="Times New Roman" w:hAnsi="Courier New" w:cs="Times New Roman"/>
      <w:sz w:val="20"/>
      <w:szCs w:val="20"/>
      <w:lang w:eastAsia="en-US"/>
    </w:rPr>
  </w:style>
  <w:style w:type="character" w:customStyle="1" w:styleId="MenuOption">
    <w:name w:val="Menu Option"/>
    <w:basedOn w:val="DefaultParagraphFont"/>
    <w:rsid w:val="00D50988"/>
    <w:rPr>
      <w:b/>
      <w:smallCaps/>
    </w:rPr>
  </w:style>
  <w:style w:type="paragraph" w:customStyle="1" w:styleId="TableListNumber">
    <w:name w:val="Table List Number"/>
    <w:basedOn w:val="ListNumber"/>
    <w:rsid w:val="00D50988"/>
    <w:pPr>
      <w:numPr>
        <w:numId w:val="0"/>
      </w:numPr>
    </w:pPr>
  </w:style>
  <w:style w:type="paragraph" w:styleId="TOC4">
    <w:name w:val="toc 4"/>
    <w:basedOn w:val="TOCBase"/>
    <w:next w:val="Normal"/>
    <w:semiHidden/>
    <w:rsid w:val="00D50988"/>
    <w:pPr>
      <w:tabs>
        <w:tab w:val="right" w:leader="dot" w:pos="9071"/>
      </w:tabs>
      <w:ind w:left="1701"/>
    </w:pPr>
  </w:style>
  <w:style w:type="paragraph" w:customStyle="1" w:styleId="ListAlpha">
    <w:name w:val="List Alpha"/>
    <w:basedOn w:val="List"/>
    <w:rsid w:val="00D50988"/>
    <w:pPr>
      <w:numPr>
        <w:numId w:val="9"/>
      </w:numPr>
    </w:pPr>
  </w:style>
  <w:style w:type="paragraph" w:customStyle="1" w:styleId="ListAlpha2">
    <w:name w:val="List Alpha 2"/>
    <w:basedOn w:val="List2"/>
    <w:rsid w:val="00D50988"/>
    <w:pPr>
      <w:numPr>
        <w:numId w:val="8"/>
      </w:numPr>
    </w:pPr>
  </w:style>
  <w:style w:type="paragraph" w:styleId="List2">
    <w:name w:val="List 2"/>
    <w:basedOn w:val="BodyText"/>
    <w:rsid w:val="00D50988"/>
    <w:pPr>
      <w:tabs>
        <w:tab w:val="left" w:pos="680"/>
      </w:tabs>
      <w:spacing w:before="60" w:after="60"/>
      <w:ind w:left="680" w:hanging="340"/>
    </w:pPr>
  </w:style>
  <w:style w:type="paragraph" w:styleId="List3">
    <w:name w:val="List 3"/>
    <w:basedOn w:val="BodyText"/>
    <w:rsid w:val="00D50988"/>
    <w:pPr>
      <w:tabs>
        <w:tab w:val="left" w:pos="1021"/>
      </w:tabs>
      <w:spacing w:before="60" w:after="60"/>
      <w:ind w:left="1020" w:hanging="340"/>
    </w:pPr>
  </w:style>
  <w:style w:type="paragraph" w:styleId="List4">
    <w:name w:val="List 4"/>
    <w:basedOn w:val="BodyText"/>
    <w:rsid w:val="00D50988"/>
    <w:pPr>
      <w:tabs>
        <w:tab w:val="left" w:pos="1361"/>
      </w:tabs>
      <w:spacing w:before="60" w:after="60"/>
      <w:ind w:left="1361" w:hanging="340"/>
    </w:pPr>
  </w:style>
  <w:style w:type="paragraph" w:styleId="List5">
    <w:name w:val="List 5"/>
    <w:basedOn w:val="BodyText"/>
    <w:rsid w:val="00D50988"/>
    <w:pPr>
      <w:tabs>
        <w:tab w:val="left" w:pos="1701"/>
      </w:tabs>
      <w:spacing w:before="60" w:after="60"/>
      <w:ind w:left="1701" w:hanging="340"/>
    </w:pPr>
  </w:style>
  <w:style w:type="paragraph" w:styleId="ListBullet3">
    <w:name w:val="List Bullet 3"/>
    <w:basedOn w:val="List3"/>
    <w:rsid w:val="00D50988"/>
    <w:pPr>
      <w:numPr>
        <w:numId w:val="14"/>
      </w:numPr>
      <w:tabs>
        <w:tab w:val="clear" w:pos="1021"/>
      </w:tabs>
      <w:ind w:left="1037" w:hanging="357"/>
    </w:pPr>
  </w:style>
  <w:style w:type="paragraph" w:styleId="ListBullet4">
    <w:name w:val="List Bullet 4"/>
    <w:basedOn w:val="List4"/>
    <w:rsid w:val="00D50988"/>
    <w:pPr>
      <w:numPr>
        <w:numId w:val="3"/>
      </w:numPr>
      <w:tabs>
        <w:tab w:val="clear" w:pos="1361"/>
      </w:tabs>
    </w:pPr>
  </w:style>
  <w:style w:type="paragraph" w:styleId="ListBullet5">
    <w:name w:val="List Bullet 5"/>
    <w:basedOn w:val="List5"/>
    <w:rsid w:val="00D50988"/>
    <w:pPr>
      <w:numPr>
        <w:numId w:val="4"/>
      </w:numPr>
    </w:pPr>
  </w:style>
  <w:style w:type="paragraph" w:styleId="ListContinue2">
    <w:name w:val="List Continue 2"/>
    <w:basedOn w:val="List2"/>
    <w:rsid w:val="00D50988"/>
    <w:pPr>
      <w:ind w:firstLine="0"/>
    </w:pPr>
  </w:style>
  <w:style w:type="paragraph" w:styleId="ListContinue3">
    <w:name w:val="List Continue 3"/>
    <w:basedOn w:val="List3"/>
    <w:rsid w:val="00D50988"/>
    <w:pPr>
      <w:ind w:left="1021" w:firstLine="0"/>
    </w:pPr>
  </w:style>
  <w:style w:type="paragraph" w:styleId="ListContinue4">
    <w:name w:val="List Continue 4"/>
    <w:basedOn w:val="List4"/>
    <w:rsid w:val="00D50988"/>
    <w:pPr>
      <w:ind w:firstLine="0"/>
    </w:pPr>
  </w:style>
  <w:style w:type="paragraph" w:styleId="ListContinue5">
    <w:name w:val="List Continue 5"/>
    <w:basedOn w:val="List5"/>
    <w:rsid w:val="00D50988"/>
    <w:pPr>
      <w:ind w:firstLine="0"/>
    </w:pPr>
  </w:style>
  <w:style w:type="paragraph" w:styleId="ListNumber3">
    <w:name w:val="List Number 3"/>
    <w:basedOn w:val="List3"/>
    <w:rsid w:val="00D50988"/>
    <w:pPr>
      <w:numPr>
        <w:numId w:val="5"/>
      </w:numPr>
    </w:pPr>
  </w:style>
  <w:style w:type="paragraph" w:styleId="ListNumber4">
    <w:name w:val="List Number 4"/>
    <w:basedOn w:val="List4"/>
    <w:rsid w:val="00D50988"/>
    <w:pPr>
      <w:numPr>
        <w:numId w:val="6"/>
      </w:numPr>
    </w:pPr>
  </w:style>
  <w:style w:type="paragraph" w:styleId="ListNumber5">
    <w:name w:val="List Number 5"/>
    <w:basedOn w:val="List5"/>
    <w:rsid w:val="00D50988"/>
    <w:pPr>
      <w:numPr>
        <w:numId w:val="7"/>
      </w:numPr>
    </w:pPr>
  </w:style>
  <w:style w:type="paragraph" w:styleId="BlockText">
    <w:name w:val="Block Text"/>
    <w:basedOn w:val="Normal"/>
    <w:rsid w:val="00D50988"/>
    <w:pPr>
      <w:spacing w:after="120"/>
      <w:ind w:left="1440" w:right="1440"/>
    </w:pPr>
  </w:style>
  <w:style w:type="character" w:customStyle="1" w:styleId="Subscript">
    <w:name w:val="Subscript"/>
    <w:basedOn w:val="DefaultParagraphFont"/>
    <w:rsid w:val="00D50988"/>
    <w:rPr>
      <w:sz w:val="16"/>
      <w:vertAlign w:val="subscript"/>
    </w:rPr>
  </w:style>
  <w:style w:type="character" w:customStyle="1" w:styleId="Superscript">
    <w:name w:val="Superscript"/>
    <w:basedOn w:val="DefaultParagraphFont"/>
    <w:rsid w:val="00D50988"/>
    <w:rPr>
      <w:sz w:val="16"/>
      <w:vertAlign w:val="superscript"/>
    </w:rPr>
  </w:style>
  <w:style w:type="character" w:customStyle="1" w:styleId="Symbols">
    <w:name w:val="Symbols"/>
    <w:basedOn w:val="DefaultParagraphFont"/>
    <w:rsid w:val="00D50988"/>
    <w:rPr>
      <w:rFonts w:ascii="Symbol" w:hAnsi="Symbol"/>
    </w:rPr>
  </w:style>
  <w:style w:type="character" w:customStyle="1" w:styleId="MenuOptions">
    <w:name w:val="Menu Options"/>
    <w:basedOn w:val="DefaultParagraphFont"/>
    <w:rsid w:val="00D50988"/>
    <w:rPr>
      <w:rFonts w:ascii="Arial Narrow" w:hAnsi="Arial Narrow"/>
      <w:smallCaps/>
    </w:rPr>
  </w:style>
  <w:style w:type="character" w:customStyle="1" w:styleId="Buttons">
    <w:name w:val="Buttons"/>
    <w:basedOn w:val="DefaultParagraphFont"/>
    <w:rsid w:val="00D50988"/>
    <w:rPr>
      <w:b/>
    </w:rPr>
  </w:style>
  <w:style w:type="character" w:customStyle="1" w:styleId="Underlined">
    <w:name w:val="Underlined"/>
    <w:basedOn w:val="DefaultParagraphFont"/>
    <w:rsid w:val="00D50988"/>
    <w:rPr>
      <w:u w:val="single"/>
    </w:rPr>
  </w:style>
  <w:style w:type="paragraph" w:customStyle="1" w:styleId="TableBodyTextRight">
    <w:name w:val="Table Body Text Right"/>
    <w:basedOn w:val="TableBodyText"/>
    <w:rsid w:val="00D50988"/>
    <w:pPr>
      <w:widowControl w:val="0"/>
      <w:autoSpaceDE w:val="0"/>
      <w:autoSpaceDN w:val="0"/>
      <w:adjustRightInd w:val="0"/>
      <w:jc w:val="right"/>
    </w:pPr>
    <w:rPr>
      <w:rFonts w:cs="Arial"/>
      <w:szCs w:val="18"/>
    </w:rPr>
  </w:style>
  <w:style w:type="paragraph" w:customStyle="1" w:styleId="CopyrightText">
    <w:name w:val="Copyright Text"/>
    <w:basedOn w:val="BodyText"/>
    <w:rsid w:val="00D50988"/>
    <w:rPr>
      <w:sz w:val="18"/>
    </w:rPr>
  </w:style>
  <w:style w:type="paragraph" w:customStyle="1" w:styleId="BodySmallRight">
    <w:name w:val="Body Small Right"/>
    <w:basedOn w:val="BodyTextRight"/>
    <w:rsid w:val="00D50988"/>
    <w:rPr>
      <w:sz w:val="18"/>
      <w:szCs w:val="18"/>
    </w:rPr>
  </w:style>
  <w:style w:type="paragraph" w:customStyle="1" w:styleId="MarginEdition">
    <w:name w:val="Margin Edition"/>
    <w:basedOn w:val="MarginNote"/>
    <w:rsid w:val="00D50988"/>
    <w:pPr>
      <w:spacing w:before="0" w:after="0"/>
    </w:pPr>
    <w:rPr>
      <w:rFonts w:ascii="Times New Roman" w:hAnsi="Times New Roman"/>
      <w:color w:val="999999"/>
    </w:rPr>
  </w:style>
  <w:style w:type="paragraph" w:customStyle="1" w:styleId="Spacer">
    <w:name w:val="Spacer"/>
    <w:basedOn w:val="Normal"/>
    <w:rsid w:val="00D50988"/>
    <w:rPr>
      <w:sz w:val="2"/>
      <w:szCs w:val="2"/>
    </w:rPr>
  </w:style>
  <w:style w:type="character" w:customStyle="1" w:styleId="Small">
    <w:name w:val="Small"/>
    <w:basedOn w:val="DefaultParagraphFont"/>
    <w:rsid w:val="00D50988"/>
    <w:rPr>
      <w:sz w:val="16"/>
    </w:rPr>
  </w:style>
  <w:style w:type="paragraph" w:customStyle="1" w:styleId="WideTable">
    <w:name w:val="Wide Table"/>
    <w:basedOn w:val="Normal"/>
    <w:rsid w:val="00D50988"/>
    <w:pPr>
      <w:ind w:left="-1418"/>
    </w:pPr>
    <w:rPr>
      <w:sz w:val="2"/>
      <w:szCs w:val="2"/>
    </w:rPr>
  </w:style>
  <w:style w:type="character" w:styleId="PageNumber">
    <w:name w:val="page number"/>
    <w:basedOn w:val="DefaultParagraphFont"/>
    <w:rsid w:val="00D50988"/>
  </w:style>
  <w:style w:type="paragraph" w:styleId="Quote">
    <w:name w:val="Quote"/>
    <w:basedOn w:val="Heading1"/>
    <w:link w:val="QuoteChar"/>
    <w:qFormat/>
    <w:rsid w:val="00D50988"/>
    <w:rPr>
      <w:b w:val="0"/>
      <w:sz w:val="72"/>
      <w:szCs w:val="72"/>
      <w:lang w:val="en-NZ"/>
    </w:rPr>
  </w:style>
  <w:style w:type="character" w:customStyle="1" w:styleId="QuoteChar">
    <w:name w:val="Quote Char"/>
    <w:basedOn w:val="DefaultParagraphFont"/>
    <w:link w:val="Quote"/>
    <w:rsid w:val="00D50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988"/>
    <w:pPr>
      <w:pageBreakBefore/>
    </w:pPr>
  </w:style>
  <w:style w:type="paragraph" w:customStyle="1" w:styleId="Border">
    <w:name w:val="Border"/>
    <w:basedOn w:val="Normal"/>
    <w:qFormat/>
    <w:rsid w:val="00D50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988"/>
    <w:rPr>
      <w:b/>
      <w:bCs/>
      <w:i/>
      <w:iCs/>
      <w:color w:val="auto"/>
    </w:rPr>
  </w:style>
  <w:style w:type="paragraph" w:styleId="IntenseQuote">
    <w:name w:val="Intense Quote"/>
    <w:basedOn w:val="Normal"/>
    <w:next w:val="Normal"/>
    <w:link w:val="IntenseQuoteChar"/>
    <w:uiPriority w:val="30"/>
    <w:qFormat/>
    <w:rsid w:val="00D50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988"/>
    <w:rPr>
      <w:smallCaps/>
      <w:color w:val="auto"/>
      <w:u w:val="single"/>
    </w:rPr>
  </w:style>
  <w:style w:type="character" w:styleId="IntenseReference">
    <w:name w:val="Intense Reference"/>
    <w:basedOn w:val="DefaultParagraphFont"/>
    <w:uiPriority w:val="32"/>
    <w:qFormat/>
    <w:rsid w:val="00D50988"/>
    <w:rPr>
      <w:b/>
      <w:bCs/>
      <w:smallCaps/>
      <w:color w:val="auto"/>
      <w:spacing w:val="5"/>
      <w:u w:val="single"/>
    </w:rPr>
  </w:style>
  <w:style w:type="paragraph" w:customStyle="1" w:styleId="2ColumnHeading">
    <w:name w:val="2Column Heading"/>
    <w:basedOn w:val="BodyText"/>
    <w:qFormat/>
    <w:rsid w:val="00D50988"/>
    <w:pPr>
      <w:spacing w:after="60"/>
      <w:ind w:left="-2268"/>
    </w:pPr>
    <w:rPr>
      <w:b/>
    </w:rPr>
  </w:style>
  <w:style w:type="paragraph" w:customStyle="1" w:styleId="Heading1TOC">
    <w:name w:val="Heading1 TOC"/>
    <w:basedOn w:val="Normal"/>
    <w:qFormat/>
    <w:rsid w:val="00D50988"/>
    <w:pPr>
      <w:spacing w:before="240" w:after="120"/>
    </w:pPr>
    <w:rPr>
      <w:rFonts w:ascii="Times New Roman" w:hAnsi="Times New Roman"/>
      <w:b/>
      <w:sz w:val="32"/>
    </w:rPr>
  </w:style>
  <w:style w:type="paragraph" w:customStyle="1" w:styleId="Heading2TOC">
    <w:name w:val="Heading2 TOC"/>
    <w:basedOn w:val="Normal"/>
    <w:qFormat/>
    <w:rsid w:val="00D50988"/>
    <w:pPr>
      <w:spacing w:before="240" w:after="60"/>
    </w:pPr>
    <w:rPr>
      <w:rFonts w:ascii="Times New Roman" w:hAnsi="Times New Roman"/>
      <w:b/>
      <w:sz w:val="28"/>
    </w:rPr>
  </w:style>
  <w:style w:type="character" w:customStyle="1" w:styleId="Underline">
    <w:name w:val="Underline"/>
    <w:basedOn w:val="DefaultParagraphFont"/>
    <w:qFormat/>
    <w:rsid w:val="00D50988"/>
    <w:rPr>
      <w:u w:val="single"/>
    </w:rPr>
  </w:style>
  <w:style w:type="character" w:customStyle="1" w:styleId="BoldandItalics">
    <w:name w:val="Bold and Italics"/>
    <w:qFormat/>
    <w:rsid w:val="00D50988"/>
    <w:rPr>
      <w:b/>
      <w:i/>
      <w:u w:val="none"/>
    </w:rPr>
  </w:style>
  <w:style w:type="paragraph" w:styleId="BalloonText">
    <w:name w:val="Balloon Text"/>
    <w:basedOn w:val="Normal"/>
    <w:link w:val="BalloonTextChar"/>
    <w:rsid w:val="00D50988"/>
    <w:rPr>
      <w:rFonts w:ascii="Tahoma" w:hAnsi="Tahoma" w:cs="Tahoma"/>
      <w:sz w:val="16"/>
      <w:szCs w:val="16"/>
    </w:rPr>
  </w:style>
  <w:style w:type="character" w:customStyle="1" w:styleId="BalloonTextChar">
    <w:name w:val="Balloon Text Char"/>
    <w:basedOn w:val="DefaultParagraphFont"/>
    <w:link w:val="BalloonText"/>
    <w:rsid w:val="00D50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988"/>
    <w:rPr>
      <w:b/>
      <w:color w:val="660033"/>
      <w:spacing w:val="0"/>
    </w:rPr>
  </w:style>
  <w:style w:type="paragraph" w:customStyle="1" w:styleId="Nameditemlist">
    <w:name w:val="Named item list"/>
    <w:basedOn w:val="BodyText"/>
    <w:qFormat/>
    <w:rsid w:val="00D50988"/>
    <w:pPr>
      <w:tabs>
        <w:tab w:val="left" w:pos="2835"/>
      </w:tabs>
      <w:ind w:left="2835" w:hanging="2835"/>
    </w:pPr>
  </w:style>
  <w:style w:type="paragraph" w:customStyle="1" w:styleId="BodyTextnopadding">
    <w:name w:val="Body Text no padding"/>
    <w:basedOn w:val="BodyText"/>
    <w:qFormat/>
    <w:rsid w:val="00D50988"/>
    <w:pPr>
      <w:spacing w:before="0" w:after="0"/>
    </w:pPr>
  </w:style>
  <w:style w:type="paragraph" w:customStyle="1" w:styleId="BodyTextBold">
    <w:name w:val="Body Text Bold"/>
    <w:basedOn w:val="BodyText"/>
    <w:qFormat/>
    <w:rsid w:val="00D50988"/>
    <w:rPr>
      <w:b/>
    </w:rPr>
  </w:style>
  <w:style w:type="character" w:styleId="Hyperlink">
    <w:name w:val="Hyperlink"/>
    <w:basedOn w:val="DefaultParagraphFont"/>
    <w:uiPriority w:val="99"/>
    <w:unhideWhenUsed/>
    <w:rsid w:val="00243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6218</Characters>
  <Application>Microsoft Office Word</Application>
  <DocSecurity>0</DocSecurity>
  <Lines>159</Lines>
  <Paragraphs>113</Paragraphs>
  <ScaleCrop>false</ScaleCrop>
  <Company>Author-it Software Corporation Ltd.</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RIICWD521D Prepare detailed design of flexible pavements</dc:title>
  <dc:subject>Approved</dc:subject>
  <dc:creator>PwC’s Skills for Australia</dc:creator>
  <cp:keywords>Release: 2</cp:keywords>
  <dc:description>Review Date: 12 April 2008</dc:description>
  <cp:lastModifiedBy>HSD_TPCMSd.prod</cp:lastModifiedBy>
  <cp:revision>3</cp:revision>
  <dcterms:created xsi:type="dcterms:W3CDTF">2020-09-23T08:30:00Z</dcterms:created>
  <dcterms:modified xsi:type="dcterms:W3CDTF">2020-09-23T08:30:00Z</dcterms:modified>
</cp:coreProperties>
</file>