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4E1" w:rsidP="00347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RIICTT307D Spray linings for existing pipeline systems</w:t>
      </w:r>
      <w:r>
        <w:fldChar w:fldCharType="end"/>
      </w:r>
    </w:p>
    <w:p w:rsidR="003474E1" w:rsidP="003474E1">
      <w:pPr>
        <w:pStyle w:val="Version"/>
        <w:sectPr w:rsidSect="00103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39E2" w:rsidP="001039E2">
      <w:pPr>
        <w:pStyle w:val="SuperHeading"/>
      </w:pPr>
      <w:r w:rsidRPr="001039E2">
        <w:t>Assessment Requirements for RIICTT307D Spray linings for existing pipeline systems</w:t>
      </w:r>
    </w:p>
    <w:p w:rsidR="00000000" w:rsidRPr="001039E2" w:rsidP="001039E2">
      <w:pPr>
        <w:pStyle w:val="Heading1"/>
      </w:pPr>
      <w:bookmarkStart w:id="1" w:name="O_684255"/>
      <w:bookmarkEnd w:id="1"/>
      <w:r w:rsidRPr="001039E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474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Comment</w:t>
            </w:r>
          </w:p>
        </w:tc>
      </w:tr>
      <w:tr w:rsidTr="003474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This unit replaces RIICTT307A Spray linings for existing pipeline systems</w:t>
            </w:r>
          </w:p>
        </w:tc>
      </w:tr>
      <w:tr w:rsidTr="003474E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9E2" w:rsidP="001039E2">
            <w:pPr>
              <w:pStyle w:val="BodyText"/>
            </w:pPr>
            <w:r w:rsidRPr="001039E2">
              <w:t>Required frequency and volume of evidence amended in Performance evidence.</w:t>
            </w:r>
          </w:p>
          <w:p w:rsidR="00000000" w:rsidRPr="001039E2" w:rsidP="001039E2">
            <w:pPr>
              <w:pStyle w:val="BodyText"/>
            </w:pPr>
            <w:r w:rsidRPr="001039E2">
              <w:t>Substantial amendments made in Assessment Conditions field, including: references to Industry Sectors, assessor and subject matter expert experience requirements, how assessment sho</w:t>
            </w:r>
            <w:r w:rsidRPr="001039E2">
              <w:t>uld be conducted and what it should confirm.</w:t>
            </w:r>
          </w:p>
        </w:tc>
      </w:tr>
    </w:tbl>
    <w:p w:rsidR="00000000" w:rsidRPr="001039E2" w:rsidP="001039E2">
      <w:pPr>
        <w:pStyle w:val="BodyText"/>
      </w:pPr>
    </w:p>
    <w:p w:rsidR="00000000" w:rsidRPr="001039E2" w:rsidP="001039E2">
      <w:pPr>
        <w:pStyle w:val="AllowPageBreak"/>
      </w:pPr>
    </w:p>
    <w:p w:rsidR="00000000" w:rsidRPr="001039E2" w:rsidP="001039E2">
      <w:pPr>
        <w:pStyle w:val="Heading1"/>
      </w:pPr>
      <w:bookmarkStart w:id="2" w:name="O_684254"/>
      <w:bookmarkEnd w:id="2"/>
      <w:r w:rsidRPr="001039E2">
        <w:t>Performance Evidence</w:t>
      </w:r>
    </w:p>
    <w:p w:rsidR="00000000" w:rsidRPr="001039E2" w:rsidP="003474E1">
      <w:pPr>
        <w:pStyle w:val="BodyText"/>
      </w:pPr>
      <w:r w:rsidRPr="001039E2">
        <w:t>Evidence is required to be collected that demonstrates a candidate’s competency in this unit. Evidence must be relevant to the roles within this sector’s work operations a</w:t>
      </w:r>
      <w:r w:rsidRPr="001039E2">
        <w:t>nd satisfy all of the requirements of the performance criteria of this unit and include evidence that the candidate:</w:t>
      </w:r>
    </w:p>
    <w:p w:rsidR="00000000" w:rsidRPr="001039E2" w:rsidP="001039E2">
      <w:pPr>
        <w:pStyle w:val="ListBullet"/>
      </w:pPr>
      <w:r w:rsidRPr="001039E2">
        <w:t>locates and applies applicable documentation, policies and procedures</w:t>
      </w:r>
    </w:p>
    <w:p w:rsidR="00000000" w:rsidRPr="001039E2" w:rsidP="001039E2">
      <w:pPr>
        <w:pStyle w:val="ListBullet"/>
      </w:pPr>
      <w:r w:rsidRPr="001039E2">
        <w:t xml:space="preserve">implements the requirements, procedures and techniques </w:t>
      </w:r>
      <w:r w:rsidRPr="001039E2">
        <w:t>for the safe, effective and efficient spraying of linings for existing pipeline systems including:</w:t>
      </w:r>
    </w:p>
    <w:p w:rsidR="00000000" w:rsidRPr="001039E2" w:rsidP="001039E2">
      <w:pPr>
        <w:pStyle w:val="ListBullet2"/>
      </w:pPr>
      <w:r w:rsidRPr="001039E2">
        <w:t>selecting and using the required tools and equipment</w:t>
      </w:r>
    </w:p>
    <w:p w:rsidR="00000000" w:rsidRPr="001039E2" w:rsidP="001039E2">
      <w:pPr>
        <w:pStyle w:val="ListBullet2"/>
      </w:pPr>
      <w:r w:rsidRPr="001039E2">
        <w:t>determining site conditions and locating underground utilities</w:t>
      </w:r>
    </w:p>
    <w:p w:rsidR="00000000" w:rsidRPr="001039E2" w:rsidP="001039E2">
      <w:pPr>
        <w:pStyle w:val="ListBullet2"/>
      </w:pPr>
      <w:r w:rsidRPr="001039E2">
        <w:t>preparing exit and entry pits</w:t>
      </w:r>
    </w:p>
    <w:p w:rsidR="00000000" w:rsidRPr="001039E2" w:rsidP="001039E2">
      <w:pPr>
        <w:pStyle w:val="ListBullet2"/>
      </w:pPr>
      <w:r w:rsidRPr="001039E2">
        <w:t>undertakin</w:t>
      </w:r>
      <w:r w:rsidRPr="001039E2">
        <w:t>g confined space entry</w:t>
      </w:r>
    </w:p>
    <w:p w:rsidR="00000000" w:rsidRPr="001039E2" w:rsidP="001039E2">
      <w:pPr>
        <w:pStyle w:val="ListBullet2"/>
      </w:pPr>
      <w:r w:rsidRPr="001039E2">
        <w:t>identifying and spray lining methods</w:t>
      </w:r>
    </w:p>
    <w:p w:rsidR="00000000" w:rsidRPr="001039E2" w:rsidP="001039E2">
      <w:pPr>
        <w:pStyle w:val="ListBullet2"/>
      </w:pPr>
      <w:r w:rsidRPr="001039E2">
        <w:t>monitoring installation process and the finished product</w:t>
      </w:r>
    </w:p>
    <w:p w:rsidR="00000000" w:rsidRPr="001039E2" w:rsidP="001039E2">
      <w:pPr>
        <w:pStyle w:val="ListBullet"/>
      </w:pPr>
      <w:r w:rsidRPr="001039E2">
        <w:t>works effectively with others to undertake and complete the spray linings for existing pipeline systems that meets all of the required out</w:t>
      </w:r>
      <w:r w:rsidRPr="001039E2">
        <w:t>comes including:</w:t>
      </w:r>
    </w:p>
    <w:p w:rsidR="00000000" w:rsidRPr="001039E2" w:rsidP="001039E2">
      <w:pPr>
        <w:pStyle w:val="ListBullet2"/>
      </w:pPr>
      <w:r w:rsidRPr="001039E2">
        <w:t>using a range of communication techniques and equipment to convey information to others</w:t>
      </w:r>
    </w:p>
    <w:p w:rsidR="00000000" w:rsidRPr="001039E2" w:rsidP="001039E2">
      <w:pPr>
        <w:pStyle w:val="ListBullet2"/>
      </w:pPr>
      <w:r w:rsidRPr="001039E2">
        <w:t>maintaining written and verbal reporting requirements and procedures</w:t>
      </w:r>
    </w:p>
    <w:p w:rsidR="00000000" w:rsidRPr="001039E2" w:rsidP="001039E2">
      <w:pPr>
        <w:pStyle w:val="ListBullet2"/>
      </w:pPr>
      <w:r w:rsidRPr="001039E2">
        <w:t>organising work activities to meet all task requirements</w:t>
      </w:r>
    </w:p>
    <w:p w:rsidR="00000000" w:rsidRPr="001039E2" w:rsidP="001039E2">
      <w:pPr>
        <w:pStyle w:val="ListBullet"/>
      </w:pPr>
      <w:r w:rsidRPr="001039E2">
        <w:t>demonstrates completion</w:t>
      </w:r>
      <w:r w:rsidRPr="001039E2">
        <w:t xml:space="preserve"> of spray linings for existing pipeline systems that safely, effectively and efficiently meets all of the required outcomes on more than one (1) occasion including:</w:t>
      </w:r>
    </w:p>
    <w:p w:rsidR="00000000" w:rsidRPr="001039E2" w:rsidP="001039E2">
      <w:pPr>
        <w:pStyle w:val="ListBullet2"/>
      </w:pPr>
      <w:r w:rsidRPr="001039E2">
        <w:t>completing a minimum of two (2) different spray linings for existing pipeline systems</w:t>
      </w:r>
    </w:p>
    <w:p w:rsidR="00000000" w:rsidRPr="001039E2" w:rsidP="001039E2">
      <w:pPr>
        <w:pStyle w:val="ListBullet2"/>
      </w:pPr>
      <w:r w:rsidRPr="001039E2">
        <w:t>iden</w:t>
      </w:r>
      <w:r w:rsidRPr="001039E2">
        <w:t>tify, obtain, confirm and apply work, safety and signage instructions and requirements</w:t>
      </w:r>
    </w:p>
    <w:p w:rsidR="00000000" w:rsidRPr="001039E2" w:rsidP="001039E2">
      <w:pPr>
        <w:pStyle w:val="ListBullet2"/>
      </w:pPr>
      <w:r w:rsidRPr="001039E2">
        <w:t>cleaning, checking, maintaining and storing plant, tools and equipment</w:t>
      </w:r>
    </w:p>
    <w:p w:rsidR="00000000" w:rsidRPr="001039E2" w:rsidP="001039E2">
      <w:pPr>
        <w:pStyle w:val="AllowPageBreak"/>
      </w:pPr>
    </w:p>
    <w:p w:rsidR="00000000" w:rsidRPr="001039E2" w:rsidP="001039E2">
      <w:pPr>
        <w:pStyle w:val="Heading1"/>
      </w:pPr>
      <w:bookmarkStart w:id="3" w:name="O_684253"/>
      <w:bookmarkEnd w:id="3"/>
      <w:r w:rsidRPr="001039E2">
        <w:t>Knowledge Evidence</w:t>
      </w:r>
    </w:p>
    <w:p w:rsidR="00000000" w:rsidRPr="001039E2" w:rsidP="003474E1">
      <w:pPr>
        <w:pStyle w:val="BodyText"/>
      </w:pPr>
      <w:r w:rsidRPr="001039E2">
        <w:t>The candidate must demonstrate knowledge in spraying linin</w:t>
      </w:r>
      <w:r w:rsidRPr="001039E2">
        <w:t>gs for existing pipeline systems through:</w:t>
      </w:r>
    </w:p>
    <w:p w:rsidR="00000000" w:rsidRPr="001039E2" w:rsidP="001039E2">
      <w:pPr>
        <w:pStyle w:val="ListBullet"/>
      </w:pPr>
      <w:r w:rsidRPr="001039E2">
        <w:t>organisation and site requirements and procedures for:</w:t>
      </w:r>
    </w:p>
    <w:p w:rsidR="00000000" w:rsidRPr="001039E2" w:rsidP="001039E2">
      <w:pPr>
        <w:pStyle w:val="ListBullet2"/>
      </w:pPr>
      <w:r w:rsidRPr="001039E2">
        <w:t>work health and safety</w:t>
      </w:r>
    </w:p>
    <w:p w:rsidR="00000000" w:rsidRPr="001039E2" w:rsidP="001039E2">
      <w:pPr>
        <w:pStyle w:val="ListBullet2"/>
      </w:pPr>
      <w:r w:rsidRPr="001039E2">
        <w:t>operating equipment</w:t>
      </w:r>
    </w:p>
    <w:p w:rsidR="00000000" w:rsidRPr="001039E2" w:rsidP="001039E2">
      <w:pPr>
        <w:pStyle w:val="ListBullet2"/>
      </w:pPr>
      <w:r w:rsidRPr="001039E2">
        <w:t>confined space entry</w:t>
      </w:r>
    </w:p>
    <w:p w:rsidR="00000000" w:rsidRPr="001039E2" w:rsidP="001039E2">
      <w:pPr>
        <w:pStyle w:val="ListBullet2"/>
      </w:pPr>
      <w:r w:rsidRPr="001039E2">
        <w:t>operations, maintenance and basic diagnostics</w:t>
      </w:r>
    </w:p>
    <w:p w:rsidR="00000000" w:rsidRPr="001039E2" w:rsidP="001039E2">
      <w:pPr>
        <w:pStyle w:val="ListBullet2"/>
      </w:pPr>
      <w:r w:rsidRPr="001039E2">
        <w:t>project quality management</w:t>
      </w:r>
    </w:p>
    <w:p w:rsidR="00000000" w:rsidRPr="001039E2" w:rsidP="001039E2">
      <w:pPr>
        <w:pStyle w:val="ListBullet2"/>
      </w:pPr>
      <w:r w:rsidRPr="001039E2">
        <w:t>spray linings</w:t>
      </w:r>
    </w:p>
    <w:p w:rsidR="00000000" w:rsidRPr="001039E2" w:rsidP="001039E2">
      <w:pPr>
        <w:pStyle w:val="ListBullet"/>
      </w:pPr>
      <w:r w:rsidRPr="001039E2">
        <w:t>laser</w:t>
      </w:r>
      <w:r w:rsidRPr="001039E2">
        <w:t xml:space="preserve"> control equipment techniques</w:t>
      </w:r>
    </w:p>
    <w:p w:rsidR="00000000" w:rsidRPr="001039E2" w:rsidP="001039E2">
      <w:pPr>
        <w:pStyle w:val="ListBullet"/>
      </w:pPr>
      <w:r w:rsidRPr="001039E2">
        <w:t>manual handling techniques</w:t>
      </w:r>
    </w:p>
    <w:p w:rsidR="00000000" w:rsidRPr="001039E2" w:rsidP="001039E2">
      <w:pPr>
        <w:pStyle w:val="ListBullet"/>
      </w:pPr>
      <w:r w:rsidRPr="001039E2">
        <w:t>application of thrust and rotation</w:t>
      </w:r>
    </w:p>
    <w:p w:rsidR="00000000" w:rsidRPr="001039E2" w:rsidP="001039E2">
      <w:pPr>
        <w:pStyle w:val="ListBullet"/>
      </w:pPr>
      <w:r w:rsidRPr="001039E2">
        <w:t>engineering drawings, plans and specifications</w:t>
      </w:r>
    </w:p>
    <w:p w:rsidR="00000000" w:rsidRPr="001039E2" w:rsidP="001039E2">
      <w:pPr>
        <w:pStyle w:val="ListBullet"/>
      </w:pPr>
      <w:r w:rsidRPr="001039E2">
        <w:t>equipment types, characteristics, technical capabilities and limitations</w:t>
      </w:r>
    </w:p>
    <w:p w:rsidR="00000000" w:rsidRPr="001039E2" w:rsidP="001039E2">
      <w:pPr>
        <w:pStyle w:val="ListBullet"/>
      </w:pPr>
      <w:r w:rsidRPr="001039E2">
        <w:t xml:space="preserve">site </w:t>
      </w:r>
      <w:r w:rsidRPr="001039E2">
        <w:t xml:space="preserve">isolation and traffic control responsibilities </w:t>
      </w:r>
    </w:p>
    <w:p w:rsidR="00000000" w:rsidRPr="001039E2" w:rsidP="001039E2">
      <w:pPr>
        <w:pStyle w:val="ListBullet"/>
      </w:pPr>
      <w:r w:rsidRPr="001039E2">
        <w:t>safety data sheets and materials handling methods</w:t>
      </w:r>
    </w:p>
    <w:p w:rsidR="00000000" w:rsidRPr="001039E2" w:rsidP="001039E2">
      <w:pPr>
        <w:pStyle w:val="ListBullet"/>
      </w:pPr>
      <w:r w:rsidRPr="001039E2">
        <w:t>pipeline systems</w:t>
      </w:r>
    </w:p>
    <w:p w:rsidR="00000000" w:rsidRPr="001039E2" w:rsidP="001039E2">
      <w:pPr>
        <w:pStyle w:val="ListBullet"/>
      </w:pPr>
      <w:r w:rsidRPr="001039E2">
        <w:t>civil construction terminology</w:t>
      </w:r>
    </w:p>
    <w:p w:rsidR="00000000" w:rsidRPr="001039E2" w:rsidP="001039E2">
      <w:pPr>
        <w:pStyle w:val="AllowPageBreak"/>
      </w:pPr>
    </w:p>
    <w:p w:rsidR="00000000" w:rsidRPr="001039E2" w:rsidP="001039E2">
      <w:pPr>
        <w:pStyle w:val="Heading1"/>
      </w:pPr>
      <w:bookmarkStart w:id="4" w:name="O_684252"/>
      <w:bookmarkEnd w:id="4"/>
      <w:r w:rsidRPr="001039E2">
        <w:t>Assessment Conditions</w:t>
      </w:r>
    </w:p>
    <w:p w:rsidR="00000000" w:rsidRPr="001039E2" w:rsidP="001039E2">
      <w:pPr>
        <w:pStyle w:val="ListBullet"/>
      </w:pPr>
      <w:r w:rsidRPr="001039E2">
        <w:t>An assessor of this unit must satisfy the requirements of the NVR/AQTF</w:t>
      </w:r>
      <w:r w:rsidRPr="001039E2">
        <w:t xml:space="preserve"> or their successors; and Industry regulations for certification and licensing; and,</w:t>
      </w:r>
    </w:p>
    <w:p w:rsidR="00000000" w:rsidRPr="001039E2" w:rsidP="001039E2">
      <w:pPr>
        <w:pStyle w:val="ListBullet"/>
      </w:pPr>
      <w:r w:rsidRPr="001039E2">
        <w:t>this unit must be assessed in the context of this sector’s work environment; and,</w:t>
      </w:r>
    </w:p>
    <w:p w:rsidR="00000000" w:rsidRPr="001039E2" w:rsidP="001039E2">
      <w:pPr>
        <w:pStyle w:val="ListBullet"/>
      </w:pPr>
      <w:r w:rsidRPr="001039E2">
        <w:t>this unit must be assessed in compliance with relevant legislation/regulation and using p</w:t>
      </w:r>
      <w:r w:rsidRPr="001039E2">
        <w:t>olicies, procedures, processes and operational manuals directly related to the industry sector for which it is being assessed; and,</w:t>
      </w:r>
    </w:p>
    <w:p w:rsidR="00000000" w:rsidRPr="001039E2" w:rsidP="001039E2">
      <w:pPr>
        <w:pStyle w:val="ListBullet"/>
      </w:pPr>
      <w:r w:rsidRPr="001039E2">
        <w:t>assessment may be conducted in conjunction with the assessment of other Units of Competency; and,</w:t>
      </w:r>
    </w:p>
    <w:p w:rsidR="00000000" w:rsidRPr="001039E2" w:rsidP="001039E2">
      <w:pPr>
        <w:pStyle w:val="ListBullet"/>
      </w:pPr>
      <w:r w:rsidRPr="001039E2">
        <w:t>assessment must confirm co</w:t>
      </w:r>
      <w:r w:rsidRPr="001039E2">
        <w:t>nsistent performance can be applied in a range of relevant workplace circumstances; and,</w:t>
      </w:r>
    </w:p>
    <w:p w:rsidR="00000000" w:rsidRPr="001039E2" w:rsidP="001039E2">
      <w:pPr>
        <w:pStyle w:val="ListBullet"/>
      </w:pPr>
      <w:r w:rsidRPr="001039E2">
        <w:t>assessors must demonstrate the performance evidence, and knowledge evidence as outlined in this Unit of Competency, and through the minimum years of current* work expe</w:t>
      </w:r>
      <w:r w:rsidRPr="001039E2">
        <w:t>rience specified below in an Industry sector relevant to the outcomes of the unit; or,</w:t>
      </w:r>
    </w:p>
    <w:p w:rsidR="00000000" w:rsidRPr="001039E2" w:rsidP="001039E2">
      <w:pPr>
        <w:pStyle w:val="ListBullet"/>
      </w:pPr>
      <w:r w:rsidRPr="001039E2">
        <w:t>where the assessor does not meet experience requirements a co-assessment or partnership arrangement must exist between the qualified assessor and an Industry subject mat</w:t>
      </w:r>
      <w:r w:rsidRPr="001039E2">
        <w:t>ter expert. The Industry subject matter expert should hold the unit being assessed (or an equivalent unit) and/or demonstrate equivalence of skills and knowledge at the unit level. An Industry technical expert must also demonstrate skills and knowledge fro</w:t>
      </w:r>
      <w:r w:rsidRPr="001039E2">
        <w:t>m the minimum years of current work experience specified below in the Industry sector, including time spent in roles related to the unit being assessed; and,</w:t>
      </w:r>
    </w:p>
    <w:p w:rsidR="00000000" w:rsidRPr="001039E2" w:rsidP="001039E2">
      <w:pPr>
        <w:pStyle w:val="ListBullet"/>
      </w:pPr>
      <w:r w:rsidRPr="001039E2">
        <w:t>assessor and Industry subject matter expert requirements differ depending on the Australian Qualif</w:t>
      </w:r>
      <w:r w:rsidRPr="001039E2">
        <w:t>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Required assessor or Industry subject matter expert experience</w:t>
            </w:r>
          </w:p>
        </w:tc>
      </w:tr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1 Year</w:t>
            </w:r>
          </w:p>
        </w:tc>
      </w:tr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2 Years</w:t>
            </w:r>
          </w:p>
        </w:tc>
      </w:tr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3 Years</w:t>
            </w:r>
          </w:p>
        </w:tc>
      </w:tr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5 Years</w:t>
            </w:r>
          </w:p>
        </w:tc>
      </w:tr>
      <w:tr w:rsidTr="001039E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9E2">
            <w:pPr>
              <w:pStyle w:val="BodyText"/>
              <w:rPr>
                <w:lang w:val="en-NZ"/>
              </w:rPr>
            </w:pPr>
            <w:r w:rsidRPr="001039E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39E2" w:rsidP="001039E2">
            <w:pPr>
              <w:pStyle w:val="BodyText"/>
            </w:pPr>
            <w:r w:rsidRPr="001039E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039E2">
              <w:t>ndard is specified should comply with any relevant regulation.</w:t>
            </w:r>
          </w:p>
        </w:tc>
      </w:tr>
    </w:tbl>
    <w:p w:rsidR="00000000" w:rsidRPr="001039E2" w:rsidP="003474E1">
      <w:pPr>
        <w:pStyle w:val="BodyText"/>
      </w:pPr>
      <w:r w:rsidRPr="001039E2">
        <w:t>*Assessors can demonstrate current work experience through employment within Industry in a role relevant to the outcomes of the Unit; or, for external assessors this can be demonstrated throu</w:t>
      </w:r>
      <w:r w:rsidRPr="001039E2">
        <w:t>gh exposure to Industry by conducting frequent site assessments across various locations.</w:t>
      </w:r>
    </w:p>
    <w:p w:rsidR="00000000" w:rsidRPr="001039E2" w:rsidP="003474E1">
      <w:pPr>
        <w:pStyle w:val="BodyText"/>
      </w:pPr>
      <w:r w:rsidRPr="001039E2">
        <w:t>**Where a unit is being delivered outside of a Qualification the first numeric character in the Unit code should be considered to indicate the AQF level</w:t>
      </w:r>
    </w:p>
    <w:p w:rsidR="00000000" w:rsidRPr="001039E2" w:rsidP="001039E2">
      <w:pPr>
        <w:pStyle w:val="Heading1"/>
      </w:pPr>
      <w:bookmarkStart w:id="5" w:name="O_684264"/>
      <w:bookmarkEnd w:id="5"/>
      <w:r w:rsidRPr="001039E2">
        <w:t>Links</w:t>
      </w:r>
    </w:p>
    <w:p w:rsidR="00000000" w:rsidRPr="001039E2" w:rsidP="003474E1">
      <w:pPr>
        <w:pStyle w:val="BodyText"/>
      </w:pPr>
      <w:r w:rsidRPr="00103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18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39E2" w:rsidP="001039E2"/>
    <w:sectPr w:rsidSect="001039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E2" w:rsidRPr="003474E1" w:rsidP="00347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E1" w:rsidP="00103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4E1" w:rsidP="00103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74E1" w:rsidP="00103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9E2" w:rsidRPr="003474E1" w:rsidP="00347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E1" w:rsidRPr="002D2AF8" w:rsidP="00103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RIICTT307D Spray linings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3474E1" w:rsidP="00103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CD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88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62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9E2"/>
  </w:style>
  <w:style w:type="character" w:customStyle="1" w:styleId="Heading1Char">
    <w:name w:val="Heading 1 Char"/>
    <w:basedOn w:val="DefaultParagraphFont"/>
    <w:link w:val="Heading1"/>
    <w:rsid w:val="00103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9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9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9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9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9E2"/>
    <w:rPr>
      <w:b/>
      <w:spacing w:val="0"/>
    </w:rPr>
  </w:style>
  <w:style w:type="paragraph" w:customStyle="1" w:styleId="SuperTitle">
    <w:name w:val="SuperTitle"/>
    <w:basedOn w:val="Title"/>
    <w:rsid w:val="00103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9E2"/>
    <w:rPr>
      <w:i/>
    </w:rPr>
  </w:style>
  <w:style w:type="paragraph" w:styleId="Caption">
    <w:name w:val="caption"/>
    <w:basedOn w:val="BodyText"/>
    <w:next w:val="Normal"/>
    <w:qFormat/>
    <w:rsid w:val="00103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9E2"/>
  </w:style>
  <w:style w:type="paragraph" w:styleId="TableofFigures">
    <w:name w:val="table of figures"/>
    <w:basedOn w:val="Normal"/>
    <w:next w:val="Normal"/>
    <w:semiHidden/>
    <w:rsid w:val="00103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9E2"/>
    <w:rPr>
      <w:rFonts w:ascii="Wingdings" w:hAnsi="Wingdings"/>
    </w:rPr>
  </w:style>
  <w:style w:type="paragraph" w:customStyle="1" w:styleId="TableHeading">
    <w:name w:val="Table Heading"/>
    <w:basedOn w:val="HeadingBase"/>
    <w:rsid w:val="00103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9E2"/>
    <w:rPr>
      <w:color w:val="0033CC"/>
      <w:u w:val="none"/>
    </w:rPr>
  </w:style>
  <w:style w:type="paragraph" w:customStyle="1" w:styleId="BodyTextRight">
    <w:name w:val="Body Text Right"/>
    <w:basedOn w:val="BodyText"/>
    <w:rsid w:val="00103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9E2"/>
    <w:rPr>
      <w:sz w:val="32"/>
    </w:rPr>
  </w:style>
  <w:style w:type="paragraph" w:customStyle="1" w:styleId="HeadingProcedure">
    <w:name w:val="Heading Procedure"/>
    <w:basedOn w:val="HeadingBase"/>
    <w:next w:val="Normal"/>
    <w:rsid w:val="00103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9E2"/>
    <w:pPr>
      <w:spacing w:before="60" w:after="60"/>
    </w:pPr>
  </w:style>
  <w:style w:type="paragraph" w:styleId="ListContinue">
    <w:name w:val="List Continue"/>
    <w:basedOn w:val="List"/>
    <w:rsid w:val="001039E2"/>
    <w:pPr>
      <w:ind w:firstLine="0"/>
    </w:pPr>
  </w:style>
  <w:style w:type="paragraph" w:customStyle="1" w:styleId="ListNote">
    <w:name w:val="List Note"/>
    <w:basedOn w:val="List"/>
    <w:rsid w:val="00103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9E2"/>
    <w:rPr>
      <w:rFonts w:ascii="Courier New" w:hAnsi="Courier New"/>
    </w:rPr>
  </w:style>
  <w:style w:type="paragraph" w:customStyle="1" w:styleId="NoteBullet">
    <w:name w:val="Note Bullet"/>
    <w:basedOn w:val="Note"/>
    <w:rsid w:val="00103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9E2"/>
    <w:rPr>
      <w:b/>
      <w:smallCaps/>
    </w:rPr>
  </w:style>
  <w:style w:type="paragraph" w:customStyle="1" w:styleId="TableListNumber">
    <w:name w:val="Table List Number"/>
    <w:basedOn w:val="ListNumber"/>
    <w:rsid w:val="00103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9E2"/>
    <w:pPr>
      <w:numPr>
        <w:numId w:val="9"/>
      </w:numPr>
    </w:pPr>
  </w:style>
  <w:style w:type="paragraph" w:customStyle="1" w:styleId="ListAlpha2">
    <w:name w:val="List Alpha 2"/>
    <w:basedOn w:val="List2"/>
    <w:rsid w:val="001039E2"/>
    <w:pPr>
      <w:numPr>
        <w:numId w:val="8"/>
      </w:numPr>
    </w:pPr>
  </w:style>
  <w:style w:type="paragraph" w:styleId="List2">
    <w:name w:val="List 2"/>
    <w:basedOn w:val="BodyText"/>
    <w:rsid w:val="00103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9E2"/>
    <w:pPr>
      <w:numPr>
        <w:numId w:val="4"/>
      </w:numPr>
    </w:pPr>
  </w:style>
  <w:style w:type="paragraph" w:styleId="ListContinue2">
    <w:name w:val="List Continue 2"/>
    <w:basedOn w:val="List2"/>
    <w:rsid w:val="001039E2"/>
    <w:pPr>
      <w:ind w:firstLine="0"/>
    </w:pPr>
  </w:style>
  <w:style w:type="paragraph" w:styleId="ListContinue3">
    <w:name w:val="List Continue 3"/>
    <w:basedOn w:val="List3"/>
    <w:rsid w:val="001039E2"/>
    <w:pPr>
      <w:ind w:left="1021" w:firstLine="0"/>
    </w:pPr>
  </w:style>
  <w:style w:type="paragraph" w:styleId="ListContinue4">
    <w:name w:val="List Continue 4"/>
    <w:basedOn w:val="List4"/>
    <w:rsid w:val="001039E2"/>
    <w:pPr>
      <w:ind w:firstLine="0"/>
    </w:pPr>
  </w:style>
  <w:style w:type="paragraph" w:styleId="ListContinue5">
    <w:name w:val="List Continue 5"/>
    <w:basedOn w:val="List5"/>
    <w:rsid w:val="001039E2"/>
    <w:pPr>
      <w:ind w:firstLine="0"/>
    </w:pPr>
  </w:style>
  <w:style w:type="paragraph" w:styleId="ListNumber3">
    <w:name w:val="List Number 3"/>
    <w:basedOn w:val="List3"/>
    <w:rsid w:val="001039E2"/>
    <w:pPr>
      <w:numPr>
        <w:numId w:val="5"/>
      </w:numPr>
    </w:pPr>
  </w:style>
  <w:style w:type="paragraph" w:styleId="ListNumber4">
    <w:name w:val="List Number 4"/>
    <w:basedOn w:val="List4"/>
    <w:rsid w:val="001039E2"/>
    <w:pPr>
      <w:numPr>
        <w:numId w:val="6"/>
      </w:numPr>
    </w:pPr>
  </w:style>
  <w:style w:type="paragraph" w:styleId="ListNumber5">
    <w:name w:val="List Number 5"/>
    <w:basedOn w:val="List5"/>
    <w:rsid w:val="001039E2"/>
    <w:pPr>
      <w:numPr>
        <w:numId w:val="7"/>
      </w:numPr>
    </w:pPr>
  </w:style>
  <w:style w:type="paragraph" w:styleId="BlockText">
    <w:name w:val="Block Text"/>
    <w:basedOn w:val="Normal"/>
    <w:rsid w:val="00103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9E2"/>
    <w:rPr>
      <w:sz w:val="16"/>
      <w:vertAlign w:val="superscript"/>
    </w:rPr>
  </w:style>
  <w:style w:type="character" w:customStyle="1" w:styleId="Symbols">
    <w:name w:val="Symbols"/>
    <w:basedOn w:val="DefaultParagraphFont"/>
    <w:rsid w:val="001039E2"/>
    <w:rPr>
      <w:rFonts w:ascii="Symbol" w:hAnsi="Symbol"/>
    </w:rPr>
  </w:style>
  <w:style w:type="character" w:customStyle="1" w:styleId="MenuOptions">
    <w:name w:val="Menu Options"/>
    <w:basedOn w:val="DefaultParagraphFont"/>
    <w:rsid w:val="00103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9E2"/>
    <w:rPr>
      <w:b/>
    </w:rPr>
  </w:style>
  <w:style w:type="character" w:customStyle="1" w:styleId="Underlined">
    <w:name w:val="Underlined"/>
    <w:basedOn w:val="DefaultParagraphFont"/>
    <w:rsid w:val="001039E2"/>
    <w:rPr>
      <w:u w:val="single"/>
    </w:rPr>
  </w:style>
  <w:style w:type="paragraph" w:customStyle="1" w:styleId="TableBodyTextRight">
    <w:name w:val="Table Body Text Right"/>
    <w:basedOn w:val="TableBodyText"/>
    <w:rsid w:val="00103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9E2"/>
    <w:rPr>
      <w:sz w:val="18"/>
    </w:rPr>
  </w:style>
  <w:style w:type="paragraph" w:customStyle="1" w:styleId="BodySmallRight">
    <w:name w:val="Body Small Right"/>
    <w:basedOn w:val="BodyTextRight"/>
    <w:rsid w:val="001039E2"/>
    <w:rPr>
      <w:sz w:val="18"/>
      <w:szCs w:val="18"/>
    </w:rPr>
  </w:style>
  <w:style w:type="paragraph" w:customStyle="1" w:styleId="MarginEdition">
    <w:name w:val="Margin Edition"/>
    <w:basedOn w:val="MarginNote"/>
    <w:rsid w:val="00103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9E2"/>
    <w:rPr>
      <w:sz w:val="2"/>
      <w:szCs w:val="2"/>
    </w:rPr>
  </w:style>
  <w:style w:type="character" w:customStyle="1" w:styleId="Small">
    <w:name w:val="Small"/>
    <w:basedOn w:val="DefaultParagraphFont"/>
    <w:rsid w:val="001039E2"/>
    <w:rPr>
      <w:sz w:val="16"/>
    </w:rPr>
  </w:style>
  <w:style w:type="paragraph" w:customStyle="1" w:styleId="WideTable">
    <w:name w:val="Wide Table"/>
    <w:basedOn w:val="Normal"/>
    <w:rsid w:val="00103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9E2"/>
  </w:style>
  <w:style w:type="paragraph" w:styleId="Quote">
    <w:name w:val="Quote"/>
    <w:basedOn w:val="Heading1"/>
    <w:link w:val="QuoteChar"/>
    <w:qFormat/>
    <w:rsid w:val="00103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9E2"/>
    <w:pPr>
      <w:pageBreakBefore/>
    </w:pPr>
  </w:style>
  <w:style w:type="paragraph" w:customStyle="1" w:styleId="Border">
    <w:name w:val="Border"/>
    <w:basedOn w:val="Normal"/>
    <w:qFormat/>
    <w:rsid w:val="00103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9E2"/>
    <w:rPr>
      <w:u w:val="single"/>
    </w:rPr>
  </w:style>
  <w:style w:type="character" w:customStyle="1" w:styleId="BoldandItalics">
    <w:name w:val="Bold and Italics"/>
    <w:qFormat/>
    <w:rsid w:val="001039E2"/>
    <w:rPr>
      <w:b/>
      <w:i/>
      <w:u w:val="none"/>
    </w:rPr>
  </w:style>
  <w:style w:type="paragraph" w:styleId="BalloonText">
    <w:name w:val="Balloon Text"/>
    <w:basedOn w:val="Normal"/>
    <w:link w:val="BalloonTextChar"/>
    <w:rsid w:val="00103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9E2"/>
    <w:pPr>
      <w:spacing w:before="0" w:after="0"/>
    </w:pPr>
  </w:style>
  <w:style w:type="paragraph" w:customStyle="1" w:styleId="BodyTextBold">
    <w:name w:val="Body Text Bold"/>
    <w:basedOn w:val="BodyText"/>
    <w:qFormat/>
    <w:rsid w:val="001039E2"/>
    <w:rPr>
      <w:b/>
    </w:rPr>
  </w:style>
  <w:style w:type="character" w:styleId="Hyperlink">
    <w:name w:val="Hyperlink"/>
    <w:basedOn w:val="DefaultParagraphFont"/>
    <w:uiPriority w:val="99"/>
    <w:unhideWhenUsed/>
    <w:rsid w:val="00347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5221</Characters>
  <Application>Microsoft Office Word</Application>
  <DocSecurity>0</DocSecurity>
  <Lines>133</Lines>
  <Paragraphs>88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RIICTT307D Spray linings for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2020-03-02T01:33:00Z</dcterms:created>
  <dcterms:modified xsi:type="dcterms:W3CDTF">2020-03-02T01:33:00Z</dcterms:modified>
</cp:coreProperties>
</file>