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530" w:rsidP="00671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RIICTB309D Construct, maintain and remove coffer dams</w:t>
      </w:r>
      <w:r>
        <w:fldChar w:fldCharType="end"/>
      </w:r>
    </w:p>
    <w:p w:rsidR="00671530" w:rsidP="00671530">
      <w:pPr>
        <w:pStyle w:val="Version"/>
        <w:sectPr w:rsidSect="00045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50EF" w:rsidP="000450EF">
      <w:pPr>
        <w:pStyle w:val="SuperHeading"/>
      </w:pPr>
      <w:r w:rsidRPr="000450EF">
        <w:t>Assessment Requirements for RIICTB309D Construct, maintain and remove coffer dams</w:t>
      </w:r>
    </w:p>
    <w:p w:rsidR="00000000" w:rsidRPr="000450EF" w:rsidP="000450EF">
      <w:pPr>
        <w:pStyle w:val="Heading1"/>
      </w:pPr>
      <w:bookmarkStart w:id="1" w:name="O_683708"/>
      <w:bookmarkEnd w:id="1"/>
      <w:r w:rsidRPr="000450E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7153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Comment</w:t>
            </w:r>
          </w:p>
        </w:tc>
      </w:tr>
      <w:tr w:rsidTr="0067153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This unit replaces RIICTB309A Construct, maintain and remove coffer dams</w:t>
            </w:r>
          </w:p>
        </w:tc>
      </w:tr>
      <w:tr w:rsidTr="0067153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EF" w:rsidP="000450EF">
            <w:pPr>
              <w:pStyle w:val="BodyText"/>
            </w:pPr>
            <w:r w:rsidRPr="000450EF">
              <w:t>Required frequency and volume of evidence amended in Performance evidence.</w:t>
            </w:r>
          </w:p>
          <w:p w:rsidR="00000000" w:rsidRPr="000450EF" w:rsidP="000450EF">
            <w:pPr>
              <w:pStyle w:val="BodyText"/>
            </w:pPr>
            <w:r w:rsidRPr="000450EF">
              <w:t>Substantial amendments made in Assessment Conditions field, including: references to Industry Sectors, assessor and subject matter expert experience requirements, how assessment sho</w:t>
            </w:r>
            <w:r w:rsidRPr="000450EF">
              <w:t>uld be conducted and what it should confirm.</w:t>
            </w:r>
          </w:p>
        </w:tc>
      </w:tr>
    </w:tbl>
    <w:p w:rsidR="00000000" w:rsidRPr="000450EF" w:rsidP="000450EF">
      <w:pPr>
        <w:pStyle w:val="BodyText"/>
      </w:pPr>
    </w:p>
    <w:p w:rsidR="00000000" w:rsidRPr="000450EF" w:rsidP="000450EF">
      <w:pPr>
        <w:pStyle w:val="AllowPageBreak"/>
      </w:pPr>
    </w:p>
    <w:p w:rsidR="00000000" w:rsidRPr="000450EF" w:rsidP="000450EF">
      <w:pPr>
        <w:pStyle w:val="Heading1"/>
      </w:pPr>
      <w:bookmarkStart w:id="2" w:name="O_683707"/>
      <w:bookmarkEnd w:id="2"/>
      <w:r w:rsidRPr="000450EF">
        <w:t>Performance Evidence</w:t>
      </w:r>
    </w:p>
    <w:p w:rsidR="00000000" w:rsidRPr="000450EF" w:rsidP="00671530">
      <w:pPr>
        <w:pStyle w:val="BodyText"/>
      </w:pPr>
      <w:r w:rsidRPr="000450EF">
        <w:t>Evidence is required to be collected that demonstrates a candidate’s competency in this unit. Evidence must be relevant to the roles within this sector’s work operations a</w:t>
      </w:r>
      <w:r w:rsidRPr="000450EF">
        <w:t>nd satisfy all of the requirements of the performance criteria of this unit and include evidence that the candidate:</w:t>
      </w:r>
    </w:p>
    <w:p w:rsidR="00000000" w:rsidRPr="000450EF" w:rsidP="000450EF">
      <w:pPr>
        <w:pStyle w:val="ListBullet"/>
      </w:pPr>
      <w:r w:rsidRPr="000450EF">
        <w:t>locates and applies applicable legislation, documentation, policies and procedures</w:t>
      </w:r>
    </w:p>
    <w:p w:rsidR="00000000" w:rsidRPr="000450EF" w:rsidP="000450EF">
      <w:pPr>
        <w:pStyle w:val="ListBullet"/>
      </w:pPr>
      <w:r w:rsidRPr="000450EF">
        <w:t xml:space="preserve">implements the requirements, procedures and </w:t>
      </w:r>
      <w:r w:rsidRPr="000450EF">
        <w:t>techniques for the safe, effective and efficient completion of construction, maintenance and removal of coffer dams including:</w:t>
      </w:r>
    </w:p>
    <w:p w:rsidR="00000000" w:rsidRPr="000450EF" w:rsidP="000450EF">
      <w:pPr>
        <w:pStyle w:val="ListBullet2"/>
      </w:pPr>
      <w:r w:rsidRPr="000450EF">
        <w:t>selecting and using the required tools and equipment</w:t>
      </w:r>
    </w:p>
    <w:p w:rsidR="00000000" w:rsidRPr="000450EF" w:rsidP="000450EF">
      <w:pPr>
        <w:pStyle w:val="ListBullet2"/>
      </w:pPr>
      <w:r w:rsidRPr="000450EF">
        <w:t>checking placement of marine cables before coffer dam construction</w:t>
      </w:r>
    </w:p>
    <w:p w:rsidR="00000000" w:rsidRPr="000450EF" w:rsidP="000450EF">
      <w:pPr>
        <w:pStyle w:val="ListBullet2"/>
      </w:pPr>
      <w:r w:rsidRPr="000450EF">
        <w:t xml:space="preserve">driving </w:t>
      </w:r>
      <w:r w:rsidRPr="000450EF">
        <w:t>and bracing sheet piles</w:t>
      </w:r>
    </w:p>
    <w:p w:rsidR="00000000" w:rsidRPr="000450EF" w:rsidP="000450EF">
      <w:pPr>
        <w:pStyle w:val="ListBullet2"/>
      </w:pPr>
      <w:r w:rsidRPr="000450EF">
        <w:t>dewatering, levelling and maintaining dammed area</w:t>
      </w:r>
    </w:p>
    <w:p w:rsidR="00000000" w:rsidRPr="000450EF" w:rsidP="000450EF">
      <w:pPr>
        <w:pStyle w:val="ListBullet2"/>
      </w:pPr>
      <w:r w:rsidRPr="000450EF">
        <w:t>removing coffer dam</w:t>
      </w:r>
    </w:p>
    <w:p w:rsidR="00000000" w:rsidRPr="000450EF" w:rsidP="000450EF">
      <w:pPr>
        <w:pStyle w:val="ListBullet"/>
      </w:pPr>
      <w:r w:rsidRPr="000450EF">
        <w:t>works effectively with others to undertake and complete the construction, maintenance and removal of coffer dams that meets all of the required outcomes includin</w:t>
      </w:r>
      <w:r w:rsidRPr="000450EF">
        <w:t>g:</w:t>
      </w:r>
    </w:p>
    <w:p w:rsidR="00000000" w:rsidRPr="000450EF" w:rsidP="000450EF">
      <w:pPr>
        <w:pStyle w:val="ListBullet2"/>
      </w:pPr>
      <w:r w:rsidRPr="000450EF">
        <w:t>organising work activities to meet all task requirements</w:t>
      </w:r>
    </w:p>
    <w:p w:rsidR="00000000" w:rsidRPr="000450EF" w:rsidP="000450EF">
      <w:pPr>
        <w:pStyle w:val="ListBullet2"/>
      </w:pPr>
      <w:r w:rsidRPr="000450EF">
        <w:t>communicating clearly and concisely with others to receive and clarify work instructions</w:t>
      </w:r>
    </w:p>
    <w:p w:rsidR="00000000" w:rsidRPr="000450EF" w:rsidP="000450EF">
      <w:pPr>
        <w:pStyle w:val="ListBullet2"/>
      </w:pPr>
      <w:r w:rsidRPr="000450EF">
        <w:t>using a range of communication techniques and systems such as signage to advise others of work activity an</w:t>
      </w:r>
      <w:r w:rsidRPr="000450EF">
        <w:t>d exclusion zone</w:t>
      </w:r>
    </w:p>
    <w:p w:rsidR="00000000" w:rsidRPr="000450EF" w:rsidP="000450EF">
      <w:pPr>
        <w:pStyle w:val="ListBullet"/>
      </w:pPr>
      <w:r w:rsidRPr="000450EF">
        <w:t>demonstrates completion of constructing, maintaining and removing coffer dams that safely, effectively and efficiently meets all of the required outcomes on more than one (1) occasion including:</w:t>
      </w:r>
    </w:p>
    <w:p w:rsidR="00000000" w:rsidRPr="000450EF" w:rsidP="000450EF">
      <w:pPr>
        <w:pStyle w:val="ListBullet2"/>
      </w:pPr>
      <w:r w:rsidRPr="000450EF">
        <w:t>identifying, reporting and recording hazar</w:t>
      </w:r>
      <w:r w:rsidRPr="000450EF">
        <w:t>ds and risks</w:t>
      </w:r>
    </w:p>
    <w:p w:rsidR="00000000" w:rsidRPr="000450EF" w:rsidP="000450EF">
      <w:pPr>
        <w:pStyle w:val="ListBullet2"/>
      </w:pPr>
      <w:r w:rsidRPr="000450EF">
        <w:t>construction, maintenance and removal of at least one (1) coffer dam, with at least four (4) sheet piles, large enough to require bracing</w:t>
      </w:r>
    </w:p>
    <w:p w:rsidR="00000000" w:rsidRPr="000450EF" w:rsidP="000450EF">
      <w:pPr>
        <w:pStyle w:val="AllowPageBreak"/>
      </w:pPr>
    </w:p>
    <w:p w:rsidR="00000000" w:rsidRPr="000450EF" w:rsidP="000450EF">
      <w:pPr>
        <w:pStyle w:val="Heading1"/>
      </w:pPr>
      <w:bookmarkStart w:id="3" w:name="O_683706"/>
      <w:bookmarkEnd w:id="3"/>
      <w:r w:rsidRPr="000450EF">
        <w:t>Knowledge Evidence</w:t>
      </w:r>
    </w:p>
    <w:p w:rsidR="00000000" w:rsidRPr="000450EF" w:rsidP="00671530">
      <w:pPr>
        <w:pStyle w:val="BodyText"/>
      </w:pPr>
      <w:r w:rsidRPr="000450EF">
        <w:t>The candidate must demonstrate knowledge of the construction, maintenance and removal of coffer dams through:</w:t>
      </w:r>
    </w:p>
    <w:p w:rsidR="00000000" w:rsidRPr="000450EF" w:rsidP="000450EF">
      <w:pPr>
        <w:pStyle w:val="ListBullet"/>
      </w:pPr>
      <w:r w:rsidRPr="000450EF">
        <w:t>applying legislative, organisational and site requirements and procedures for:</w:t>
      </w:r>
    </w:p>
    <w:p w:rsidR="00000000" w:rsidRPr="000450EF" w:rsidP="000450EF">
      <w:pPr>
        <w:pStyle w:val="ListBullet2"/>
      </w:pPr>
      <w:r w:rsidRPr="000450EF">
        <w:t>site and equipment safety requirements</w:t>
      </w:r>
    </w:p>
    <w:p w:rsidR="00000000" w:rsidRPr="000450EF" w:rsidP="000450EF">
      <w:pPr>
        <w:pStyle w:val="ListBullet2"/>
      </w:pPr>
      <w:r w:rsidRPr="000450EF">
        <w:t>boat and water safety</w:t>
      </w:r>
    </w:p>
    <w:p w:rsidR="00000000" w:rsidRPr="000450EF" w:rsidP="000450EF">
      <w:pPr>
        <w:pStyle w:val="ListBullet2"/>
      </w:pPr>
      <w:r w:rsidRPr="000450EF">
        <w:t>shee</w:t>
      </w:r>
      <w:r w:rsidRPr="000450EF">
        <w:t>t piling</w:t>
      </w:r>
    </w:p>
    <w:p w:rsidR="00000000" w:rsidRPr="000450EF" w:rsidP="000450EF">
      <w:pPr>
        <w:pStyle w:val="ListBullet2"/>
      </w:pPr>
      <w:r w:rsidRPr="000450EF">
        <w:t>environmental protection act</w:t>
      </w:r>
    </w:p>
    <w:p w:rsidR="00000000" w:rsidRPr="000450EF" w:rsidP="000450EF">
      <w:pPr>
        <w:pStyle w:val="ListBullet2"/>
      </w:pPr>
      <w:r w:rsidRPr="000450EF">
        <w:t>dewatering</w:t>
      </w:r>
    </w:p>
    <w:p w:rsidR="00000000" w:rsidRPr="000450EF" w:rsidP="000450EF">
      <w:pPr>
        <w:pStyle w:val="ListBullet2"/>
      </w:pPr>
      <w:r w:rsidRPr="000450EF">
        <w:t>caulking</w:t>
      </w:r>
    </w:p>
    <w:p w:rsidR="00000000" w:rsidRPr="000450EF" w:rsidP="000450EF">
      <w:pPr>
        <w:pStyle w:val="ListBullet2"/>
      </w:pPr>
      <w:r w:rsidRPr="000450EF">
        <w:t>dial before you dig</w:t>
      </w:r>
    </w:p>
    <w:p w:rsidR="00000000" w:rsidRPr="000450EF" w:rsidP="000450EF">
      <w:pPr>
        <w:pStyle w:val="ListBullet2"/>
      </w:pPr>
      <w:r w:rsidRPr="000450EF">
        <w:t>bridge foundations</w:t>
      </w:r>
    </w:p>
    <w:p w:rsidR="00000000" w:rsidRPr="000450EF" w:rsidP="000450EF">
      <w:pPr>
        <w:pStyle w:val="ListBullet2"/>
      </w:pPr>
      <w:r w:rsidRPr="000450EF">
        <w:t>bridge heritage</w:t>
      </w:r>
    </w:p>
    <w:p w:rsidR="00000000" w:rsidRPr="000450EF" w:rsidP="000450EF">
      <w:pPr>
        <w:pStyle w:val="ListBullet2"/>
      </w:pPr>
      <w:r w:rsidRPr="000450EF">
        <w:t>calculation of material requirements</w:t>
      </w:r>
    </w:p>
    <w:p w:rsidR="00000000" w:rsidRPr="000450EF" w:rsidP="000450EF">
      <w:pPr>
        <w:pStyle w:val="ListBullet"/>
      </w:pPr>
      <w:r w:rsidRPr="000450EF">
        <w:t>identifying equipment types, characteristics, technical capabilities and limitations</w:t>
      </w:r>
    </w:p>
    <w:p w:rsidR="00000000" w:rsidRPr="000450EF" w:rsidP="000450EF">
      <w:pPr>
        <w:pStyle w:val="ListBullet"/>
      </w:pPr>
      <w:r w:rsidRPr="000450EF">
        <w:t>applying and monitoring operational, maintenance and basic diagnostic procedures</w:t>
      </w:r>
    </w:p>
    <w:p w:rsidR="00000000" w:rsidRPr="000450EF" w:rsidP="000450EF">
      <w:pPr>
        <w:pStyle w:val="ListBullet"/>
      </w:pPr>
      <w:r w:rsidRPr="000450EF">
        <w:t>applying site isolation and traffic control responsibilities and authorities</w:t>
      </w:r>
    </w:p>
    <w:p w:rsidR="00000000" w:rsidRPr="000450EF" w:rsidP="000450EF">
      <w:pPr>
        <w:pStyle w:val="ListBullet"/>
      </w:pPr>
      <w:r w:rsidRPr="000450EF">
        <w:t>interpreting and complying with materials safety data sheets and materials handling methods</w:t>
      </w:r>
    </w:p>
    <w:p w:rsidR="00000000" w:rsidRPr="000450EF" w:rsidP="000450EF">
      <w:pPr>
        <w:pStyle w:val="ListBullet"/>
      </w:pPr>
      <w:r w:rsidRPr="000450EF">
        <w:t>monito</w:t>
      </w:r>
      <w:r w:rsidRPr="000450EF">
        <w:t>ring quality assurance systems and standards</w:t>
      </w:r>
    </w:p>
    <w:p w:rsidR="00000000" w:rsidRPr="000450EF" w:rsidP="000450EF">
      <w:pPr>
        <w:pStyle w:val="ListBullet"/>
      </w:pPr>
      <w:r w:rsidRPr="000450EF">
        <w:t>preparing and/or implementing JSAs/safe work method statements</w:t>
      </w:r>
    </w:p>
    <w:p w:rsidR="00000000" w:rsidRPr="000450EF" w:rsidP="000450EF">
      <w:pPr>
        <w:pStyle w:val="AllowPageBreak"/>
      </w:pPr>
    </w:p>
    <w:p w:rsidR="00000000" w:rsidRPr="000450EF" w:rsidP="000450EF">
      <w:pPr>
        <w:pStyle w:val="Heading1"/>
      </w:pPr>
      <w:bookmarkStart w:id="4" w:name="O_683705"/>
      <w:bookmarkEnd w:id="4"/>
      <w:r w:rsidRPr="000450EF">
        <w:t>Assessment Conditions</w:t>
      </w:r>
    </w:p>
    <w:p w:rsidR="00000000" w:rsidRPr="000450EF" w:rsidP="000450EF">
      <w:pPr>
        <w:pStyle w:val="ListBullet"/>
      </w:pPr>
      <w:r w:rsidRPr="000450EF">
        <w:t>An assessor of this unit must satisfy the requirements of the NVR/AQTF or their successors; and Industry reg</w:t>
      </w:r>
      <w:r w:rsidRPr="000450EF">
        <w:t>ulations for certification and licensing; and,</w:t>
      </w:r>
    </w:p>
    <w:p w:rsidR="00000000" w:rsidRPr="000450EF" w:rsidP="000450EF">
      <w:pPr>
        <w:pStyle w:val="ListBullet"/>
      </w:pPr>
      <w:r w:rsidRPr="000450EF">
        <w:t>this unit must be assessed in the context of this sector’s work environment; and,</w:t>
      </w:r>
    </w:p>
    <w:p w:rsidR="00000000" w:rsidRPr="000450EF" w:rsidP="000450EF">
      <w:pPr>
        <w:pStyle w:val="ListBullet"/>
      </w:pPr>
      <w:r w:rsidRPr="000450EF">
        <w:t>this unit must be assessed in compliance with relevant legislation/regulation and using policies, procedures, processes and ope</w:t>
      </w:r>
      <w:r w:rsidRPr="000450EF">
        <w:t>rational manuals directly related to the industry sector for which it is being assessed; and,</w:t>
      </w:r>
    </w:p>
    <w:p w:rsidR="00000000" w:rsidRPr="000450EF" w:rsidP="000450EF">
      <w:pPr>
        <w:pStyle w:val="ListBullet"/>
      </w:pPr>
      <w:r w:rsidRPr="000450EF">
        <w:t>assessment may be conducted in conjunction with the assessment of other Units of Competency; and,</w:t>
      </w:r>
    </w:p>
    <w:p w:rsidR="00000000" w:rsidRPr="000450EF" w:rsidP="000450EF">
      <w:pPr>
        <w:pStyle w:val="ListBullet"/>
      </w:pPr>
      <w:r w:rsidRPr="000450EF">
        <w:t>assessment must confirm consistent performance can be applied in</w:t>
      </w:r>
      <w:r w:rsidRPr="000450EF">
        <w:t xml:space="preserve"> a range of relevant workplace circumstances; and,</w:t>
      </w:r>
    </w:p>
    <w:p w:rsidR="00000000" w:rsidRPr="000450EF" w:rsidP="000450EF">
      <w:pPr>
        <w:pStyle w:val="ListBullet"/>
      </w:pPr>
      <w:r w:rsidRPr="000450EF">
        <w:t xml:space="preserve">assessors must demonstrate the performance evidence, and knowledge evidence as outlined in this Unit of Competency, and through the minimum years of current* work experience specified below in an Industry </w:t>
      </w:r>
      <w:r w:rsidRPr="000450EF">
        <w:t>sector relevant to the outcomes of the unit; or,</w:t>
      </w:r>
    </w:p>
    <w:p w:rsidR="00000000" w:rsidRPr="000450EF" w:rsidP="000450EF">
      <w:pPr>
        <w:pStyle w:val="ListBullet"/>
      </w:pPr>
      <w:r w:rsidRPr="000450EF">
        <w:t>where the assessor does not meet experience requirements a co-assessment or partnership arrangement must exist between the qualified assessor and an Industry subject matter expert. The Industry subject matte</w:t>
      </w:r>
      <w:r w:rsidRPr="000450EF">
        <w:t>r expert should hold the unit being assessed (or an equivalent unit) and/or demonstrate equivalence of skills and knowledge at the unit level. An Industry technical expert must also demonstrate skills and knowledge from the minimum years of current work ex</w:t>
      </w:r>
      <w:r w:rsidRPr="000450EF">
        <w:t>perience specified below in the Industry sector, including time spent in roles related to the unit being assessed; and,</w:t>
      </w:r>
    </w:p>
    <w:p w:rsidR="00000000" w:rsidRPr="000450EF" w:rsidP="000450EF">
      <w:pPr>
        <w:pStyle w:val="ListBullet"/>
      </w:pPr>
      <w:r w:rsidRPr="000450EF">
        <w:t xml:space="preserve">assessor and Industry subject matter expert requirements differ depending on the Australian Qualifications Framework Level (AQF) of the </w:t>
      </w:r>
      <w:r w:rsidRPr="000450EF">
        <w:t>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45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Required assessor or Industry subject matter expert experience</w:t>
            </w:r>
          </w:p>
        </w:tc>
      </w:tr>
      <w:tr w:rsidTr="00045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1 Year</w:t>
            </w:r>
          </w:p>
        </w:tc>
      </w:tr>
      <w:tr w:rsidTr="00045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2 Years</w:t>
            </w:r>
          </w:p>
        </w:tc>
      </w:tr>
      <w:tr w:rsidTr="00045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3 Years</w:t>
            </w:r>
          </w:p>
        </w:tc>
      </w:tr>
      <w:tr w:rsidTr="00045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5 Years</w:t>
            </w:r>
          </w:p>
        </w:tc>
      </w:tr>
      <w:tr w:rsidTr="000450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50EF">
            <w:pPr>
              <w:pStyle w:val="BodyText"/>
              <w:rPr>
                <w:lang w:val="en-NZ"/>
              </w:rPr>
            </w:pPr>
            <w:r w:rsidRPr="000450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50EF" w:rsidP="000450EF">
            <w:pPr>
              <w:pStyle w:val="BodyText"/>
            </w:pPr>
            <w:r w:rsidRPr="000450EF">
              <w:t>Where this Unit is being assessed outside of the</w:t>
            </w:r>
            <w:r w:rsidRPr="000450EF">
              <w:t xml:space="preserve"> Resources and Infrastructure Sectors assessor and/or Industry subject matter expert experience should be in-line with industry standards for the sector in which it is being assessed and where no Industry standard is specified should comply with any releva</w:t>
            </w:r>
            <w:r w:rsidRPr="000450EF">
              <w:t>nt regulation.</w:t>
            </w:r>
          </w:p>
        </w:tc>
      </w:tr>
    </w:tbl>
    <w:p w:rsidR="00000000" w:rsidRPr="000450EF" w:rsidP="00671530">
      <w:pPr>
        <w:pStyle w:val="BodyText"/>
      </w:pPr>
      <w:r w:rsidRPr="000450EF">
        <w:t>*Assessors can demonstrate current work experience through employment within Industry in a role relevant to the outcomes of the Unit; or, for external assessors this can be demonstrated through exposure to Industry by conducting frequent s</w:t>
      </w:r>
      <w:r w:rsidRPr="000450EF">
        <w:t>ite assessments across various locations.</w:t>
      </w:r>
    </w:p>
    <w:p w:rsidR="00000000" w:rsidRPr="000450EF" w:rsidP="00671530">
      <w:pPr>
        <w:pStyle w:val="BodyText"/>
      </w:pPr>
      <w:r w:rsidRPr="000450EF">
        <w:t>**Where a unit is being delivered outside of a Qualification the first numeric character in the Unit code should be considered to indicate the AQF level</w:t>
      </w:r>
    </w:p>
    <w:p w:rsidR="00000000" w:rsidRPr="000450EF" w:rsidP="000450EF">
      <w:pPr>
        <w:pStyle w:val="Heading1"/>
      </w:pPr>
      <w:bookmarkStart w:id="5" w:name="O_683717"/>
      <w:bookmarkEnd w:id="5"/>
      <w:r w:rsidRPr="000450EF">
        <w:t>Links</w:t>
      </w:r>
    </w:p>
    <w:p w:rsidR="00000000" w:rsidRPr="000450EF" w:rsidP="00671530">
      <w:pPr>
        <w:pStyle w:val="BodyText"/>
      </w:pPr>
      <w:r w:rsidRPr="000450EF">
        <w:t>Companion Volume implementation guides</w:t>
      </w:r>
      <w:r w:rsidRPr="000450EF">
        <w:t xml:space="preserve">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53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50EF" w:rsidP="000450EF"/>
    <w:sectPr w:rsidSect="00045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EF" w:rsidRPr="00671530" w:rsidP="00671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30" w:rsidP="00045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530" w:rsidP="00045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530" w:rsidP="00045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0EF" w:rsidRPr="00671530" w:rsidP="00671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30" w:rsidRPr="002D2AF8" w:rsidP="00045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RIICTB309D Construct, maintain and remove coffer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71530" w:rsidP="00045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AE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63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E06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0EF"/>
  </w:style>
  <w:style w:type="character" w:customStyle="1" w:styleId="Heading1Char">
    <w:name w:val="Heading 1 Char"/>
    <w:basedOn w:val="DefaultParagraphFont"/>
    <w:link w:val="Heading1"/>
    <w:rsid w:val="00045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0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50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0EF"/>
    <w:rPr>
      <w:b/>
      <w:spacing w:val="0"/>
    </w:rPr>
  </w:style>
  <w:style w:type="paragraph" w:customStyle="1" w:styleId="SuperTitle">
    <w:name w:val="SuperTitle"/>
    <w:basedOn w:val="Title"/>
    <w:rsid w:val="00045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0EF"/>
    <w:rPr>
      <w:i/>
    </w:rPr>
  </w:style>
  <w:style w:type="paragraph" w:styleId="Caption">
    <w:name w:val="caption"/>
    <w:basedOn w:val="BodyText"/>
    <w:next w:val="Normal"/>
    <w:qFormat/>
    <w:rsid w:val="00045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0EF"/>
  </w:style>
  <w:style w:type="paragraph" w:styleId="TableofFigures">
    <w:name w:val="table of figures"/>
    <w:basedOn w:val="Normal"/>
    <w:next w:val="Normal"/>
    <w:semiHidden/>
    <w:rsid w:val="00045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0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0EF"/>
    <w:rPr>
      <w:rFonts w:ascii="Wingdings" w:hAnsi="Wingdings"/>
    </w:rPr>
  </w:style>
  <w:style w:type="paragraph" w:customStyle="1" w:styleId="TableHeading">
    <w:name w:val="Table Heading"/>
    <w:basedOn w:val="HeadingBase"/>
    <w:rsid w:val="00045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0EF"/>
    <w:rPr>
      <w:color w:val="0033CC"/>
      <w:u w:val="none"/>
    </w:rPr>
  </w:style>
  <w:style w:type="paragraph" w:customStyle="1" w:styleId="BodyTextRight">
    <w:name w:val="Body Text Right"/>
    <w:basedOn w:val="BodyText"/>
    <w:rsid w:val="00045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0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0EF"/>
    <w:rPr>
      <w:sz w:val="32"/>
    </w:rPr>
  </w:style>
  <w:style w:type="paragraph" w:customStyle="1" w:styleId="HeadingProcedure">
    <w:name w:val="Heading Procedure"/>
    <w:basedOn w:val="HeadingBase"/>
    <w:next w:val="Normal"/>
    <w:rsid w:val="00045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0EF"/>
    <w:pPr>
      <w:spacing w:before="60" w:after="60"/>
    </w:pPr>
  </w:style>
  <w:style w:type="paragraph" w:styleId="ListContinue">
    <w:name w:val="List Continue"/>
    <w:basedOn w:val="List"/>
    <w:rsid w:val="000450EF"/>
    <w:pPr>
      <w:ind w:firstLine="0"/>
    </w:pPr>
  </w:style>
  <w:style w:type="paragraph" w:customStyle="1" w:styleId="ListNote">
    <w:name w:val="List Note"/>
    <w:basedOn w:val="List"/>
    <w:rsid w:val="00045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0EF"/>
    <w:rPr>
      <w:rFonts w:ascii="Courier New" w:hAnsi="Courier New"/>
    </w:rPr>
  </w:style>
  <w:style w:type="paragraph" w:customStyle="1" w:styleId="NoteBullet">
    <w:name w:val="Note Bullet"/>
    <w:basedOn w:val="Note"/>
    <w:rsid w:val="00045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0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0EF"/>
    <w:rPr>
      <w:b/>
      <w:smallCaps/>
    </w:rPr>
  </w:style>
  <w:style w:type="paragraph" w:customStyle="1" w:styleId="TableListNumber">
    <w:name w:val="Table List Number"/>
    <w:basedOn w:val="ListNumber"/>
    <w:rsid w:val="00045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0EF"/>
    <w:pPr>
      <w:numPr>
        <w:numId w:val="9"/>
      </w:numPr>
    </w:pPr>
  </w:style>
  <w:style w:type="paragraph" w:customStyle="1" w:styleId="ListAlpha2">
    <w:name w:val="List Alpha 2"/>
    <w:basedOn w:val="List2"/>
    <w:rsid w:val="000450EF"/>
    <w:pPr>
      <w:numPr>
        <w:numId w:val="8"/>
      </w:numPr>
    </w:pPr>
  </w:style>
  <w:style w:type="paragraph" w:styleId="List2">
    <w:name w:val="List 2"/>
    <w:basedOn w:val="BodyText"/>
    <w:rsid w:val="00045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0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0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0EF"/>
    <w:pPr>
      <w:numPr>
        <w:numId w:val="4"/>
      </w:numPr>
    </w:pPr>
  </w:style>
  <w:style w:type="paragraph" w:styleId="ListContinue2">
    <w:name w:val="List Continue 2"/>
    <w:basedOn w:val="List2"/>
    <w:rsid w:val="000450EF"/>
    <w:pPr>
      <w:ind w:firstLine="0"/>
    </w:pPr>
  </w:style>
  <w:style w:type="paragraph" w:styleId="ListContinue3">
    <w:name w:val="List Continue 3"/>
    <w:basedOn w:val="List3"/>
    <w:rsid w:val="000450EF"/>
    <w:pPr>
      <w:ind w:left="1021" w:firstLine="0"/>
    </w:pPr>
  </w:style>
  <w:style w:type="paragraph" w:styleId="ListContinue4">
    <w:name w:val="List Continue 4"/>
    <w:basedOn w:val="List4"/>
    <w:rsid w:val="000450EF"/>
    <w:pPr>
      <w:ind w:firstLine="0"/>
    </w:pPr>
  </w:style>
  <w:style w:type="paragraph" w:styleId="ListContinue5">
    <w:name w:val="List Continue 5"/>
    <w:basedOn w:val="List5"/>
    <w:rsid w:val="000450EF"/>
    <w:pPr>
      <w:ind w:firstLine="0"/>
    </w:pPr>
  </w:style>
  <w:style w:type="paragraph" w:styleId="ListNumber3">
    <w:name w:val="List Number 3"/>
    <w:basedOn w:val="List3"/>
    <w:rsid w:val="000450EF"/>
    <w:pPr>
      <w:numPr>
        <w:numId w:val="5"/>
      </w:numPr>
    </w:pPr>
  </w:style>
  <w:style w:type="paragraph" w:styleId="ListNumber4">
    <w:name w:val="List Number 4"/>
    <w:basedOn w:val="List4"/>
    <w:rsid w:val="000450EF"/>
    <w:pPr>
      <w:numPr>
        <w:numId w:val="6"/>
      </w:numPr>
    </w:pPr>
  </w:style>
  <w:style w:type="paragraph" w:styleId="ListNumber5">
    <w:name w:val="List Number 5"/>
    <w:basedOn w:val="List5"/>
    <w:rsid w:val="000450EF"/>
    <w:pPr>
      <w:numPr>
        <w:numId w:val="7"/>
      </w:numPr>
    </w:pPr>
  </w:style>
  <w:style w:type="paragraph" w:styleId="BlockText">
    <w:name w:val="Block Text"/>
    <w:basedOn w:val="Normal"/>
    <w:rsid w:val="00045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0EF"/>
    <w:rPr>
      <w:sz w:val="16"/>
      <w:vertAlign w:val="superscript"/>
    </w:rPr>
  </w:style>
  <w:style w:type="character" w:customStyle="1" w:styleId="Symbols">
    <w:name w:val="Symbols"/>
    <w:basedOn w:val="DefaultParagraphFont"/>
    <w:rsid w:val="000450EF"/>
    <w:rPr>
      <w:rFonts w:ascii="Symbol" w:hAnsi="Symbol"/>
    </w:rPr>
  </w:style>
  <w:style w:type="character" w:customStyle="1" w:styleId="MenuOptions">
    <w:name w:val="Menu Options"/>
    <w:basedOn w:val="DefaultParagraphFont"/>
    <w:rsid w:val="00045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0EF"/>
    <w:rPr>
      <w:b/>
    </w:rPr>
  </w:style>
  <w:style w:type="character" w:customStyle="1" w:styleId="Underlined">
    <w:name w:val="Underlined"/>
    <w:basedOn w:val="DefaultParagraphFont"/>
    <w:rsid w:val="000450EF"/>
    <w:rPr>
      <w:u w:val="single"/>
    </w:rPr>
  </w:style>
  <w:style w:type="paragraph" w:customStyle="1" w:styleId="TableBodyTextRight">
    <w:name w:val="Table Body Text Right"/>
    <w:basedOn w:val="TableBodyText"/>
    <w:rsid w:val="00045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0EF"/>
    <w:rPr>
      <w:sz w:val="18"/>
    </w:rPr>
  </w:style>
  <w:style w:type="paragraph" w:customStyle="1" w:styleId="BodySmallRight">
    <w:name w:val="Body Small Right"/>
    <w:basedOn w:val="BodyTextRight"/>
    <w:rsid w:val="000450EF"/>
    <w:rPr>
      <w:sz w:val="18"/>
      <w:szCs w:val="18"/>
    </w:rPr>
  </w:style>
  <w:style w:type="paragraph" w:customStyle="1" w:styleId="MarginEdition">
    <w:name w:val="Margin Edition"/>
    <w:basedOn w:val="MarginNote"/>
    <w:rsid w:val="00045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0EF"/>
    <w:rPr>
      <w:sz w:val="2"/>
      <w:szCs w:val="2"/>
    </w:rPr>
  </w:style>
  <w:style w:type="character" w:customStyle="1" w:styleId="Small">
    <w:name w:val="Small"/>
    <w:basedOn w:val="DefaultParagraphFont"/>
    <w:rsid w:val="000450EF"/>
    <w:rPr>
      <w:sz w:val="16"/>
    </w:rPr>
  </w:style>
  <w:style w:type="paragraph" w:customStyle="1" w:styleId="WideTable">
    <w:name w:val="Wide Table"/>
    <w:basedOn w:val="Normal"/>
    <w:rsid w:val="00045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0EF"/>
  </w:style>
  <w:style w:type="paragraph" w:styleId="Quote">
    <w:name w:val="Quote"/>
    <w:basedOn w:val="Heading1"/>
    <w:link w:val="QuoteChar"/>
    <w:qFormat/>
    <w:rsid w:val="00045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0EF"/>
    <w:pPr>
      <w:pageBreakBefore/>
    </w:pPr>
  </w:style>
  <w:style w:type="paragraph" w:customStyle="1" w:styleId="Border">
    <w:name w:val="Border"/>
    <w:basedOn w:val="Normal"/>
    <w:qFormat/>
    <w:rsid w:val="00045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0EF"/>
    <w:rPr>
      <w:u w:val="single"/>
    </w:rPr>
  </w:style>
  <w:style w:type="character" w:customStyle="1" w:styleId="BoldandItalics">
    <w:name w:val="Bold and Italics"/>
    <w:qFormat/>
    <w:rsid w:val="000450EF"/>
    <w:rPr>
      <w:b/>
      <w:i/>
      <w:u w:val="none"/>
    </w:rPr>
  </w:style>
  <w:style w:type="paragraph" w:styleId="BalloonText">
    <w:name w:val="Balloon Text"/>
    <w:basedOn w:val="Normal"/>
    <w:link w:val="BalloonTextChar"/>
    <w:rsid w:val="00045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0EF"/>
    <w:pPr>
      <w:spacing w:before="0" w:after="0"/>
    </w:pPr>
  </w:style>
  <w:style w:type="paragraph" w:customStyle="1" w:styleId="BodyTextBold">
    <w:name w:val="Body Text Bold"/>
    <w:basedOn w:val="BodyText"/>
    <w:qFormat/>
    <w:rsid w:val="000450EF"/>
    <w:rPr>
      <w:b/>
    </w:rPr>
  </w:style>
  <w:style w:type="character" w:styleId="Hyperlink">
    <w:name w:val="Hyperlink"/>
    <w:basedOn w:val="DefaultParagraphFont"/>
    <w:uiPriority w:val="99"/>
    <w:unhideWhenUsed/>
    <w:rsid w:val="00671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5363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RIICTB309D Construct, maintain and remove coffer dams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2020-09-23T09:20:00Z</dcterms:created>
  <dcterms:modified xsi:type="dcterms:W3CDTF">2020-09-23T09:20:00Z</dcterms:modified>
</cp:coreProperties>
</file>