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C0EAB" w:rsidP="005C0EAB">
      <w:pPr>
        <w:pStyle w:val="Title"/>
      </w:pPr>
      <w:r>
        <w:fldChar w:fldCharType="begin"/>
      </w:r>
      <w:r>
        <w:instrText xml:space="preserve"> TITLE   \* MERGEFORMAT </w:instrText>
      </w:r>
      <w:r>
        <w:fldChar w:fldCharType="separate"/>
      </w:r>
      <w:r>
        <w:t>RIICTB303E Erect temporary modular support systems (baileys) on existing bridges</w:t>
      </w:r>
      <w:r>
        <w:fldChar w:fldCharType="end"/>
      </w:r>
    </w:p>
    <w:p w:rsidR="005C0EAB" w:rsidP="005C0EAB">
      <w:pPr>
        <w:pStyle w:val="Version"/>
        <w:sectPr w:rsidSect="003A0C8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A0C84" w:rsidP="003A0C84">
      <w:pPr>
        <w:pStyle w:val="SuperHeading"/>
      </w:pPr>
      <w:r w:rsidRPr="003A0C84">
        <w:t>RIICTB303E Erect temporary modular support systems (baileys) on existing bridges</w:t>
      </w:r>
    </w:p>
    <w:p w:rsidR="00000000" w:rsidRPr="003A0C84" w:rsidP="003A0C84">
      <w:pPr>
        <w:pStyle w:val="Heading1"/>
      </w:pPr>
      <w:bookmarkStart w:id="1" w:name="O_1136017"/>
      <w:bookmarkEnd w:id="1"/>
      <w:r w:rsidRPr="003A0C84">
        <w:t>Modification History</w:t>
      </w:r>
    </w:p>
    <w:tbl>
      <w:tblPr>
        <w:tblW w:w="0" w:type="auto"/>
        <w:tblCellMar>
          <w:left w:w="62" w:type="dxa"/>
          <w:right w:w="62" w:type="dxa"/>
        </w:tblCellMar>
        <w:tblLook w:val="0000"/>
      </w:tblPr>
      <w:tblGrid>
        <w:gridCol w:w="2326"/>
        <w:gridCol w:w="6870"/>
      </w:tblGrid>
      <w:tr w:rsidTr="005C0EAB">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3A0C84" w:rsidP="003A0C84">
            <w:pPr>
              <w:pStyle w:val="BodyText"/>
            </w:pPr>
            <w:r w:rsidRPr="003A0C84">
              <w:rPr>
                <w:rStyle w:val="SpecialBold"/>
              </w:rPr>
              <w:t>Release</w:t>
            </w:r>
            <w:r w:rsidRPr="003A0C84">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3A0C84">
            <w:pPr>
              <w:pStyle w:val="BodyText"/>
              <w:rPr>
                <w:lang w:val="en-NZ"/>
              </w:rPr>
            </w:pPr>
            <w:r w:rsidRPr="003A0C84">
              <w:rPr>
                <w:rStyle w:val="SpecialBold"/>
              </w:rPr>
              <w:t>Comments</w:t>
            </w:r>
            <w:r w:rsidRPr="003A0C84">
              <w:t> </w:t>
            </w:r>
          </w:p>
        </w:tc>
      </w:tr>
      <w:tr w:rsidTr="005C0EAB">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3A0C84">
            <w:pPr>
              <w:pStyle w:val="BodyText"/>
              <w:rPr>
                <w:lang w:val="en-NZ"/>
              </w:rPr>
            </w:pPr>
            <w:r w:rsidRPr="003A0C84">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3A0C84" w:rsidP="003A0C84">
            <w:pPr>
              <w:pStyle w:val="BodyText"/>
            </w:pPr>
            <w:r w:rsidRPr="003A0C84">
              <w:t>This version first released with RII Resources and Infrastructure Industry Training Package Version 6.0.</w:t>
            </w:r>
          </w:p>
        </w:tc>
      </w:tr>
    </w:tbl>
    <w:p w:rsidR="00000000" w:rsidRPr="003A0C84" w:rsidP="003A0C84">
      <w:pPr>
        <w:pStyle w:val="BodyText"/>
      </w:pPr>
    </w:p>
    <w:p w:rsidR="00000000" w:rsidRPr="003A0C84" w:rsidP="003A0C84">
      <w:pPr>
        <w:pStyle w:val="AllowPageBreak"/>
      </w:pPr>
    </w:p>
    <w:p w:rsidR="00000000" w:rsidRPr="003A0C84" w:rsidP="003A0C84">
      <w:pPr>
        <w:pStyle w:val="Heading1"/>
      </w:pPr>
      <w:bookmarkStart w:id="2" w:name="O_1136022"/>
      <w:bookmarkEnd w:id="2"/>
      <w:r w:rsidRPr="003A0C84">
        <w:t>Application</w:t>
      </w:r>
    </w:p>
    <w:p w:rsidR="00000000" w:rsidRPr="003A0C84" w:rsidP="005C0EAB">
      <w:pPr>
        <w:pStyle w:val="BodyText"/>
      </w:pPr>
      <w:r w:rsidRPr="003A0C84">
        <w:t xml:space="preserve">This unit describes the skills and knowledge required to erect temporary modular support systems (baileys) on existing bridges in civil construction including setting out, sequencing, constructing and dissembling temporary </w:t>
      </w:r>
      <w:r w:rsidRPr="003A0C84">
        <w:t xml:space="preserve">modular support systems. </w:t>
      </w:r>
    </w:p>
    <w:p w:rsidR="00000000" w:rsidRPr="003A0C84" w:rsidP="005C0EAB">
      <w:pPr>
        <w:pStyle w:val="BodyText"/>
      </w:pPr>
      <w:r w:rsidRPr="003A0C84">
        <w:t>It applies to those working in operational roles. They generally work under minimal supervision to undertake a broad range of tasks in varied work contexts, using some discretion and judgement in selecting equipment, services or c</w:t>
      </w:r>
      <w:r w:rsidRPr="003A0C84">
        <w:t>ontingency measures.</w:t>
      </w:r>
    </w:p>
    <w:p w:rsidR="00000000" w:rsidRPr="003A0C84" w:rsidP="005C0EAB">
      <w:pPr>
        <w:pStyle w:val="BodyText"/>
      </w:pPr>
      <w:r w:rsidRPr="003A0C84">
        <w:t>Licensing, legislative and certification requirements that apply to this unit can vary between states, territories, and industry sectors. Users must check requirements with relevant body before applying the unit.</w:t>
      </w:r>
    </w:p>
    <w:p w:rsidR="00000000" w:rsidRPr="003A0C84" w:rsidP="003A0C84">
      <w:pPr>
        <w:pStyle w:val="Heading1"/>
      </w:pPr>
      <w:bookmarkStart w:id="3" w:name="O_1136021"/>
      <w:bookmarkEnd w:id="3"/>
      <w:r w:rsidRPr="003A0C84">
        <w:t>Uni</w:t>
      </w:r>
      <w:r w:rsidRPr="003A0C84">
        <w:t>t Sector</w:t>
      </w:r>
    </w:p>
    <w:p w:rsidR="00000000" w:rsidRPr="003A0C84" w:rsidP="005C0EAB">
      <w:pPr>
        <w:pStyle w:val="BodyText"/>
      </w:pPr>
      <w:r w:rsidRPr="003A0C84">
        <w:t>Civil construction</w:t>
      </w:r>
    </w:p>
    <w:p w:rsidR="00000000" w:rsidRPr="003A0C84" w:rsidP="003A0C84">
      <w:pPr>
        <w:pStyle w:val="Heading1"/>
      </w:pPr>
      <w:bookmarkStart w:id="4" w:name="O_1136020"/>
      <w:bookmarkEnd w:id="4"/>
      <w:r w:rsidRPr="003A0C84">
        <w:t>Elements and Performance Criteria</w:t>
      </w:r>
    </w:p>
    <w:tbl>
      <w:tblPr>
        <w:tblW w:w="9288" w:type="dxa"/>
        <w:tblLayout w:type="fixed"/>
        <w:tblCellMar>
          <w:left w:w="62" w:type="dxa"/>
          <w:right w:w="62" w:type="dxa"/>
        </w:tblCellMar>
        <w:tblLook w:val="0000"/>
      </w:tblPr>
      <w:tblGrid>
        <w:gridCol w:w="2305"/>
        <w:gridCol w:w="6983"/>
      </w:tblGrid>
      <w:tr w:rsidTr="003A0C84">
        <w:tblPrEx>
          <w:tblW w:w="9288" w:type="dxa"/>
          <w:tblLayout w:type="fixed"/>
          <w:tblCellMar>
            <w:left w:w="62" w:type="dxa"/>
            <w:right w:w="62" w:type="dxa"/>
          </w:tblCellMar>
          <w:tblLook w:val="0000"/>
        </w:tblPrEx>
        <w:trPr>
          <w:tblHeader/>
        </w:trPr>
        <w:tc>
          <w:tcPr>
            <w:tcW w:w="2305"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3A0C84">
            <w:pPr>
              <w:pStyle w:val="BodyTextBold"/>
              <w:rPr>
                <w:lang w:val="en-NZ"/>
              </w:rPr>
            </w:pPr>
            <w:r w:rsidRPr="003A0C84">
              <w:t>ELEMENT</w:t>
            </w:r>
          </w:p>
        </w:tc>
        <w:tc>
          <w:tcPr>
            <w:tcW w:w="6983"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3A0C84">
            <w:pPr>
              <w:pStyle w:val="BodyTextBold"/>
              <w:rPr>
                <w:lang w:val="en-NZ"/>
              </w:rPr>
            </w:pPr>
            <w:r w:rsidRPr="003A0C84">
              <w:t>PERFORMANCE CRITERIA</w:t>
            </w:r>
          </w:p>
        </w:tc>
      </w:tr>
      <w:tr w:rsidTr="003A0C84">
        <w:tblPrEx>
          <w:tblW w:w="9288" w:type="dxa"/>
          <w:tblLayout w:type="fixed"/>
          <w:tblCellMar>
            <w:left w:w="62" w:type="dxa"/>
            <w:right w:w="62" w:type="dxa"/>
          </w:tblCellMar>
          <w:tblLook w:val="0000"/>
        </w:tblPrEx>
        <w:tc>
          <w:tcPr>
            <w:tcW w:w="230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3A0C84" w:rsidP="003A0C84">
            <w:pPr>
              <w:pStyle w:val="BodyText"/>
            </w:pPr>
            <w:r w:rsidRPr="003A0C84">
              <w:rPr>
                <w:rStyle w:val="Emphasis"/>
              </w:rPr>
              <w:t>Elements describe the essential outcomes.</w:t>
            </w:r>
          </w:p>
        </w:tc>
        <w:tc>
          <w:tcPr>
            <w:tcW w:w="6983"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3A0C84">
            <w:pPr>
              <w:pStyle w:val="BodyText"/>
              <w:rPr>
                <w:lang w:val="en-NZ"/>
              </w:rPr>
            </w:pPr>
            <w:r w:rsidRPr="003A0C84">
              <w:rPr>
                <w:rStyle w:val="Emphasis"/>
              </w:rPr>
              <w:t>Performance criteria describe the performance needed to demonstrate achievement of the element.</w:t>
            </w:r>
          </w:p>
        </w:tc>
      </w:tr>
      <w:tr w:rsidTr="003A0C84">
        <w:tblPrEx>
          <w:tblW w:w="9288"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0C84">
            <w:pPr>
              <w:pStyle w:val="List"/>
              <w:rPr>
                <w:lang w:val="en-NZ"/>
              </w:rPr>
            </w:pPr>
            <w:r w:rsidRPr="003A0C84">
              <w:t xml:space="preserve">1. Plan and prepare to erect a temporary modular support system </w:t>
            </w:r>
          </w:p>
        </w:tc>
        <w:tc>
          <w:tcPr>
            <w:tcW w:w="69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0C84" w:rsidP="003A0C84">
            <w:pPr>
              <w:pStyle w:val="List"/>
            </w:pPr>
            <w:r w:rsidRPr="003A0C84">
              <w:t xml:space="preserve">1.1 Obtain, interpret, clarify and confirm work instructions </w:t>
            </w:r>
          </w:p>
          <w:p w:rsidR="00000000" w:rsidRPr="003A0C84" w:rsidP="003A0C84">
            <w:pPr>
              <w:pStyle w:val="List"/>
            </w:pPr>
            <w:r w:rsidRPr="003A0C84">
              <w:t>1.2 Access, interpret and apply documentation required to erect temporary modular support systems (baileys) and confirm work acti</w:t>
            </w:r>
            <w:r w:rsidRPr="003A0C84">
              <w:t>vity is compliant</w:t>
            </w:r>
          </w:p>
          <w:p w:rsidR="00000000" w:rsidRPr="003A0C84" w:rsidP="003A0C84">
            <w:pPr>
              <w:pStyle w:val="List"/>
            </w:pPr>
            <w:r w:rsidRPr="003A0C84">
              <w:t>1.3 Obtain and interpret emergency procedures, and identify steps required to respond to emergencies</w:t>
            </w:r>
          </w:p>
          <w:p w:rsidR="00000000" w:rsidRPr="003A0C84" w:rsidP="003A0C84">
            <w:pPr>
              <w:pStyle w:val="List"/>
            </w:pPr>
            <w:r w:rsidRPr="003A0C84">
              <w:t>1.4 Select and wear personal protective equipment according to site requirements</w:t>
            </w:r>
          </w:p>
          <w:p w:rsidR="00000000" w:rsidRPr="003A0C84" w:rsidP="003A0C84">
            <w:pPr>
              <w:pStyle w:val="List"/>
            </w:pPr>
            <w:r w:rsidRPr="003A0C84">
              <w:t>1.5 Confirm and identify requirements for complying with</w:t>
            </w:r>
            <w:r w:rsidRPr="003A0C84">
              <w:t xml:space="preserve"> environmental protection, safety and traffic management signage requirements </w:t>
            </w:r>
          </w:p>
          <w:p w:rsidR="00000000" w:rsidRPr="003A0C84" w:rsidP="003A0C84">
            <w:pPr>
              <w:pStyle w:val="List"/>
            </w:pPr>
            <w:r w:rsidRPr="003A0C84">
              <w:t>1.6 Identify, address and report environmental issues, potential hazards and risks</w:t>
            </w:r>
          </w:p>
          <w:p w:rsidR="00000000" w:rsidRPr="003A0C84" w:rsidP="003A0C84">
            <w:pPr>
              <w:pStyle w:val="List"/>
            </w:pPr>
            <w:r w:rsidRPr="003A0C84">
              <w:t>1.7 Select plant, tools and equipment required to carry out tasks and check for faults</w:t>
            </w:r>
          </w:p>
          <w:p w:rsidR="00000000" w:rsidP="003A0C84">
            <w:pPr>
              <w:pStyle w:val="List"/>
              <w:rPr>
                <w:lang w:val="en-NZ"/>
              </w:rPr>
            </w:pPr>
            <w:r w:rsidRPr="003A0C84">
              <w:t>1.8 Ide</w:t>
            </w:r>
            <w:r w:rsidRPr="003A0C84">
              <w:t>ntify, confirm, and locate materials required for work application</w:t>
            </w:r>
          </w:p>
        </w:tc>
      </w:tr>
      <w:tr w:rsidTr="003A0C84">
        <w:tblPrEx>
          <w:tblW w:w="9288"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0C84">
            <w:pPr>
              <w:pStyle w:val="List"/>
              <w:rPr>
                <w:lang w:val="en-NZ"/>
              </w:rPr>
            </w:pPr>
            <w:r w:rsidRPr="003A0C84">
              <w:t>2. Set out support system</w:t>
            </w:r>
          </w:p>
        </w:tc>
        <w:tc>
          <w:tcPr>
            <w:tcW w:w="69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0C84" w:rsidP="003A0C84">
            <w:pPr>
              <w:pStyle w:val="List"/>
            </w:pPr>
            <w:r w:rsidRPr="003A0C84">
              <w:t xml:space="preserve">2.1 Assess load bearing capacity of support directly under the support system </w:t>
            </w:r>
          </w:p>
          <w:p w:rsidR="00000000" w:rsidRPr="003A0C84" w:rsidP="003A0C84">
            <w:pPr>
              <w:pStyle w:val="List"/>
            </w:pPr>
            <w:r w:rsidRPr="003A0C84">
              <w:t>2.2 Set out bearing locations according to job requirements</w:t>
            </w:r>
          </w:p>
          <w:p w:rsidR="00000000" w:rsidP="003A0C84">
            <w:pPr>
              <w:pStyle w:val="List"/>
              <w:rPr>
                <w:lang w:val="en-NZ"/>
              </w:rPr>
            </w:pPr>
            <w:r w:rsidRPr="003A0C84">
              <w:t>2.3 Install supplementary supports according to job requirements</w:t>
            </w:r>
          </w:p>
        </w:tc>
      </w:tr>
      <w:tr w:rsidTr="003A0C84">
        <w:tblPrEx>
          <w:tblW w:w="9288"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0C84">
            <w:pPr>
              <w:pStyle w:val="List"/>
              <w:rPr>
                <w:lang w:val="en-NZ"/>
              </w:rPr>
            </w:pPr>
            <w:r w:rsidRPr="003A0C84">
              <w:t>3. Assemble temporary modular bridge</w:t>
            </w:r>
          </w:p>
        </w:tc>
        <w:tc>
          <w:tcPr>
            <w:tcW w:w="69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0C84" w:rsidP="003A0C84">
            <w:pPr>
              <w:pStyle w:val="List"/>
            </w:pPr>
            <w:r w:rsidRPr="003A0C84">
              <w:t>3.1 Select resources, materials and equipment according to job requirements</w:t>
            </w:r>
          </w:p>
          <w:p w:rsidR="00000000" w:rsidRPr="003A0C84" w:rsidP="003A0C84">
            <w:pPr>
              <w:pStyle w:val="List"/>
            </w:pPr>
            <w:r w:rsidRPr="003A0C84">
              <w:t>3.2 Confirm serviceability of components and replace faulty parts</w:t>
            </w:r>
          </w:p>
          <w:p w:rsidR="00000000" w:rsidRPr="003A0C84" w:rsidP="003A0C84">
            <w:pPr>
              <w:pStyle w:val="List"/>
            </w:pPr>
            <w:r w:rsidRPr="003A0C84">
              <w:t>3.3 Compile</w:t>
            </w:r>
            <w:r w:rsidRPr="003A0C84">
              <w:t xml:space="preserve"> components and confirm inventory according to job requirements</w:t>
            </w:r>
          </w:p>
          <w:p w:rsidR="00000000" w:rsidRPr="003A0C84" w:rsidP="003A0C84">
            <w:pPr>
              <w:pStyle w:val="List"/>
            </w:pPr>
            <w:r w:rsidRPr="003A0C84">
              <w:t>3.4 Mark location points for high capacity panelling according to job requirements</w:t>
            </w:r>
          </w:p>
          <w:p w:rsidR="00000000" w:rsidRPr="003A0C84" w:rsidP="003A0C84">
            <w:pPr>
              <w:pStyle w:val="List"/>
            </w:pPr>
            <w:r w:rsidRPr="003A0C84">
              <w:t>3.5 Sequence assembly process according to job requirements</w:t>
            </w:r>
          </w:p>
          <w:p w:rsidR="00000000" w:rsidRPr="003A0C84" w:rsidP="003A0C84">
            <w:pPr>
              <w:pStyle w:val="List"/>
            </w:pPr>
            <w:r w:rsidRPr="003A0C84">
              <w:t>3.6 Assemble interlocking components using connec</w:t>
            </w:r>
            <w:r w:rsidRPr="003A0C84">
              <w:t xml:space="preserve">tions and fittings according to job requirements </w:t>
            </w:r>
          </w:p>
          <w:p w:rsidR="00000000" w:rsidP="003A0C84">
            <w:pPr>
              <w:pStyle w:val="List"/>
              <w:rPr>
                <w:lang w:val="en-NZ"/>
              </w:rPr>
            </w:pPr>
            <w:r w:rsidRPr="003A0C84">
              <w:t>3.7 Confirm completed assembly</w:t>
            </w:r>
          </w:p>
        </w:tc>
      </w:tr>
      <w:tr w:rsidTr="003A0C84">
        <w:tblPrEx>
          <w:tblW w:w="9288"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0C84">
            <w:pPr>
              <w:pStyle w:val="List"/>
              <w:rPr>
                <w:lang w:val="en-NZ"/>
              </w:rPr>
            </w:pPr>
            <w:r w:rsidRPr="003A0C84">
              <w:t>4. Disassemble temporary modular bridge</w:t>
            </w:r>
          </w:p>
        </w:tc>
        <w:tc>
          <w:tcPr>
            <w:tcW w:w="69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0C84" w:rsidP="003A0C84">
            <w:pPr>
              <w:pStyle w:val="List"/>
            </w:pPr>
            <w:r w:rsidRPr="003A0C84">
              <w:t>4.1 Sequence disassembly process according to job requirements</w:t>
            </w:r>
          </w:p>
          <w:p w:rsidR="00000000" w:rsidRPr="003A0C84" w:rsidP="003A0C84">
            <w:pPr>
              <w:pStyle w:val="List"/>
            </w:pPr>
            <w:r w:rsidRPr="003A0C84">
              <w:t>4.2 Select resources, materials and equipment according to job requirem</w:t>
            </w:r>
            <w:r w:rsidRPr="003A0C84">
              <w:t>ents</w:t>
            </w:r>
          </w:p>
          <w:p w:rsidR="00000000" w:rsidRPr="003A0C84" w:rsidP="003A0C84">
            <w:pPr>
              <w:pStyle w:val="List"/>
            </w:pPr>
            <w:r w:rsidRPr="003A0C84">
              <w:t>4.3 Disassemble interlocking components including connections and fittings</w:t>
            </w:r>
          </w:p>
          <w:p w:rsidR="00000000" w:rsidRPr="003A0C84" w:rsidP="003A0C84">
            <w:pPr>
              <w:pStyle w:val="List"/>
            </w:pPr>
            <w:r w:rsidRPr="003A0C84">
              <w:t>4.4 Compile components and confirm inventory according to job requirements</w:t>
            </w:r>
          </w:p>
          <w:p w:rsidR="00000000" w:rsidRPr="003A0C84" w:rsidP="003A0C84">
            <w:pPr>
              <w:pStyle w:val="List"/>
            </w:pPr>
            <w:r w:rsidRPr="003A0C84">
              <w:t>4.5 Assess condition of components for acceptable reuse according to site and equipment safety requir</w:t>
            </w:r>
            <w:r w:rsidRPr="003A0C84">
              <w:t>ements</w:t>
            </w:r>
          </w:p>
          <w:p w:rsidR="00000000" w:rsidP="003A0C84">
            <w:pPr>
              <w:pStyle w:val="List"/>
              <w:rPr>
                <w:lang w:val="en-NZ"/>
              </w:rPr>
            </w:pPr>
            <w:r w:rsidRPr="003A0C84">
              <w:t>4.6 Store components according to manufacturer specifications and site requirements</w:t>
            </w:r>
          </w:p>
        </w:tc>
      </w:tr>
      <w:tr w:rsidTr="003A0C84">
        <w:tblPrEx>
          <w:tblW w:w="9288"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0C84">
            <w:pPr>
              <w:pStyle w:val="List"/>
              <w:rPr>
                <w:lang w:val="en-NZ"/>
              </w:rPr>
            </w:pPr>
            <w:r w:rsidRPr="003A0C84">
              <w:t>5. Conduct clean-up activities</w:t>
            </w:r>
          </w:p>
        </w:tc>
        <w:tc>
          <w:tcPr>
            <w:tcW w:w="69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0C84" w:rsidP="003A0C84">
            <w:pPr>
              <w:pStyle w:val="List"/>
            </w:pPr>
            <w:r w:rsidRPr="003A0C84">
              <w:t>5.1 Clear work area and dispose of or recycle materials according to site requirements</w:t>
            </w:r>
          </w:p>
          <w:p w:rsidR="00000000" w:rsidRPr="003A0C84" w:rsidP="003A0C84">
            <w:pPr>
              <w:pStyle w:val="List"/>
            </w:pPr>
            <w:r w:rsidRPr="003A0C84">
              <w:t>5.2 Clean, check, perform maintenance on and store machinery, tools and equipment according to manufacturer specifications and site requirements</w:t>
            </w:r>
          </w:p>
        </w:tc>
      </w:tr>
    </w:tbl>
    <w:p w:rsidR="00000000" w:rsidRPr="003A0C84" w:rsidP="003A0C84">
      <w:pPr>
        <w:pStyle w:val="BodyText"/>
      </w:pPr>
    </w:p>
    <w:p w:rsidR="00000000" w:rsidRPr="003A0C84" w:rsidP="003A0C84">
      <w:pPr>
        <w:pStyle w:val="AllowPageBreak"/>
      </w:pPr>
    </w:p>
    <w:p w:rsidR="00000000" w:rsidRPr="003A0C84" w:rsidP="003A0C84">
      <w:pPr>
        <w:pStyle w:val="Heading1"/>
      </w:pPr>
      <w:bookmarkStart w:id="5" w:name="O_1136019"/>
      <w:bookmarkEnd w:id="5"/>
      <w:r w:rsidRPr="003A0C84">
        <w:t>Foundation Skills</w:t>
      </w:r>
    </w:p>
    <w:p w:rsidR="00000000" w:rsidRPr="005C0EAB" w:rsidP="005C0EAB">
      <w:pPr>
        <w:pStyle w:val="BodyText"/>
        <w:rPr>
          <w:i/>
        </w:rPr>
      </w:pPr>
      <w:r w:rsidRPr="005C0EAB">
        <w:rPr>
          <w:rStyle w:val="Emphasis"/>
        </w:rPr>
        <w:t>This section describes those language, literacy, numeracy and employment</w:t>
      </w:r>
      <w:r w:rsidRPr="005C0EAB">
        <w:rPr>
          <w:rStyle w:val="Emphasis"/>
        </w:rPr>
        <w:t xml:space="preserve"> skills that are essential to performance but not explicit in the performance criteria.</w:t>
      </w:r>
    </w:p>
    <w:tbl>
      <w:tblPr>
        <w:tblW w:w="9335" w:type="dxa"/>
        <w:tblLayout w:type="fixed"/>
        <w:tblCellMar>
          <w:left w:w="62" w:type="dxa"/>
          <w:right w:w="62" w:type="dxa"/>
        </w:tblCellMar>
        <w:tblLook w:val="0000"/>
      </w:tblPr>
      <w:tblGrid>
        <w:gridCol w:w="2443"/>
        <w:gridCol w:w="6892"/>
      </w:tblGrid>
      <w:tr w:rsidTr="003A0C84">
        <w:tblPrEx>
          <w:tblW w:w="9335" w:type="dxa"/>
          <w:tblLayout w:type="fixed"/>
          <w:tblCellMar>
            <w:left w:w="62" w:type="dxa"/>
            <w:right w:w="62" w:type="dxa"/>
          </w:tblCellMar>
          <w:tblLook w:val="0000"/>
        </w:tblPrEx>
        <w:tc>
          <w:tcPr>
            <w:tcW w:w="24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0C84" w:rsidP="003A0C84">
            <w:pPr>
              <w:pStyle w:val="BodyText"/>
            </w:pPr>
            <w:r w:rsidRPr="003A0C84">
              <w:rPr>
                <w:rStyle w:val="SpecialBold"/>
              </w:rPr>
              <w:t>SKILL</w:t>
            </w:r>
          </w:p>
        </w:tc>
        <w:tc>
          <w:tcPr>
            <w:tcW w:w="68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0C84">
            <w:pPr>
              <w:pStyle w:val="BodyText"/>
              <w:rPr>
                <w:lang w:val="en-NZ"/>
              </w:rPr>
            </w:pPr>
            <w:r w:rsidRPr="003A0C84">
              <w:rPr>
                <w:rStyle w:val="SpecialBold"/>
              </w:rPr>
              <w:t>DESCRIPTION</w:t>
            </w:r>
          </w:p>
        </w:tc>
      </w:tr>
      <w:tr w:rsidTr="003A0C84">
        <w:tblPrEx>
          <w:tblW w:w="9335" w:type="dxa"/>
          <w:tblLayout w:type="fixed"/>
          <w:tblCellMar>
            <w:left w:w="62" w:type="dxa"/>
            <w:right w:w="62" w:type="dxa"/>
          </w:tblCellMar>
          <w:tblLook w:val="0000"/>
        </w:tblPrEx>
        <w:tc>
          <w:tcPr>
            <w:tcW w:w="24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0C84">
            <w:pPr>
              <w:pStyle w:val="BodyText"/>
              <w:rPr>
                <w:lang w:val="en-NZ"/>
              </w:rPr>
            </w:pPr>
            <w:r w:rsidRPr="003A0C84">
              <w:t>Numeracy</w:t>
            </w:r>
          </w:p>
        </w:tc>
        <w:tc>
          <w:tcPr>
            <w:tcW w:w="68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0C84">
            <w:pPr>
              <w:pStyle w:val="ListBullet"/>
              <w:rPr>
                <w:lang w:val="en-NZ"/>
              </w:rPr>
            </w:pPr>
            <w:r w:rsidRPr="003A0C84">
              <w:t>Calculates basic measurements including mass and dimensions</w:t>
            </w:r>
          </w:p>
        </w:tc>
      </w:tr>
      <w:tr w:rsidTr="003A0C84">
        <w:tblPrEx>
          <w:tblW w:w="9335" w:type="dxa"/>
          <w:tblLayout w:type="fixed"/>
          <w:tblCellMar>
            <w:left w:w="62" w:type="dxa"/>
            <w:right w:w="62" w:type="dxa"/>
          </w:tblCellMar>
          <w:tblLook w:val="0000"/>
        </w:tblPrEx>
        <w:tc>
          <w:tcPr>
            <w:tcW w:w="24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0C84">
            <w:pPr>
              <w:pStyle w:val="BodyText"/>
              <w:rPr>
                <w:lang w:val="en-NZ"/>
              </w:rPr>
            </w:pPr>
            <w:r w:rsidRPr="003A0C84">
              <w:t>Oral communication</w:t>
            </w:r>
          </w:p>
        </w:tc>
        <w:tc>
          <w:tcPr>
            <w:tcW w:w="68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0C84" w:rsidP="003A0C84">
            <w:pPr>
              <w:pStyle w:val="ListBullet"/>
            </w:pPr>
            <w:r w:rsidRPr="003A0C84">
              <w:t>Identifies and interprets information from verbal instructions</w:t>
            </w:r>
          </w:p>
          <w:p w:rsidR="00000000" w:rsidP="003A0C84">
            <w:pPr>
              <w:pStyle w:val="ListBullet"/>
              <w:rPr>
                <w:lang w:val="en-NZ"/>
              </w:rPr>
            </w:pPr>
            <w:r w:rsidRPr="003A0C84">
              <w:t>Conveys information and instructions to others verbally</w:t>
            </w:r>
          </w:p>
        </w:tc>
      </w:tr>
      <w:tr w:rsidTr="003A0C84">
        <w:tblPrEx>
          <w:tblW w:w="9335" w:type="dxa"/>
          <w:tblLayout w:type="fixed"/>
          <w:tblCellMar>
            <w:left w:w="62" w:type="dxa"/>
            <w:right w:w="62" w:type="dxa"/>
          </w:tblCellMar>
          <w:tblLook w:val="0000"/>
        </w:tblPrEx>
        <w:tc>
          <w:tcPr>
            <w:tcW w:w="24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0C84">
            <w:pPr>
              <w:pStyle w:val="BodyText"/>
              <w:rPr>
                <w:lang w:val="en-NZ"/>
              </w:rPr>
            </w:pPr>
            <w:r w:rsidRPr="003A0C84">
              <w:t>Self-management</w:t>
            </w:r>
          </w:p>
        </w:tc>
        <w:tc>
          <w:tcPr>
            <w:tcW w:w="68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0C84" w:rsidP="003A0C84">
            <w:pPr>
              <w:pStyle w:val="ListBullet"/>
            </w:pPr>
            <w:r w:rsidRPr="003A0C84">
              <w:t>Monitors and minimises own exposure to worksite risks and hazards during work activities</w:t>
            </w:r>
          </w:p>
        </w:tc>
      </w:tr>
    </w:tbl>
    <w:p w:rsidR="00000000" w:rsidRPr="003A0C84" w:rsidP="003A0C84">
      <w:pPr>
        <w:pStyle w:val="BodyText"/>
      </w:pPr>
    </w:p>
    <w:p w:rsidR="00000000" w:rsidRPr="003A0C84" w:rsidP="003A0C84">
      <w:pPr>
        <w:pStyle w:val="AllowPageBreak"/>
      </w:pPr>
    </w:p>
    <w:p w:rsidR="00000000" w:rsidRPr="003A0C84" w:rsidP="003A0C84">
      <w:pPr>
        <w:pStyle w:val="Heading1"/>
      </w:pPr>
      <w:bookmarkStart w:id="6" w:name="O_1136018"/>
      <w:bookmarkEnd w:id="6"/>
      <w:r w:rsidRPr="003A0C84">
        <w:t>Unit Mapp</w:t>
      </w:r>
      <w:r w:rsidRPr="003A0C84">
        <w:t>ing Information</w:t>
      </w:r>
    </w:p>
    <w:p w:rsidR="00000000" w:rsidRPr="003A0C84" w:rsidP="005C0EAB">
      <w:pPr>
        <w:pStyle w:val="BodyText"/>
      </w:pPr>
      <w:r w:rsidRPr="003A0C84">
        <w:t>Supersedes and is equivalent to RIICTB303D Erect a temporary modular support system (bailey) on an existing bridge.</w:t>
      </w:r>
    </w:p>
    <w:p w:rsidR="00000000" w:rsidRPr="003A0C84" w:rsidP="003A0C84">
      <w:pPr>
        <w:pStyle w:val="Heading1"/>
      </w:pPr>
      <w:bookmarkStart w:id="7" w:name="O_1136011"/>
      <w:bookmarkEnd w:id="7"/>
      <w:r w:rsidRPr="003A0C84">
        <w:t>Links</w:t>
      </w:r>
    </w:p>
    <w:p w:rsidR="00000000" w:rsidRPr="003A0C84" w:rsidP="005C0EAB">
      <w:pPr>
        <w:pStyle w:val="BodyText"/>
      </w:pPr>
      <w:r w:rsidRPr="003A0C84">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AD719D">
        <w:rPr>
          <w:rStyle w:val="Hyperlink"/>
        </w:rPr>
        <w:t>https://vetnet.gov.au/Pages/TrainingDocs.aspx?q=88a61002-9a21-4386-aaf8-69c76e675272</w:t>
      </w:r>
      <w:r>
        <w:fldChar w:fldCharType="end"/>
      </w:r>
    </w:p>
    <w:p w:rsidR="00000000" w:rsidRPr="003A0C84" w:rsidP="005C0EAB">
      <w:pPr>
        <w:pStyle w:val="BodyText"/>
        <w:sectPr w:rsidSect="003A0C84">
          <w:headerReference w:type="default" r:id="rId10"/>
          <w:footerReference w:type="default" r:id="rId11"/>
          <w:pgSz w:w="11908" w:h="16833"/>
          <w:pgMar w:top="1702" w:right="1418" w:bottom="1702" w:left="1418" w:header="992" w:footer="992" w:gutter="0"/>
          <w:cols w:space="720"/>
          <w:noEndnote/>
          <w:docGrid w:linePitch="299"/>
        </w:sectPr>
      </w:pPr>
    </w:p>
    <w:p w:rsidR="00000000" w:rsidRPr="003A0C84" w:rsidP="003A0C84">
      <w:pPr>
        <w:pStyle w:val="SuperHeading"/>
      </w:pPr>
      <w:r w:rsidRPr="003A0C84">
        <w:t>Assessment Requirements for RIICTB303E Erect temporary modular su</w:t>
      </w:r>
      <w:r w:rsidRPr="003A0C84">
        <w:t>pport systems (baileys) on existing bridges</w:t>
      </w:r>
    </w:p>
    <w:p w:rsidR="00000000" w:rsidRPr="003A0C84" w:rsidP="003A0C84">
      <w:pPr>
        <w:pStyle w:val="Heading1"/>
      </w:pPr>
      <w:bookmarkStart w:id="8" w:name="O_1136013"/>
      <w:bookmarkEnd w:id="8"/>
      <w:r w:rsidRPr="003A0C84">
        <w:t>Modification History</w:t>
      </w:r>
    </w:p>
    <w:tbl>
      <w:tblPr>
        <w:tblW w:w="0" w:type="auto"/>
        <w:tblCellMar>
          <w:left w:w="62" w:type="dxa"/>
          <w:right w:w="62" w:type="dxa"/>
        </w:tblCellMar>
        <w:tblLook w:val="0000"/>
      </w:tblPr>
      <w:tblGrid>
        <w:gridCol w:w="2307"/>
        <w:gridCol w:w="6889"/>
      </w:tblGrid>
      <w:tr w:rsidTr="005C0EAB">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3A0C84" w:rsidP="003A0C84">
            <w:pPr>
              <w:pStyle w:val="BodyText"/>
            </w:pPr>
            <w:r w:rsidRPr="003A0C84">
              <w:rPr>
                <w:rStyle w:val="SpecialBold"/>
              </w:rPr>
              <w:t>Release</w:t>
            </w:r>
            <w:r w:rsidRPr="003A0C84">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3A0C84">
            <w:pPr>
              <w:pStyle w:val="BodyText"/>
              <w:rPr>
                <w:lang w:val="en-NZ"/>
              </w:rPr>
            </w:pPr>
            <w:r w:rsidRPr="003A0C84">
              <w:rPr>
                <w:rStyle w:val="SpecialBold"/>
              </w:rPr>
              <w:t>Comments</w:t>
            </w:r>
            <w:r w:rsidRPr="003A0C84">
              <w:t> </w:t>
            </w:r>
          </w:p>
        </w:tc>
      </w:tr>
      <w:tr w:rsidTr="005C0EAB">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3A0C84">
            <w:pPr>
              <w:pStyle w:val="BodyText"/>
              <w:rPr>
                <w:lang w:val="en-NZ"/>
              </w:rPr>
            </w:pPr>
            <w:r w:rsidRPr="003A0C84">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3A0C84" w:rsidP="003A0C84">
            <w:pPr>
              <w:pStyle w:val="BodyText"/>
            </w:pPr>
            <w:r w:rsidRPr="003A0C84">
              <w:t>This version first released with RII Resources and Infrastructure Industry Training Package Version 6.0.</w:t>
            </w:r>
          </w:p>
        </w:tc>
      </w:tr>
    </w:tbl>
    <w:p w:rsidR="00000000" w:rsidRPr="003A0C84" w:rsidP="003A0C84">
      <w:pPr>
        <w:pStyle w:val="BodyText"/>
      </w:pPr>
    </w:p>
    <w:p w:rsidR="00000000" w:rsidRPr="003A0C84" w:rsidP="003A0C84">
      <w:pPr>
        <w:pStyle w:val="AllowPageBreak"/>
      </w:pPr>
    </w:p>
    <w:p w:rsidR="00000000" w:rsidRPr="003A0C84" w:rsidP="003A0C84">
      <w:pPr>
        <w:pStyle w:val="Heading1"/>
      </w:pPr>
      <w:bookmarkStart w:id="9" w:name="O_1136016"/>
      <w:bookmarkEnd w:id="9"/>
      <w:r w:rsidRPr="003A0C84">
        <w:t>Performance Evidence</w:t>
      </w:r>
    </w:p>
    <w:p w:rsidR="00000000" w:rsidRPr="003A0C84" w:rsidP="005C0EAB">
      <w:pPr>
        <w:pStyle w:val="BodyText"/>
      </w:pPr>
      <w:r w:rsidRPr="003A0C84">
        <w:t>The candidate must demonstrate the ability to complete the tasks outlined in the elements, performance criteria and foundation skills of this unit, including evidence of the ability to:</w:t>
      </w:r>
    </w:p>
    <w:p w:rsidR="00000000" w:rsidRPr="003A0C84" w:rsidP="003A0C84">
      <w:pPr>
        <w:pStyle w:val="ListBullet"/>
      </w:pPr>
      <w:r w:rsidRPr="003A0C84">
        <w:t>erect temporary modular support systems (baileys</w:t>
      </w:r>
      <w:r w:rsidRPr="003A0C84">
        <w:t xml:space="preserve">) on existing bridges on at least two occasions, including: </w:t>
      </w:r>
    </w:p>
    <w:p w:rsidR="00000000" w:rsidRPr="003A0C84" w:rsidP="003A0C84">
      <w:pPr>
        <w:pStyle w:val="ListBullet2"/>
      </w:pPr>
      <w:r w:rsidRPr="003A0C84">
        <w:t>setting out and establishing support system</w:t>
      </w:r>
    </w:p>
    <w:p w:rsidR="00000000" w:rsidRPr="003A0C84" w:rsidP="003A0C84">
      <w:pPr>
        <w:pStyle w:val="ListBullet2"/>
      </w:pPr>
      <w:r w:rsidRPr="003A0C84">
        <w:t>constructing one temporary modular support system (bailey) on an existing bridge to design specifications</w:t>
      </w:r>
    </w:p>
    <w:p w:rsidR="00000000" w:rsidRPr="003A0C84" w:rsidP="003A0C84">
      <w:pPr>
        <w:pStyle w:val="ListBullet2"/>
      </w:pPr>
      <w:r w:rsidRPr="003A0C84">
        <w:t>disassembling one temporary modular support system (bailey).</w:t>
      </w:r>
    </w:p>
    <w:p w:rsidR="00000000" w:rsidRPr="003A0C84" w:rsidP="003A0C84">
      <w:pPr>
        <w:pStyle w:val="BodyText"/>
      </w:pPr>
    </w:p>
    <w:p w:rsidR="00000000" w:rsidRPr="003A0C84" w:rsidP="005C0EAB">
      <w:pPr>
        <w:pStyle w:val="BodyText"/>
      </w:pPr>
      <w:r w:rsidRPr="003A0C84">
        <w:t xml:space="preserve">During the above, the candidate must: </w:t>
      </w:r>
    </w:p>
    <w:p w:rsidR="00000000" w:rsidRPr="003A0C84" w:rsidP="003A0C84">
      <w:pPr>
        <w:pStyle w:val="ListBullet"/>
      </w:pPr>
      <w:r w:rsidRPr="003A0C84">
        <w:t>locate and apply required legislation, documentation, policies and procedures</w:t>
      </w:r>
    </w:p>
    <w:p w:rsidR="00000000" w:rsidRPr="003A0C84" w:rsidP="003A0C84">
      <w:pPr>
        <w:pStyle w:val="ListBullet"/>
      </w:pPr>
      <w:r w:rsidRPr="003A0C84">
        <w:t>identify, report and record hazards and risks</w:t>
      </w:r>
    </w:p>
    <w:p w:rsidR="00000000" w:rsidRPr="003A0C84" w:rsidP="003A0C84">
      <w:pPr>
        <w:pStyle w:val="ListBullet"/>
      </w:pPr>
      <w:r w:rsidRPr="003A0C84">
        <w:t>work with others to erect temp</w:t>
      </w:r>
      <w:r w:rsidRPr="003A0C84">
        <w:t>orary modular support systems (baileys) on existing bridges that meets required outcomes, including:</w:t>
      </w:r>
    </w:p>
    <w:p w:rsidR="00000000" w:rsidRPr="003A0C84" w:rsidP="003A0C84">
      <w:pPr>
        <w:pStyle w:val="ListBullet2"/>
      </w:pPr>
      <w:r w:rsidRPr="003A0C84">
        <w:t>communicating with others to receive and clarify work instructions</w:t>
      </w:r>
    </w:p>
    <w:p w:rsidR="00000000" w:rsidRPr="003A0C84" w:rsidP="003A0C84">
      <w:pPr>
        <w:pStyle w:val="ListBullet2"/>
      </w:pPr>
      <w:r w:rsidRPr="003A0C84">
        <w:t>using communication techniques and equipment, including signage to advise others of wor</w:t>
      </w:r>
      <w:r w:rsidRPr="003A0C84">
        <w:t>k activity and exclusion zones.</w:t>
      </w:r>
    </w:p>
    <w:p w:rsidR="00000000" w:rsidRPr="003A0C84" w:rsidP="003A0C84">
      <w:pPr>
        <w:pStyle w:val="AllowPageBreak"/>
      </w:pPr>
    </w:p>
    <w:p w:rsidR="00000000" w:rsidRPr="003A0C84" w:rsidP="003A0C84">
      <w:pPr>
        <w:pStyle w:val="Heading1"/>
      </w:pPr>
      <w:bookmarkStart w:id="10" w:name="O_1136015"/>
      <w:bookmarkEnd w:id="10"/>
      <w:r w:rsidRPr="003A0C84">
        <w:t>Knowledge Evidence</w:t>
      </w:r>
    </w:p>
    <w:p w:rsidR="00000000" w:rsidRPr="003A0C84" w:rsidP="005C0EAB">
      <w:pPr>
        <w:pStyle w:val="BodyText"/>
      </w:pPr>
      <w:r w:rsidRPr="003A0C84">
        <w:t>The candidate must be able to demonstrate knowledge to complete the tasks outlined in the elements, performance criteria and foundation skills of this unit, including knowledge of:</w:t>
      </w:r>
    </w:p>
    <w:p w:rsidR="00000000" w:rsidRPr="003A0C84" w:rsidP="003A0C84">
      <w:pPr>
        <w:pStyle w:val="ListBullet"/>
      </w:pPr>
      <w:r w:rsidRPr="003A0C84">
        <w:t>legislation required to erect temporary modular support systems (baileys) on existing bridges</w:t>
      </w:r>
    </w:p>
    <w:p w:rsidR="00000000" w:rsidRPr="003A0C84" w:rsidP="003A0C84">
      <w:pPr>
        <w:pStyle w:val="ListBullet"/>
      </w:pPr>
      <w:r w:rsidRPr="003A0C84">
        <w:t xml:space="preserve">policies, procedures and documentation required to erect temporary modular support systems (baileys) on existing bridges, including those relating to: </w:t>
      </w:r>
    </w:p>
    <w:p w:rsidR="00000000" w:rsidRPr="003A0C84" w:rsidP="003A0C84">
      <w:pPr>
        <w:pStyle w:val="ListBullet2"/>
      </w:pPr>
      <w:r w:rsidRPr="003A0C84">
        <w:t xml:space="preserve">site and </w:t>
      </w:r>
      <w:r w:rsidRPr="003A0C84">
        <w:t xml:space="preserve">equipment safety </w:t>
      </w:r>
    </w:p>
    <w:p w:rsidR="00000000" w:rsidRPr="003A0C84" w:rsidP="003A0C84">
      <w:pPr>
        <w:pStyle w:val="ListBullet2"/>
      </w:pPr>
      <w:r w:rsidRPr="003A0C84">
        <w:t>hazard and risk management</w:t>
      </w:r>
    </w:p>
    <w:p w:rsidR="00000000" w:rsidRPr="003A0C84" w:rsidP="003A0C84">
      <w:pPr>
        <w:pStyle w:val="ListBullet2"/>
      </w:pPr>
      <w:r w:rsidRPr="003A0C84">
        <w:t>emergency response</w:t>
      </w:r>
    </w:p>
    <w:p w:rsidR="00000000" w:rsidRPr="003A0C84" w:rsidP="003A0C84">
      <w:pPr>
        <w:pStyle w:val="ListBullet2"/>
      </w:pPr>
      <w:r w:rsidRPr="003A0C84">
        <w:t xml:space="preserve">environmental protection </w:t>
      </w:r>
    </w:p>
    <w:p w:rsidR="00000000" w:rsidRPr="003A0C84" w:rsidP="003A0C84">
      <w:pPr>
        <w:pStyle w:val="ListBullet2"/>
      </w:pPr>
      <w:r w:rsidRPr="003A0C84">
        <w:t>waste management</w:t>
      </w:r>
    </w:p>
    <w:p w:rsidR="00000000" w:rsidRPr="003A0C84" w:rsidP="003A0C84">
      <w:pPr>
        <w:pStyle w:val="ListBullet2"/>
      </w:pPr>
      <w:r w:rsidRPr="003A0C84">
        <w:t xml:space="preserve">communication techniques and equipment </w:t>
      </w:r>
    </w:p>
    <w:p w:rsidR="00000000" w:rsidRPr="003A0C84" w:rsidP="003A0C84">
      <w:pPr>
        <w:pStyle w:val="ListBullet2"/>
      </w:pPr>
      <w:r w:rsidRPr="003A0C84">
        <w:t>safe working procedures for working at heights and over water</w:t>
      </w:r>
    </w:p>
    <w:p w:rsidR="00000000" w:rsidRPr="003A0C84" w:rsidP="003A0C84">
      <w:pPr>
        <w:pStyle w:val="ListBullet2"/>
      </w:pPr>
      <w:r w:rsidRPr="003A0C84">
        <w:t>site isolation and traffic control responsibili</w:t>
      </w:r>
      <w:r w:rsidRPr="003A0C84">
        <w:t xml:space="preserve">ties </w:t>
      </w:r>
    </w:p>
    <w:p w:rsidR="00000000" w:rsidRPr="003A0C84" w:rsidP="003A0C84">
      <w:pPr>
        <w:pStyle w:val="ListBullet2"/>
      </w:pPr>
      <w:r w:rsidRPr="003A0C84">
        <w:t>operational, maintenance and basic diagnostic procedures</w:t>
      </w:r>
    </w:p>
    <w:p w:rsidR="00000000" w:rsidRPr="003A0C84" w:rsidP="003A0C84">
      <w:pPr>
        <w:pStyle w:val="ListBullet2"/>
      </w:pPr>
      <w:r w:rsidRPr="003A0C84">
        <w:t>project quality requirements</w:t>
      </w:r>
    </w:p>
    <w:p w:rsidR="00000000" w:rsidRPr="003A0C84" w:rsidP="003A0C84">
      <w:pPr>
        <w:pStyle w:val="ListBullet2"/>
      </w:pPr>
      <w:r w:rsidRPr="003A0C84">
        <w:t>re-check requirements</w:t>
      </w:r>
    </w:p>
    <w:p w:rsidR="00000000" w:rsidRPr="003A0C84" w:rsidP="003A0C84">
      <w:pPr>
        <w:pStyle w:val="ListBullet2"/>
      </w:pPr>
      <w:r w:rsidRPr="003A0C84">
        <w:t>job plans and specifications</w:t>
      </w:r>
    </w:p>
    <w:p w:rsidR="00000000" w:rsidRPr="003A0C84" w:rsidP="003A0C84">
      <w:pPr>
        <w:pStyle w:val="ListBullet2"/>
      </w:pPr>
      <w:r w:rsidRPr="003A0C84">
        <w:t xml:space="preserve">site requirements </w:t>
      </w:r>
    </w:p>
    <w:p w:rsidR="00000000" w:rsidRPr="003A0C84" w:rsidP="003A0C84">
      <w:pPr>
        <w:pStyle w:val="ListBullet2"/>
      </w:pPr>
      <w:r w:rsidRPr="003A0C84">
        <w:t>manufacturer specifications for required plant and equipment</w:t>
      </w:r>
    </w:p>
    <w:p w:rsidR="00000000" w:rsidRPr="003A0C84" w:rsidP="003A0C84">
      <w:pPr>
        <w:pStyle w:val="ListBullet2"/>
      </w:pPr>
      <w:r w:rsidRPr="003A0C84">
        <w:t>workplace reporting requirements</w:t>
      </w:r>
    </w:p>
    <w:p w:rsidR="00000000" w:rsidRPr="003A0C84" w:rsidP="003A0C84">
      <w:pPr>
        <w:pStyle w:val="ListBullet"/>
      </w:pPr>
      <w:r w:rsidRPr="003A0C84">
        <w:t xml:space="preserve">principles and techniques required to erect temporary modular support systems (baileys) on existing bridges, including those relating to: </w:t>
      </w:r>
    </w:p>
    <w:p w:rsidR="00000000" w:rsidRPr="003A0C84" w:rsidP="003A0C84">
      <w:pPr>
        <w:pStyle w:val="ListBullet2"/>
      </w:pPr>
      <w:r w:rsidRPr="003A0C84">
        <w:t>temporary modular bridge support system erection</w:t>
      </w:r>
    </w:p>
    <w:p w:rsidR="00000000" w:rsidRPr="003A0C84" w:rsidP="003A0C84">
      <w:pPr>
        <w:pStyle w:val="ListBullet2"/>
      </w:pPr>
      <w:r w:rsidRPr="003A0C84">
        <w:t>construction efficiencies and sequencing</w:t>
      </w:r>
    </w:p>
    <w:p w:rsidR="00000000" w:rsidRPr="003A0C84" w:rsidP="003A0C84">
      <w:pPr>
        <w:pStyle w:val="ListBullet2"/>
      </w:pPr>
      <w:r w:rsidRPr="003A0C84">
        <w:t xml:space="preserve">defective components and </w:t>
      </w:r>
      <w:r w:rsidRPr="003A0C84">
        <w:t>parts</w:t>
      </w:r>
    </w:p>
    <w:p w:rsidR="00000000" w:rsidRPr="003A0C84" w:rsidP="003A0C84">
      <w:pPr>
        <w:pStyle w:val="ListBullet2"/>
      </w:pPr>
      <w:r w:rsidRPr="003A0C84">
        <w:t>traffic conditions, control and temporary kerbs</w:t>
      </w:r>
    </w:p>
    <w:p w:rsidR="00000000" w:rsidRPr="003A0C84" w:rsidP="003A0C84">
      <w:pPr>
        <w:pStyle w:val="ListBullet2"/>
      </w:pPr>
      <w:r w:rsidRPr="003A0C84">
        <w:t>load bearing capacity of temporary modular bridge support systems</w:t>
      </w:r>
    </w:p>
    <w:p w:rsidR="00000000" w:rsidRPr="003A0C84" w:rsidP="003A0C84">
      <w:pPr>
        <w:pStyle w:val="ListBullet2"/>
      </w:pPr>
      <w:r w:rsidRPr="003A0C84">
        <w:t>load transfer from truss to bailey</w:t>
      </w:r>
    </w:p>
    <w:p w:rsidR="00000000" w:rsidRPr="003A0C84" w:rsidP="003A0C84">
      <w:pPr>
        <w:pStyle w:val="ListBullet2"/>
      </w:pPr>
      <w:r w:rsidRPr="003A0C84">
        <w:t>bridge foundations</w:t>
      </w:r>
    </w:p>
    <w:p w:rsidR="00000000" w:rsidRPr="003A0C84" w:rsidP="003A0C84">
      <w:pPr>
        <w:pStyle w:val="ListBullet2"/>
      </w:pPr>
      <w:r w:rsidRPr="003A0C84">
        <w:t xml:space="preserve">bridge heritage </w:t>
      </w:r>
    </w:p>
    <w:p w:rsidR="00000000" w:rsidRPr="003A0C84" w:rsidP="003A0C84">
      <w:pPr>
        <w:pStyle w:val="ListBullet2"/>
      </w:pPr>
      <w:r w:rsidRPr="003A0C84">
        <w:t>component assessment</w:t>
      </w:r>
    </w:p>
    <w:p w:rsidR="00000000" w:rsidRPr="003A0C84" w:rsidP="003A0C84">
      <w:pPr>
        <w:pStyle w:val="ListBullet2"/>
      </w:pPr>
      <w:r w:rsidRPr="003A0C84">
        <w:t>connections and fittings</w:t>
      </w:r>
    </w:p>
    <w:p w:rsidR="00000000" w:rsidRPr="003A0C84" w:rsidP="003A0C84">
      <w:pPr>
        <w:pStyle w:val="ListBullet2"/>
      </w:pPr>
      <w:r w:rsidRPr="003A0C84">
        <w:t>assembly and disassembly</w:t>
      </w:r>
    </w:p>
    <w:p w:rsidR="00000000" w:rsidRPr="003A0C84" w:rsidP="003A0C84">
      <w:pPr>
        <w:pStyle w:val="ListBullet2"/>
      </w:pPr>
      <w:r w:rsidRPr="003A0C84">
        <w:t>ground and timber support load bearing capacity</w:t>
      </w:r>
    </w:p>
    <w:p w:rsidR="00000000" w:rsidRPr="003A0C84" w:rsidP="003A0C84">
      <w:pPr>
        <w:pStyle w:val="ListBullet2"/>
      </w:pPr>
      <w:r w:rsidRPr="003A0C84">
        <w:t>supplementary supports</w:t>
      </w:r>
    </w:p>
    <w:p w:rsidR="00000000" w:rsidRPr="003A0C84" w:rsidP="003A0C84">
      <w:pPr>
        <w:pStyle w:val="ListBullet2"/>
      </w:pPr>
      <w:r w:rsidRPr="003A0C84">
        <w:t xml:space="preserve">calculation of material requirements </w:t>
      </w:r>
    </w:p>
    <w:p w:rsidR="00000000" w:rsidRPr="003A0C84" w:rsidP="003A0C84">
      <w:pPr>
        <w:pStyle w:val="ListBullet"/>
      </w:pPr>
      <w:r w:rsidRPr="003A0C84">
        <w:t>types, characteristics, technical capabilities and limitations of plant and equipment required to erect temporary modular</w:t>
      </w:r>
      <w:r w:rsidRPr="003A0C84">
        <w:t xml:space="preserve"> support systems (baileys) on existing bridges including: </w:t>
      </w:r>
    </w:p>
    <w:p w:rsidR="00000000" w:rsidRPr="003A0C84" w:rsidP="003A0C84">
      <w:pPr>
        <w:pStyle w:val="ListBullet2"/>
      </w:pPr>
      <w:r w:rsidRPr="003A0C84">
        <w:t>sledgehammers</w:t>
      </w:r>
    </w:p>
    <w:p w:rsidR="00000000" w:rsidRPr="003A0C84" w:rsidP="003A0C84">
      <w:pPr>
        <w:pStyle w:val="ListBullet2"/>
      </w:pPr>
      <w:r w:rsidRPr="003A0C84">
        <w:t xml:space="preserve">shifting spanners </w:t>
      </w:r>
    </w:p>
    <w:p w:rsidR="00000000" w:rsidRPr="003A0C84" w:rsidP="003A0C84">
      <w:pPr>
        <w:pStyle w:val="ListBullet2"/>
      </w:pPr>
      <w:r w:rsidRPr="003A0C84">
        <w:t>ratchet socks</w:t>
      </w:r>
    </w:p>
    <w:p w:rsidR="00000000" w:rsidRPr="003A0C84" w:rsidP="003A0C84">
      <w:pPr>
        <w:pStyle w:val="ListBullet2"/>
      </w:pPr>
      <w:r w:rsidRPr="003A0C84">
        <w:t>jacks</w:t>
      </w:r>
    </w:p>
    <w:p w:rsidR="00000000" w:rsidRPr="003A0C84" w:rsidP="003A0C84">
      <w:pPr>
        <w:pStyle w:val="ListBullet2"/>
      </w:pPr>
      <w:r w:rsidRPr="003A0C84">
        <w:t>proprietary tools</w:t>
      </w:r>
    </w:p>
    <w:p w:rsidR="00000000" w:rsidRPr="003A0C84" w:rsidP="003A0C84">
      <w:pPr>
        <w:pStyle w:val="ListBullet2"/>
      </w:pPr>
      <w:r w:rsidRPr="003A0C84">
        <w:t>trucks</w:t>
      </w:r>
    </w:p>
    <w:p w:rsidR="00000000" w:rsidRPr="003A0C84" w:rsidP="003A0C84">
      <w:pPr>
        <w:pStyle w:val="ListBullet"/>
      </w:pPr>
      <w:r w:rsidRPr="003A0C84">
        <w:t>materials safety data sheet (SDS) compliance processes</w:t>
      </w:r>
    </w:p>
    <w:p w:rsidR="00000000" w:rsidRPr="003A0C84" w:rsidP="003A0C84">
      <w:pPr>
        <w:pStyle w:val="ListBullet"/>
      </w:pPr>
      <w:r w:rsidRPr="003A0C84">
        <w:t>components of job safety analyses (JSAs), job safety environmental analyses (JSEAs), and safe work method statements (SWMs)</w:t>
      </w:r>
    </w:p>
    <w:p w:rsidR="00000000" w:rsidRPr="003A0C84" w:rsidP="003A0C84">
      <w:pPr>
        <w:pStyle w:val="ListBullet"/>
      </w:pPr>
      <w:r w:rsidRPr="003A0C84">
        <w:t>civil construction terminology relating to erecting temporary modular support systems (baileys) on existing bridges.</w:t>
      </w:r>
    </w:p>
    <w:p w:rsidR="00000000" w:rsidRPr="003A0C84" w:rsidP="003A0C84">
      <w:pPr>
        <w:pStyle w:val="AllowPageBreak"/>
      </w:pPr>
    </w:p>
    <w:p w:rsidR="00000000" w:rsidRPr="003A0C84" w:rsidP="003A0C84">
      <w:pPr>
        <w:pStyle w:val="Heading1"/>
      </w:pPr>
      <w:bookmarkStart w:id="11" w:name="O_1136014"/>
      <w:bookmarkEnd w:id="11"/>
      <w:r w:rsidRPr="003A0C84">
        <w:t>Assessment Conditions</w:t>
      </w:r>
    </w:p>
    <w:p w:rsidR="00000000" w:rsidRPr="003A0C84" w:rsidP="005C0EAB">
      <w:pPr>
        <w:pStyle w:val="BodyText"/>
      </w:pPr>
      <w:r w:rsidRPr="003A0C84">
        <w:t>Mandatory conditions for assessment of this unit are stipulated below. The assessment must:</w:t>
      </w:r>
    </w:p>
    <w:p w:rsidR="00000000" w:rsidRPr="003A0C84" w:rsidP="003A0C84">
      <w:pPr>
        <w:pStyle w:val="ListBullet"/>
      </w:pPr>
      <w:r w:rsidRPr="003A0C84">
        <w:t>include access to:</w:t>
      </w:r>
    </w:p>
    <w:p w:rsidR="00000000" w:rsidRPr="003A0C84" w:rsidP="003A0C84">
      <w:pPr>
        <w:pStyle w:val="ListBullet2"/>
      </w:pPr>
      <w:r w:rsidRPr="003A0C84">
        <w:t>personal protective equipment</w:t>
      </w:r>
    </w:p>
    <w:p w:rsidR="00000000" w:rsidRPr="003A0C84" w:rsidP="003A0C84">
      <w:pPr>
        <w:pStyle w:val="ListBullet2"/>
      </w:pPr>
      <w:r w:rsidRPr="003A0C84">
        <w:t>equipment required to erect temporary modular support systems (baileys) on existing bri</w:t>
      </w:r>
      <w:r w:rsidRPr="003A0C84">
        <w:t>dges</w:t>
      </w:r>
    </w:p>
    <w:p w:rsidR="00000000" w:rsidRPr="003A0C84" w:rsidP="003A0C84">
      <w:pPr>
        <w:pStyle w:val="ListBullet"/>
      </w:pPr>
      <w:r w:rsidRPr="003A0C84">
        <w:t xml:space="preserve">be conducted in a safe environment; and, </w:t>
      </w:r>
    </w:p>
    <w:p w:rsidR="00000000" w:rsidRPr="003A0C84" w:rsidP="003A0C84">
      <w:pPr>
        <w:pStyle w:val="ListBullet"/>
      </w:pPr>
      <w:r w:rsidRPr="003A0C84">
        <w:t>be assessed in the context of this sector</w:t>
      </w:r>
      <w:r>
        <w:t>’</w:t>
      </w:r>
      <w:r w:rsidRPr="003A0C84">
        <w:t xml:space="preserve">s work environment; and, </w:t>
      </w:r>
    </w:p>
    <w:p w:rsidR="00000000" w:rsidRPr="003A0C84" w:rsidP="003A0C84">
      <w:pPr>
        <w:pStyle w:val="ListBullet"/>
      </w:pPr>
      <w:r w:rsidRPr="003A0C84">
        <w:t>be assessed in compliance with relevant legislation/regulation and using policies, procedures and processes directly related to the industry sector for which it is being assessed; and,</w:t>
      </w:r>
    </w:p>
    <w:p w:rsidR="00000000" w:rsidRPr="003A0C84" w:rsidP="003A0C84">
      <w:pPr>
        <w:pStyle w:val="ListBullet"/>
      </w:pPr>
      <w:r w:rsidRPr="003A0C84">
        <w:t>confirm consistent performance can be applied in a range of relevant wo</w:t>
      </w:r>
      <w:r w:rsidRPr="003A0C84">
        <w:t>rkplace circumstances.</w:t>
      </w:r>
    </w:p>
    <w:p w:rsidR="00000000" w:rsidRPr="003A0C84" w:rsidP="005C0EAB">
      <w:pPr>
        <w:pStyle w:val="BodyText"/>
      </w:pPr>
      <w:r w:rsidRPr="003A0C84">
        <w:t>Where personal safety or environmental damage are limiting factors, assessment may occur in a simulated work environment* provided it is realistic and sufficiently rigorous to cover all aspects of this sector’s workplace performance,</w:t>
      </w:r>
      <w:r w:rsidRPr="003A0C84">
        <w:t xml:space="preserve"> including environment, task skills, task management skills, contingency management skills and job role environment skills.</w:t>
      </w:r>
    </w:p>
    <w:p w:rsidR="00000000" w:rsidRPr="003A0C84" w:rsidP="003A0C84">
      <w:pPr>
        <w:pStyle w:val="ListBullet"/>
      </w:pPr>
      <w:r w:rsidRPr="003A0C84">
        <w:rPr>
          <w:rStyle w:val="SpecialBold"/>
        </w:rPr>
        <w:t>Assessor requirements</w:t>
      </w:r>
    </w:p>
    <w:p w:rsidR="00000000" w:rsidRPr="003A0C84" w:rsidP="005C0EAB">
      <w:pPr>
        <w:pStyle w:val="BodyText"/>
      </w:pPr>
      <w:r w:rsidRPr="003A0C84">
        <w:t>Assessors must be able to clearly demonstrate current and relevant industry knowledge and experience to satis</w:t>
      </w:r>
      <w:r w:rsidRPr="003A0C84">
        <w:t xml:space="preserve">fy the mandatory regulatory standards as set out in the Standards for Registered Training Organisations (RTOs) 2015/Australian Quality Training Framework mandatory requirements for assessors current at the time of assessment and any relevant licensing and </w:t>
      </w:r>
      <w:r w:rsidRPr="003A0C84">
        <w:t>certification requirements. This includes:</w:t>
      </w:r>
    </w:p>
    <w:p w:rsidR="00000000" w:rsidRPr="003A0C84" w:rsidP="003A0C84">
      <w:pPr>
        <w:pStyle w:val="ListBullet"/>
      </w:pPr>
      <w:r w:rsidRPr="003A0C84">
        <w:t>vocational competencies at least to the level being delivered and assessed</w:t>
      </w:r>
    </w:p>
    <w:p w:rsidR="00000000" w:rsidRPr="003A0C84" w:rsidP="003A0C84">
      <w:pPr>
        <w:pStyle w:val="ListBullet"/>
      </w:pPr>
      <w:r w:rsidRPr="003A0C84">
        <w:t>current industry skills directly relevant to the training and assessment being provided</w:t>
      </w:r>
    </w:p>
    <w:p w:rsidR="00000000" w:rsidRPr="003A0C84" w:rsidP="003A0C84">
      <w:pPr>
        <w:pStyle w:val="ListBullet"/>
      </w:pPr>
      <w:r w:rsidRPr="003A0C84">
        <w:t>current knowledge and skills in vocational traini</w:t>
      </w:r>
      <w:r w:rsidRPr="003A0C84">
        <w:t>ng and learning that informs their training and assessment</w:t>
      </w:r>
    </w:p>
    <w:p w:rsidR="00000000" w:rsidRPr="003A0C84" w:rsidP="003A0C84">
      <w:pPr>
        <w:pStyle w:val="ListBullet"/>
      </w:pPr>
      <w:r w:rsidRPr="003A0C84">
        <w:t>formal relevant qualifications in training and assessment</w:t>
      </w:r>
    </w:p>
    <w:p w:rsidR="00000000" w:rsidRPr="003A0C84" w:rsidP="003A0C84">
      <w:pPr>
        <w:pStyle w:val="ListBullet"/>
      </w:pPr>
      <w:r w:rsidRPr="003A0C84">
        <w:t xml:space="preserve">having knowledge of and/or experience using the latest techniques and processes </w:t>
      </w:r>
    </w:p>
    <w:p w:rsidR="00000000" w:rsidRPr="003A0C84" w:rsidP="003A0C84">
      <w:pPr>
        <w:pStyle w:val="ListBullet"/>
      </w:pPr>
      <w:r w:rsidRPr="003A0C84">
        <w:t>possessing the required level of RII training product know</w:t>
      </w:r>
      <w:r w:rsidRPr="003A0C84">
        <w:t>ledge</w:t>
      </w:r>
    </w:p>
    <w:p w:rsidR="00000000" w:rsidRPr="003A0C84" w:rsidP="003A0C84">
      <w:pPr>
        <w:pStyle w:val="ListBullet"/>
      </w:pPr>
      <w:r w:rsidRPr="003A0C84">
        <w:t>having an understanding and knowledge of legislation and regulations relevant to the industry and to employment and workplaces</w:t>
      </w:r>
    </w:p>
    <w:p w:rsidR="00000000" w:rsidRPr="003A0C84" w:rsidP="003A0C84">
      <w:pPr>
        <w:pStyle w:val="ListBullet"/>
      </w:pPr>
      <w:r w:rsidRPr="003A0C84">
        <w:t>demonstrating the performance evidence, and knowledge evidence outlined in this unit of competency, and</w:t>
      </w:r>
    </w:p>
    <w:p w:rsidR="00000000" w:rsidRPr="003A0C84" w:rsidP="003A0C84">
      <w:pPr>
        <w:pStyle w:val="ListBullet"/>
      </w:pPr>
      <w:r w:rsidRPr="003A0C84">
        <w:t>the minimum years o</w:t>
      </w:r>
      <w:r w:rsidRPr="003A0C84">
        <w:t>f current** work experience after competency has been obtained as specified below in an industry sector relevant to the outcomes of the unit.</w:t>
      </w:r>
    </w:p>
    <w:p w:rsidR="00000000" w:rsidRPr="003A0C84" w:rsidP="005C0EAB">
      <w:pPr>
        <w:pStyle w:val="BodyText"/>
      </w:pPr>
      <w:r w:rsidRPr="003A0C84">
        <w:t>It is also acceptable for the appropriately qualified assessor to work with an industry expert to conduct assessme</w:t>
      </w:r>
      <w:r w:rsidRPr="003A0C84">
        <w:t>nt together and for the industry expert to be involved in the assessment judgement. The industry expert must have current industry skills directly relevant to the training and assessment being provided. This means the industry subject matter expert must de</w:t>
      </w:r>
      <w:r w:rsidRPr="003A0C84">
        <w:t>monstrate skills and knowledge from the minimum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5C0EA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A0C84">
            <w:pPr>
              <w:pStyle w:val="Heading4"/>
              <w:rPr>
                <w:lang w:val="en-NZ"/>
              </w:rPr>
            </w:pPr>
            <w:r w:rsidRPr="003A0C84">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A0C84">
            <w:pPr>
              <w:pStyle w:val="Heading4"/>
              <w:rPr>
                <w:lang w:val="en-NZ"/>
              </w:rPr>
            </w:pPr>
            <w:r w:rsidRPr="003A0C84">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A0C84">
            <w:pPr>
              <w:pStyle w:val="Heading4"/>
              <w:rPr>
                <w:lang w:val="en-NZ"/>
              </w:rPr>
            </w:pPr>
            <w:r w:rsidRPr="003A0C84">
              <w:t>Required assess</w:t>
            </w:r>
            <w:r w:rsidRPr="003A0C84">
              <w:t>or or industry subject matter expert experience</w:t>
            </w:r>
          </w:p>
        </w:tc>
      </w:tr>
      <w:tr w:rsidTr="005C0EAB">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A0C84">
            <w:pPr>
              <w:pStyle w:val="BodyText"/>
              <w:rPr>
                <w:lang w:val="en-NZ"/>
              </w:rPr>
            </w:pPr>
            <w:r w:rsidRPr="003A0C84">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A0C84">
            <w:pPr>
              <w:pStyle w:val="BodyText"/>
              <w:rPr>
                <w:lang w:val="en-NZ"/>
              </w:rPr>
            </w:pPr>
            <w:r w:rsidRPr="003A0C84">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A0C84">
            <w:pPr>
              <w:pStyle w:val="BodyText"/>
              <w:rPr>
                <w:lang w:val="en-NZ"/>
              </w:rPr>
            </w:pPr>
            <w:r w:rsidRPr="003A0C84">
              <w:t>1 year</w:t>
            </w:r>
          </w:p>
        </w:tc>
      </w:tr>
      <w:tr w:rsidTr="005C0EAB">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A0C84">
            <w:pPr>
              <w:pStyle w:val="BodyText"/>
              <w:rPr>
                <w:lang w:val="en-NZ"/>
              </w:rPr>
            </w:pPr>
            <w:r w:rsidRPr="003A0C84">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A0C84">
            <w:pPr>
              <w:pStyle w:val="BodyText"/>
              <w:rPr>
                <w:lang w:val="en-NZ"/>
              </w:rPr>
            </w:pPr>
            <w:r w:rsidRPr="003A0C84">
              <w:t>2 years</w:t>
            </w:r>
          </w:p>
        </w:tc>
      </w:tr>
      <w:tr w:rsidTr="005C0EA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A0C84">
            <w:pPr>
              <w:pStyle w:val="BodyText"/>
              <w:rPr>
                <w:lang w:val="en-NZ"/>
              </w:rPr>
            </w:pPr>
            <w:r w:rsidRPr="003A0C84">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A0C84">
            <w:pPr>
              <w:pStyle w:val="BodyText"/>
              <w:rPr>
                <w:lang w:val="en-NZ"/>
              </w:rPr>
            </w:pPr>
            <w:r w:rsidRPr="003A0C84">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A0C84">
            <w:pPr>
              <w:pStyle w:val="BodyText"/>
              <w:rPr>
                <w:lang w:val="en-NZ"/>
              </w:rPr>
            </w:pPr>
            <w:r w:rsidRPr="003A0C84">
              <w:t>3 years</w:t>
            </w:r>
          </w:p>
        </w:tc>
      </w:tr>
      <w:tr w:rsidTr="005C0EA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A0C84">
            <w:pPr>
              <w:pStyle w:val="BodyText"/>
              <w:rPr>
                <w:lang w:val="en-NZ"/>
              </w:rPr>
            </w:pPr>
            <w:r w:rsidRPr="003A0C84">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A0C84" w:rsidP="003A0C84">
            <w:pPr>
              <w:pStyle w:val="BodyText"/>
            </w:pPr>
            <w:r w:rsidRPr="003A0C84">
              <w:t>Where this unit is being assessed outside of the resources and infrastructure sectors assessor and/or industry subject matter expert ex</w:t>
            </w:r>
            <w:r w:rsidRPr="003A0C84">
              <w:t>perience should be in-line with industry standards for the sector in which it is being assessed and where no industry standard is specified should comply with any relevant regulation.</w:t>
            </w:r>
          </w:p>
        </w:tc>
      </w:tr>
    </w:tbl>
    <w:p w:rsidR="00000000" w:rsidRPr="003A0C84" w:rsidP="005C0EAB">
      <w:pPr>
        <w:pStyle w:val="BodyText"/>
      </w:pPr>
      <w:r w:rsidRPr="003A0C84">
        <w:t>*Guidance on simulated environments has been stipulated in the RII Com</w:t>
      </w:r>
      <w:r w:rsidRPr="003A0C84">
        <w:t>panion Volume Implementation Guide located on VETNet.</w:t>
      </w:r>
    </w:p>
    <w:p w:rsidR="00000000" w:rsidRPr="003A0C84" w:rsidP="005C0EAB">
      <w:pPr>
        <w:pStyle w:val="BodyText"/>
      </w:pPr>
      <w:r w:rsidRPr="003A0C84">
        <w:t>**Assessors can demonstrate current work experience through employment within industry in a role relevant to the outcomes of the unit; or, for external assessors this can be demonstrated thro</w:t>
      </w:r>
      <w:r w:rsidRPr="003A0C84">
        <w:t>ugh exposure to industry by conducting a minimum number of site assessments as determined by the relevant industry sector, across various locations.</w:t>
      </w:r>
    </w:p>
    <w:p w:rsidR="00000000" w:rsidRPr="003A0C84" w:rsidP="005C0EAB">
      <w:pPr>
        <w:pStyle w:val="BodyText"/>
      </w:pPr>
      <w:r w:rsidRPr="003A0C84">
        <w:t>*** While a unit of competency does not have an AQF level, where a unit is being delivered outside of a qua</w:t>
      </w:r>
      <w:r w:rsidRPr="003A0C84">
        <w:t>lification the first numeric character in the unit code should be considered as the AQF indicator level for assessment purposes.</w:t>
      </w:r>
    </w:p>
    <w:p w:rsidR="00000000" w:rsidRPr="003A0C84" w:rsidP="003A0C84">
      <w:pPr>
        <w:pStyle w:val="Heading1"/>
      </w:pPr>
      <w:bookmarkStart w:id="12" w:name="O_1136012"/>
      <w:bookmarkEnd w:id="12"/>
      <w:r w:rsidRPr="003A0C84">
        <w:t>Links</w:t>
      </w:r>
    </w:p>
    <w:p w:rsidR="00000000" w:rsidRPr="003A0C84" w:rsidP="005C0EAB">
      <w:pPr>
        <w:pStyle w:val="BodyText"/>
      </w:pPr>
      <w:r w:rsidRPr="003A0C84">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AD719D">
        <w:rPr>
          <w:rStyle w:val="Hyperlink"/>
        </w:rPr>
        <w:t>https://vetnet.gov.au/Pages/TrainingDocs.aspx?q=88a61002-9a21-4386-aaf8-69c76e675272</w:t>
      </w:r>
      <w:r>
        <w:fldChar w:fldCharType="end"/>
      </w:r>
    </w:p>
    <w:p w:rsidR="00000000" w:rsidRPr="003A0C84" w:rsidP="003A0C84"/>
    <w:sectPr w:rsidSect="003A0C8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C8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C84" w:rsidRPr="005C0EAB" w:rsidP="005C0EA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C8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0EAB" w:rsidP="003A0C8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C0EAB" w:rsidP="003A0C8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5C0EAB" w:rsidP="003A0C8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C84" w:rsidP="003A0C84">
    <w:pPr>
      <w:pStyle w:val="Footer"/>
      <w:framePr w:wrap="around"/>
    </w:pPr>
    <w:r>
      <w:fldChar w:fldCharType="begin"/>
    </w:r>
    <w:r>
      <w:instrText xml:space="preserve"> DOCPROPERTY  Subject  \* MERGEFORMAT </w:instrText>
    </w:r>
    <w:r>
      <w:fldChar w:fldCharType="separate"/>
    </w:r>
    <w:r w:rsidR="005C0EAB">
      <w:t>Approved</w:t>
    </w:r>
    <w:r w:rsidR="005C0EAB">
      <w:fldChar w:fldCharType="end"/>
    </w:r>
    <w:r>
      <w:tab/>
      <w:t xml:space="preserve">Page </w:t>
    </w:r>
    <w:r>
      <w:fldChar w:fldCharType="begin"/>
    </w:r>
    <w:r>
      <w:instrText xml:space="preserve"> PAGE  \* Arabic  \* MERGEFORMAT </w:instrText>
    </w:r>
    <w:r>
      <w:fldChar w:fldCharType="separate"/>
    </w:r>
    <w:r w:rsidR="005C0EA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C0EAB">
      <w:rPr>
        <w:noProof/>
      </w:rPr>
      <w:t>5</w:t>
    </w:r>
    <w:r>
      <w:rPr>
        <w:noProof/>
      </w:rPr>
      <w:fldChar w:fldCharType="end"/>
    </w:r>
  </w:p>
  <w:p w:rsidR="003A0C84" w:rsidP="003A0C84">
    <w:pPr>
      <w:pStyle w:val="Footer"/>
      <w:framePr w:wrap="around"/>
    </w:pPr>
    <w:r>
      <w:t xml:space="preserve">© Commonwealth of Australia, </w:t>
    </w:r>
    <w:r>
      <w:fldChar w:fldCharType="begin"/>
    </w:r>
    <w:r>
      <w:instrText xml:space="preserve"> DATE  \@ "yyyy"  \* MERGEFORMAT </w:instrText>
    </w:r>
    <w:r>
      <w:fldChar w:fldCharType="separate"/>
    </w:r>
    <w:r w:rsidR="005C0EAB">
      <w:rPr>
        <w:noProof/>
      </w:rPr>
      <w:t>2025</w:t>
    </w:r>
    <w:r>
      <w:fldChar w:fldCharType="end"/>
    </w:r>
    <w:r>
      <w:tab/>
    </w:r>
    <w:r>
      <w:fldChar w:fldCharType="begin"/>
    </w:r>
    <w:r>
      <w:instrText xml:space="preserve"> DOCPROPERTY  Author  \* MERGEFORMAT </w:instrText>
    </w:r>
    <w:r>
      <w:fldChar w:fldCharType="separate"/>
    </w:r>
    <w:r w:rsidR="005C0EAB">
      <w:t>Mining and Automotive Skills Alliance</w:t>
    </w:r>
    <w:r w:rsidR="005C0EAB">
      <w:fldChar w:fldCharType="end"/>
    </w:r>
  </w:p>
  <w:p w:rsidR="003A0C84" w:rsidP="003A0C8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C8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0EA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A0C84" w:rsidRPr="005C0EAB" w:rsidP="005C0EA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C8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0EAB" w:rsidRPr="002D2AF8" w:rsidP="003A0C84">
    <w:pPr>
      <w:pStyle w:val="Header"/>
      <w:framePr w:wrap="around"/>
    </w:pPr>
    <w:r>
      <w:fldChar w:fldCharType="begin"/>
    </w:r>
    <w:r>
      <w:instrText xml:space="preserve"> TITLE   \* MERGEFORMAT </w:instrText>
    </w:r>
    <w:r>
      <w:fldChar w:fldCharType="separate"/>
    </w:r>
    <w:r>
      <w:t>RIICTB303E Erect temporary modular support systems (baileys) on existing bridges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C0EAB" w:rsidP="003A0C8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C84" w:rsidRPr="002D2AF8" w:rsidP="003A0C84">
    <w:pPr>
      <w:pStyle w:val="Header"/>
      <w:framePr w:wrap="around"/>
    </w:pPr>
    <w:r>
      <w:fldChar w:fldCharType="begin"/>
    </w:r>
    <w:r>
      <w:instrText xml:space="preserve"> TITLE   \* MERGEFORMAT </w:instrText>
    </w:r>
    <w:r>
      <w:fldChar w:fldCharType="separate"/>
    </w:r>
    <w:r w:rsidR="005C0EAB">
      <w:t>RIICTB303E Erect temporary modular support systems (baileys) on existing bridges</w:t>
    </w:r>
    <w:r w:rsidR="005C0EAB">
      <w:fldChar w:fldCharType="end"/>
    </w:r>
    <w:r>
      <w:tab/>
      <w:t xml:space="preserve">Date this document was generated: </w:t>
    </w:r>
    <w:r>
      <w:fldChar w:fldCharType="begin"/>
    </w:r>
    <w:r>
      <w:instrText xml:space="preserve"> CREATEDATE  \@ "d MMMM yyyy"  \* MERGEFORMAT </w:instrText>
    </w:r>
    <w:r>
      <w:fldChar w:fldCharType="separate"/>
    </w:r>
    <w:r w:rsidR="005C0EAB">
      <w:rPr>
        <w:noProof/>
      </w:rPr>
      <w:t>2 March 2025</w:t>
    </w:r>
    <w:r>
      <w:fldChar w:fldCharType="end"/>
    </w:r>
  </w:p>
  <w:p w:rsidR="003A0C84" w:rsidP="003A0C8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158B1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B3402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6B83D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0C8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A0C84"/>
    <w:pPr>
      <w:spacing w:before="360" w:after="60"/>
      <w:outlineLvl w:val="0"/>
    </w:pPr>
    <w:rPr>
      <w:sz w:val="32"/>
    </w:rPr>
  </w:style>
  <w:style w:type="paragraph" w:styleId="Heading2">
    <w:name w:val="heading 2"/>
    <w:basedOn w:val="HeadingBase"/>
    <w:next w:val="BodyText"/>
    <w:link w:val="Heading2Char"/>
    <w:qFormat/>
    <w:rsid w:val="003A0C84"/>
    <w:pPr>
      <w:keepLines/>
      <w:spacing w:before="240" w:after="120"/>
      <w:outlineLvl w:val="1"/>
    </w:pPr>
    <w:rPr>
      <w:sz w:val="28"/>
      <w:szCs w:val="40"/>
    </w:rPr>
  </w:style>
  <w:style w:type="paragraph" w:styleId="Heading3">
    <w:name w:val="heading 3"/>
    <w:basedOn w:val="HeadingBase"/>
    <w:next w:val="BodyText"/>
    <w:link w:val="Heading3Char"/>
    <w:qFormat/>
    <w:rsid w:val="003A0C84"/>
    <w:pPr>
      <w:spacing w:before="180" w:after="120"/>
      <w:outlineLvl w:val="2"/>
    </w:pPr>
    <w:rPr>
      <w:spacing w:val="-10"/>
      <w:kern w:val="32"/>
    </w:rPr>
  </w:style>
  <w:style w:type="paragraph" w:styleId="Heading4">
    <w:name w:val="heading 4"/>
    <w:basedOn w:val="HeadingBase"/>
    <w:next w:val="BodyText"/>
    <w:link w:val="Heading4Char"/>
    <w:qFormat/>
    <w:rsid w:val="003A0C84"/>
    <w:pPr>
      <w:spacing w:before="160" w:after="120"/>
      <w:outlineLvl w:val="3"/>
    </w:pPr>
    <w:rPr>
      <w:sz w:val="22"/>
    </w:rPr>
  </w:style>
  <w:style w:type="paragraph" w:styleId="Heading5">
    <w:name w:val="heading 5"/>
    <w:basedOn w:val="HeadingBase"/>
    <w:next w:val="Normal"/>
    <w:link w:val="Heading5Char"/>
    <w:qFormat/>
    <w:rsid w:val="003A0C84"/>
    <w:pPr>
      <w:spacing w:before="80"/>
      <w:outlineLvl w:val="4"/>
    </w:pPr>
    <w:rPr>
      <w:color w:val="918585"/>
      <w:sz w:val="20"/>
    </w:rPr>
  </w:style>
  <w:style w:type="paragraph" w:styleId="Heading6">
    <w:name w:val="heading 6"/>
    <w:basedOn w:val="HeadingBase"/>
    <w:next w:val="Normal"/>
    <w:link w:val="Heading6Char"/>
    <w:qFormat/>
    <w:rsid w:val="003A0C84"/>
    <w:pPr>
      <w:spacing w:before="60"/>
      <w:outlineLvl w:val="5"/>
    </w:pPr>
    <w:rPr>
      <w:color w:val="918585"/>
      <w:sz w:val="20"/>
    </w:rPr>
  </w:style>
  <w:style w:type="paragraph" w:styleId="Heading7">
    <w:name w:val="heading 7"/>
    <w:basedOn w:val="Normal"/>
    <w:next w:val="Normal"/>
    <w:link w:val="Heading7Char"/>
    <w:qFormat/>
    <w:rsid w:val="003A0C84"/>
    <w:pPr>
      <w:ind w:left="720"/>
      <w:outlineLvl w:val="6"/>
    </w:pPr>
    <w:rPr>
      <w:i/>
    </w:rPr>
  </w:style>
  <w:style w:type="paragraph" w:styleId="Heading8">
    <w:name w:val="heading 8"/>
    <w:basedOn w:val="Normal"/>
    <w:next w:val="Normal"/>
    <w:link w:val="Heading8Char"/>
    <w:qFormat/>
    <w:rsid w:val="003A0C84"/>
    <w:pPr>
      <w:ind w:left="720"/>
      <w:outlineLvl w:val="7"/>
    </w:pPr>
    <w:rPr>
      <w:i/>
    </w:rPr>
  </w:style>
  <w:style w:type="paragraph" w:styleId="Heading9">
    <w:name w:val="heading 9"/>
    <w:basedOn w:val="Normal"/>
    <w:next w:val="Normal"/>
    <w:link w:val="Heading9Char"/>
    <w:qFormat/>
    <w:rsid w:val="003A0C84"/>
    <w:pPr>
      <w:ind w:left="720"/>
      <w:outlineLvl w:val="8"/>
    </w:pPr>
    <w:rPr>
      <w:i/>
    </w:rPr>
  </w:style>
  <w:style w:type="character" w:default="1" w:styleId="DefaultParagraphFont">
    <w:name w:val="Default Paragraph Font"/>
    <w:uiPriority w:val="1"/>
    <w:unhideWhenUsed/>
    <w:rsid w:val="003A0C8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A0C84"/>
  </w:style>
  <w:style w:type="character" w:customStyle="1" w:styleId="Heading1Char">
    <w:name w:val="Heading 1 Char"/>
    <w:basedOn w:val="DefaultParagraphFont"/>
    <w:link w:val="Heading1"/>
    <w:rsid w:val="003A0C84"/>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3A0C84"/>
    <w:rPr>
      <w:rFonts w:ascii="Times New Roman" w:eastAsia="Times New Roman" w:hAnsi="Times New Roman" w:cs="Times New Roman"/>
      <w:b/>
      <w:szCs w:val="20"/>
      <w:lang w:eastAsia="en-US"/>
    </w:rPr>
  </w:style>
  <w:style w:type="paragraph" w:styleId="BodyText">
    <w:name w:val="Body Text"/>
    <w:basedOn w:val="Normal"/>
    <w:link w:val="BodyTextChar"/>
    <w:rsid w:val="003A0C8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A0C84"/>
    <w:rPr>
      <w:rFonts w:ascii="Times New Roman" w:eastAsia="Times New Roman" w:hAnsi="Times New Roman" w:cs="Times New Roman"/>
      <w:sz w:val="24"/>
      <w:lang w:eastAsia="en-US"/>
    </w:rPr>
  </w:style>
  <w:style w:type="paragraph" w:styleId="List">
    <w:name w:val="List"/>
    <w:basedOn w:val="BodyText"/>
    <w:next w:val="BodyText"/>
    <w:rsid w:val="003A0C84"/>
    <w:pPr>
      <w:tabs>
        <w:tab w:val="left" w:pos="340"/>
      </w:tabs>
      <w:spacing w:before="60" w:after="60"/>
      <w:ind w:left="340" w:hanging="340"/>
    </w:pPr>
  </w:style>
  <w:style w:type="paragraph" w:styleId="ListBullet">
    <w:name w:val="List Bullet"/>
    <w:basedOn w:val="List"/>
    <w:rsid w:val="003A0C84"/>
    <w:pPr>
      <w:numPr>
        <w:numId w:val="12"/>
      </w:numPr>
      <w:tabs>
        <w:tab w:val="clear" w:pos="340"/>
      </w:tabs>
      <w:spacing w:before="40" w:after="40"/>
    </w:pPr>
  </w:style>
  <w:style w:type="character" w:customStyle="1" w:styleId="SpecialBold">
    <w:name w:val="Special Bold"/>
    <w:basedOn w:val="DefaultParagraphFont"/>
    <w:rsid w:val="003A0C84"/>
    <w:rPr>
      <w:b/>
      <w:spacing w:val="0"/>
    </w:rPr>
  </w:style>
  <w:style w:type="paragraph" w:styleId="ListBullet2">
    <w:name w:val="List Bullet 2"/>
    <w:basedOn w:val="List2"/>
    <w:rsid w:val="003A0C84"/>
    <w:pPr>
      <w:numPr>
        <w:numId w:val="13"/>
      </w:numPr>
      <w:tabs>
        <w:tab w:val="clear" w:pos="680"/>
      </w:tabs>
    </w:pPr>
  </w:style>
  <w:style w:type="character" w:styleId="Emphasis">
    <w:name w:val="Emphasis"/>
    <w:basedOn w:val="DefaultParagraphFont"/>
    <w:qFormat/>
    <w:rsid w:val="003A0C84"/>
    <w:rPr>
      <w:i/>
    </w:rPr>
  </w:style>
  <w:style w:type="paragraph" w:customStyle="1" w:styleId="SuperHeading">
    <w:name w:val="SuperHeading"/>
    <w:basedOn w:val="Normal"/>
    <w:rsid w:val="003A0C84"/>
    <w:pPr>
      <w:spacing w:before="240" w:after="120"/>
      <w:outlineLvl w:val="0"/>
    </w:pPr>
    <w:rPr>
      <w:rFonts w:ascii="Times New Roman" w:hAnsi="Times New Roman"/>
      <w:b/>
      <w:sz w:val="32"/>
    </w:rPr>
  </w:style>
  <w:style w:type="paragraph" w:customStyle="1" w:styleId="AllowPageBreak">
    <w:name w:val="AllowPageBreak"/>
    <w:rsid w:val="003A0C8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3A0C84"/>
    <w:rPr>
      <w:b/>
    </w:rPr>
  </w:style>
  <w:style w:type="character" w:customStyle="1" w:styleId="Heading2Char">
    <w:name w:val="Heading 2 Char"/>
    <w:basedOn w:val="DefaultParagraphFont"/>
    <w:link w:val="Heading2"/>
    <w:rsid w:val="003A0C8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A0C84"/>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3A0C8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A0C8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A0C8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A0C8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A0C84"/>
    <w:rPr>
      <w:rFonts w:ascii="Courier New" w:eastAsia="Times New Roman" w:hAnsi="Courier New" w:cs="Times New Roman"/>
      <w:i/>
      <w:szCs w:val="20"/>
      <w:lang w:eastAsia="en-US"/>
    </w:rPr>
  </w:style>
  <w:style w:type="paragraph" w:customStyle="1" w:styleId="HeadingBase">
    <w:name w:val="Heading Base"/>
    <w:rsid w:val="003A0C8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A0C84"/>
    <w:pPr>
      <w:tabs>
        <w:tab w:val="right" w:leader="dot" w:pos="9072"/>
      </w:tabs>
      <w:ind w:left="567"/>
    </w:pPr>
    <w:rPr>
      <w:szCs w:val="22"/>
    </w:rPr>
  </w:style>
  <w:style w:type="paragraph" w:customStyle="1" w:styleId="TOCBase">
    <w:name w:val="TOC Base"/>
    <w:rsid w:val="003A0C8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A0C84"/>
    <w:pPr>
      <w:tabs>
        <w:tab w:val="right" w:leader="dot" w:pos="9072"/>
      </w:tabs>
      <w:spacing w:before="40" w:after="40"/>
      <w:ind w:left="284"/>
    </w:pPr>
    <w:rPr>
      <w:rFonts w:ascii="Times New Roman" w:hAnsi="Times New Roman"/>
    </w:rPr>
  </w:style>
  <w:style w:type="paragraph" w:styleId="TOC1">
    <w:name w:val="toc 1"/>
    <w:basedOn w:val="TOCBase"/>
    <w:next w:val="Normal"/>
    <w:rsid w:val="003A0C8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A0C8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A0C84"/>
    <w:rPr>
      <w:rFonts w:ascii="Times New Roman" w:eastAsia="Times New Roman" w:hAnsi="Times New Roman" w:cs="Times New Roman"/>
      <w:sz w:val="16"/>
      <w:lang w:eastAsia="en-US"/>
    </w:rPr>
  </w:style>
  <w:style w:type="paragraph" w:styleId="Title">
    <w:name w:val="Title"/>
    <w:basedOn w:val="HeadingBase"/>
    <w:link w:val="TitleChar"/>
    <w:qFormat/>
    <w:rsid w:val="003A0C84"/>
    <w:pPr>
      <w:spacing w:before="5040"/>
      <w:jc w:val="center"/>
    </w:pPr>
    <w:rPr>
      <w:sz w:val="48"/>
      <w:szCs w:val="72"/>
      <w:lang w:val="en-US"/>
    </w:rPr>
  </w:style>
  <w:style w:type="character" w:customStyle="1" w:styleId="TitleChar">
    <w:name w:val="Title Char"/>
    <w:basedOn w:val="DefaultParagraphFont"/>
    <w:link w:val="Title"/>
    <w:rsid w:val="003A0C8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A0C84"/>
    <w:pPr>
      <w:tabs>
        <w:tab w:val="left" w:pos="3600"/>
        <w:tab w:val="left" w:pos="3958"/>
      </w:tabs>
    </w:pPr>
  </w:style>
  <w:style w:type="paragraph" w:customStyle="1" w:styleId="Note">
    <w:name w:val="Note"/>
    <w:basedOn w:val="BodyText"/>
    <w:rsid w:val="003A0C8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A0C84"/>
    <w:pPr>
      <w:framePr w:wrap="auto" w:hAnchor="text" w:y="6049"/>
    </w:pPr>
    <w:rPr>
      <w:color w:val="000000"/>
      <w:sz w:val="40"/>
    </w:rPr>
  </w:style>
  <w:style w:type="paragraph" w:customStyle="1" w:styleId="TOCTitle">
    <w:name w:val="TOCTitle"/>
    <w:basedOn w:val="Heading1"/>
    <w:rsid w:val="003A0C84"/>
    <w:pPr>
      <w:spacing w:after="240"/>
      <w:jc w:val="center"/>
      <w:outlineLvl w:val="9"/>
    </w:pPr>
    <w:rPr>
      <w:caps/>
    </w:rPr>
  </w:style>
  <w:style w:type="paragraph" w:customStyle="1" w:styleId="Version">
    <w:name w:val="Version"/>
    <w:rsid w:val="003A0C8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A0C84"/>
    <w:pPr>
      <w:keepNext w:val="0"/>
      <w:tabs>
        <w:tab w:val="right" w:pos="4176"/>
      </w:tabs>
      <w:ind w:left="198" w:hanging="198"/>
    </w:pPr>
    <w:rPr>
      <w:rFonts w:ascii="Garamond" w:hAnsi="Garamond"/>
    </w:rPr>
  </w:style>
  <w:style w:type="paragraph" w:styleId="IndexHeading">
    <w:name w:val="index heading"/>
    <w:basedOn w:val="Normal"/>
    <w:next w:val="Index1"/>
    <w:semiHidden/>
    <w:rsid w:val="003A0C84"/>
    <w:pPr>
      <w:spacing w:before="120" w:after="120"/>
    </w:pPr>
    <w:rPr>
      <w:rFonts w:ascii="Arial" w:hAnsi="Arial"/>
      <w:b/>
      <w:color w:val="918585"/>
      <w:sz w:val="24"/>
    </w:rPr>
  </w:style>
  <w:style w:type="paragraph" w:styleId="Header">
    <w:name w:val="header"/>
    <w:basedOn w:val="Normal"/>
    <w:link w:val="HeaderChar"/>
    <w:rsid w:val="003A0C8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A0C84"/>
    <w:rPr>
      <w:rFonts w:ascii="Times New Roman" w:eastAsia="Times New Roman" w:hAnsi="Times New Roman" w:cs="Times New Roman"/>
      <w:sz w:val="16"/>
      <w:szCs w:val="20"/>
      <w:lang w:val="en-GB" w:eastAsia="en-US"/>
    </w:rPr>
  </w:style>
  <w:style w:type="paragraph" w:customStyle="1" w:styleId="Chapter">
    <w:name w:val="Chapter"/>
    <w:basedOn w:val="Normal"/>
    <w:rsid w:val="003A0C84"/>
    <w:pPr>
      <w:spacing w:before="240"/>
    </w:pPr>
    <w:rPr>
      <w:rFonts w:ascii="Times New Roman" w:hAnsi="Times New Roman"/>
      <w:smallCaps/>
      <w:spacing w:val="80"/>
      <w:sz w:val="28"/>
    </w:rPr>
  </w:style>
  <w:style w:type="paragraph" w:customStyle="1" w:styleId="InChapter">
    <w:name w:val="InChapter"/>
    <w:basedOn w:val="Heading3"/>
    <w:rsid w:val="003A0C84"/>
    <w:pPr>
      <w:spacing w:after="240"/>
      <w:outlineLvl w:val="9"/>
    </w:pPr>
    <w:rPr>
      <w:noProof/>
    </w:rPr>
  </w:style>
  <w:style w:type="paragraph" w:styleId="Index2">
    <w:name w:val="index 2"/>
    <w:basedOn w:val="Normal"/>
    <w:next w:val="Normal"/>
    <w:semiHidden/>
    <w:rsid w:val="003A0C84"/>
    <w:pPr>
      <w:tabs>
        <w:tab w:val="right" w:pos="4176"/>
      </w:tabs>
      <w:ind w:left="568" w:hanging="284"/>
    </w:pPr>
    <w:rPr>
      <w:rFonts w:ascii="Garamond" w:hAnsi="Garamond"/>
    </w:rPr>
  </w:style>
  <w:style w:type="paragraph" w:customStyle="1" w:styleId="Byline">
    <w:name w:val="Byline"/>
    <w:rsid w:val="003A0C8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A0C84"/>
    <w:pPr>
      <w:tabs>
        <w:tab w:val="clear" w:pos="3600"/>
        <w:tab w:val="clear" w:pos="3958"/>
      </w:tabs>
      <w:jc w:val="right"/>
    </w:pPr>
  </w:style>
  <w:style w:type="paragraph" w:styleId="Caption">
    <w:name w:val="caption"/>
    <w:basedOn w:val="BodyText"/>
    <w:next w:val="Normal"/>
    <w:qFormat/>
    <w:rsid w:val="003A0C84"/>
    <w:pPr>
      <w:framePr w:w="2268" w:hSpace="181" w:vSpace="181" w:wrap="around" w:vAnchor="text" w:hAnchor="page" w:x="1135" w:y="285" w:anchorLock="1"/>
    </w:pPr>
    <w:rPr>
      <w:i/>
    </w:rPr>
  </w:style>
  <w:style w:type="paragraph" w:customStyle="1" w:styleId="MiniTOCTitle">
    <w:name w:val="MiniTOCTitle"/>
    <w:basedOn w:val="Heading4"/>
    <w:rsid w:val="003A0C84"/>
    <w:pPr>
      <w:spacing w:before="240"/>
      <w:outlineLvl w:val="9"/>
    </w:pPr>
    <w:rPr>
      <w:noProof/>
      <w:sz w:val="24"/>
    </w:rPr>
  </w:style>
  <w:style w:type="paragraph" w:customStyle="1" w:styleId="MiniTOCItem">
    <w:name w:val="MiniTOCItem"/>
    <w:basedOn w:val="ListBullet"/>
    <w:rsid w:val="003A0C84"/>
    <w:pPr>
      <w:numPr>
        <w:numId w:val="0"/>
      </w:numPr>
      <w:tabs>
        <w:tab w:val="right" w:leader="dot" w:pos="6521"/>
      </w:tabs>
      <w:spacing w:before="0" w:after="0"/>
    </w:pPr>
  </w:style>
  <w:style w:type="paragraph" w:customStyle="1" w:styleId="TOFTitle">
    <w:name w:val="TOFTitle"/>
    <w:basedOn w:val="TOCTitle"/>
    <w:rsid w:val="003A0C84"/>
  </w:style>
  <w:style w:type="paragraph" w:styleId="TableofFigures">
    <w:name w:val="table of figures"/>
    <w:basedOn w:val="Normal"/>
    <w:next w:val="Normal"/>
    <w:semiHidden/>
    <w:rsid w:val="003A0C84"/>
    <w:pPr>
      <w:tabs>
        <w:tab w:val="right" w:leader="dot" w:pos="9072"/>
      </w:tabs>
      <w:ind w:left="970" w:hanging="403"/>
    </w:pPr>
    <w:rPr>
      <w:rFonts w:ascii="Times New Roman" w:hAnsi="Times New Roman"/>
      <w:b/>
    </w:rPr>
  </w:style>
  <w:style w:type="paragraph" w:styleId="ListNumber">
    <w:name w:val="List Number"/>
    <w:basedOn w:val="List"/>
    <w:rsid w:val="003A0C84"/>
    <w:pPr>
      <w:numPr>
        <w:numId w:val="15"/>
      </w:numPr>
      <w:tabs>
        <w:tab w:val="clear" w:pos="340"/>
      </w:tabs>
    </w:pPr>
  </w:style>
  <w:style w:type="character" w:customStyle="1" w:styleId="WingdingSymbols">
    <w:name w:val="Wingding Symbols"/>
    <w:rsid w:val="003A0C84"/>
    <w:rPr>
      <w:rFonts w:ascii="Wingdings" w:hAnsi="Wingdings"/>
    </w:rPr>
  </w:style>
  <w:style w:type="paragraph" w:customStyle="1" w:styleId="TableHeading">
    <w:name w:val="Table Heading"/>
    <w:basedOn w:val="HeadingBase"/>
    <w:rsid w:val="003A0C84"/>
    <w:pPr>
      <w:keepLines/>
      <w:pBdr>
        <w:bottom w:val="single" w:sz="6" w:space="1" w:color="918585"/>
      </w:pBdr>
      <w:spacing w:before="240"/>
    </w:pPr>
  </w:style>
  <w:style w:type="character" w:customStyle="1" w:styleId="HotSpot">
    <w:name w:val="HotSpot"/>
    <w:rsid w:val="003A0C84"/>
    <w:rPr>
      <w:color w:val="0033CC"/>
      <w:u w:val="none"/>
    </w:rPr>
  </w:style>
  <w:style w:type="paragraph" w:customStyle="1" w:styleId="BodyTextRight">
    <w:name w:val="Body Text Right"/>
    <w:basedOn w:val="BodyText"/>
    <w:rsid w:val="003A0C84"/>
    <w:pPr>
      <w:spacing w:before="0" w:after="0"/>
      <w:jc w:val="right"/>
    </w:pPr>
  </w:style>
  <w:style w:type="paragraph" w:styleId="Index3">
    <w:name w:val="index 3"/>
    <w:basedOn w:val="ListNumber2"/>
    <w:next w:val="Normal"/>
    <w:semiHidden/>
    <w:rsid w:val="003A0C84"/>
    <w:pPr>
      <w:numPr>
        <w:numId w:val="0"/>
      </w:numPr>
      <w:tabs>
        <w:tab w:val="right" w:leader="dot" w:pos="4176"/>
      </w:tabs>
    </w:pPr>
  </w:style>
  <w:style w:type="paragraph" w:styleId="ListNumber2">
    <w:name w:val="List Number 2"/>
    <w:basedOn w:val="List2"/>
    <w:rsid w:val="003A0C84"/>
    <w:pPr>
      <w:numPr>
        <w:numId w:val="10"/>
      </w:numPr>
      <w:tabs>
        <w:tab w:val="clear" w:pos="1060"/>
      </w:tabs>
    </w:pPr>
  </w:style>
  <w:style w:type="paragraph" w:customStyle="1" w:styleId="MarginNote">
    <w:name w:val="Margin Note"/>
    <w:basedOn w:val="BodyText"/>
    <w:rsid w:val="003A0C8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A0C8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A0C8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A0C84"/>
    <w:rPr>
      <w:sz w:val="32"/>
    </w:rPr>
  </w:style>
  <w:style w:type="paragraph" w:customStyle="1" w:styleId="HeadingProcedure">
    <w:name w:val="Heading Procedure"/>
    <w:basedOn w:val="HeadingBase"/>
    <w:next w:val="Normal"/>
    <w:rsid w:val="003A0C84"/>
    <w:pPr>
      <w:tabs>
        <w:tab w:val="left" w:pos="0"/>
      </w:tabs>
      <w:spacing w:before="120" w:after="60"/>
    </w:pPr>
    <w:rPr>
      <w:i/>
      <w:color w:val="918585"/>
      <w:sz w:val="22"/>
    </w:rPr>
  </w:style>
  <w:style w:type="paragraph" w:customStyle="1" w:styleId="TableBodyText">
    <w:name w:val="Table Body Text"/>
    <w:basedOn w:val="BodyText"/>
    <w:rsid w:val="003A0C84"/>
    <w:pPr>
      <w:spacing w:before="60" w:after="60"/>
    </w:pPr>
  </w:style>
  <w:style w:type="paragraph" w:styleId="ListContinue">
    <w:name w:val="List Continue"/>
    <w:basedOn w:val="List"/>
    <w:rsid w:val="003A0C84"/>
    <w:pPr>
      <w:ind w:firstLine="0"/>
    </w:pPr>
  </w:style>
  <w:style w:type="paragraph" w:customStyle="1" w:styleId="ListNote">
    <w:name w:val="List Note"/>
    <w:basedOn w:val="List"/>
    <w:rsid w:val="003A0C84"/>
    <w:pPr>
      <w:pBdr>
        <w:top w:val="single" w:sz="6" w:space="2" w:color="918585"/>
        <w:bottom w:val="single" w:sz="6" w:space="2" w:color="918585"/>
      </w:pBdr>
      <w:tabs>
        <w:tab w:val="left" w:pos="1021"/>
      </w:tabs>
      <w:ind w:firstLine="0"/>
    </w:pPr>
  </w:style>
  <w:style w:type="paragraph" w:customStyle="1" w:styleId="Warning">
    <w:name w:val="Warning"/>
    <w:basedOn w:val="BodyText"/>
    <w:rsid w:val="003A0C84"/>
    <w:pPr>
      <w:shd w:val="clear" w:color="auto" w:fill="D9D9D9"/>
      <w:tabs>
        <w:tab w:val="left" w:pos="992"/>
      </w:tabs>
      <w:ind w:left="119" w:right="119"/>
    </w:pPr>
    <w:rPr>
      <w:sz w:val="20"/>
    </w:rPr>
  </w:style>
  <w:style w:type="paragraph" w:customStyle="1" w:styleId="MarginIcons">
    <w:name w:val="Margin Icons"/>
    <w:basedOn w:val="BodyText"/>
    <w:rsid w:val="003A0C8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A0C84"/>
    <w:rPr>
      <w:rFonts w:ascii="Courier New" w:hAnsi="Courier New"/>
    </w:rPr>
  </w:style>
  <w:style w:type="paragraph" w:customStyle="1" w:styleId="NoteBullet">
    <w:name w:val="Note Bullet"/>
    <w:basedOn w:val="Note"/>
    <w:rsid w:val="003A0C84"/>
    <w:pPr>
      <w:tabs>
        <w:tab w:val="clear" w:pos="680"/>
      </w:tabs>
      <w:spacing w:before="60" w:after="60"/>
    </w:pPr>
  </w:style>
  <w:style w:type="paragraph" w:customStyle="1" w:styleId="SubHeading2">
    <w:name w:val="SubHeading2"/>
    <w:basedOn w:val="HeadingBase"/>
    <w:rsid w:val="003A0C84"/>
    <w:pPr>
      <w:spacing w:before="240" w:after="60"/>
    </w:pPr>
    <w:rPr>
      <w:sz w:val="20"/>
    </w:rPr>
  </w:style>
  <w:style w:type="paragraph" w:customStyle="1" w:styleId="SubHeading1">
    <w:name w:val="SubHeading1"/>
    <w:basedOn w:val="HeadingBase"/>
    <w:rsid w:val="003A0C84"/>
    <w:pPr>
      <w:spacing w:before="240" w:after="60"/>
    </w:pPr>
    <w:rPr>
      <w:color w:val="918585"/>
      <w:sz w:val="22"/>
    </w:rPr>
  </w:style>
  <w:style w:type="paragraph" w:customStyle="1" w:styleId="SideHeading">
    <w:name w:val="Side Heading"/>
    <w:basedOn w:val="HeadingBase"/>
    <w:rsid w:val="003A0C8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A0C84"/>
    <w:pPr>
      <w:tabs>
        <w:tab w:val="num" w:pos="360"/>
      </w:tabs>
    </w:pPr>
  </w:style>
  <w:style w:type="paragraph" w:styleId="PlainText">
    <w:name w:val="Plain Text"/>
    <w:basedOn w:val="Normal"/>
    <w:link w:val="PlainTextChar"/>
    <w:rsid w:val="003A0C84"/>
    <w:rPr>
      <w:sz w:val="20"/>
    </w:rPr>
  </w:style>
  <w:style w:type="character" w:customStyle="1" w:styleId="PlainTextChar">
    <w:name w:val="Plain Text Char"/>
    <w:basedOn w:val="DefaultParagraphFont"/>
    <w:link w:val="PlainText"/>
    <w:rsid w:val="003A0C84"/>
    <w:rPr>
      <w:rFonts w:ascii="Courier New" w:eastAsia="Times New Roman" w:hAnsi="Courier New" w:cs="Times New Roman"/>
      <w:sz w:val="20"/>
      <w:szCs w:val="20"/>
      <w:lang w:eastAsia="en-US"/>
    </w:rPr>
  </w:style>
  <w:style w:type="character" w:customStyle="1" w:styleId="MenuOption">
    <w:name w:val="Menu Option"/>
    <w:basedOn w:val="DefaultParagraphFont"/>
    <w:rsid w:val="003A0C84"/>
    <w:rPr>
      <w:b/>
      <w:smallCaps/>
    </w:rPr>
  </w:style>
  <w:style w:type="paragraph" w:customStyle="1" w:styleId="TableListNumber">
    <w:name w:val="Table List Number"/>
    <w:basedOn w:val="ListNumber"/>
    <w:rsid w:val="003A0C84"/>
    <w:pPr>
      <w:numPr>
        <w:numId w:val="0"/>
      </w:numPr>
    </w:pPr>
  </w:style>
  <w:style w:type="paragraph" w:styleId="TOC4">
    <w:name w:val="toc 4"/>
    <w:basedOn w:val="TOCBase"/>
    <w:next w:val="Normal"/>
    <w:semiHidden/>
    <w:rsid w:val="003A0C84"/>
    <w:pPr>
      <w:tabs>
        <w:tab w:val="right" w:leader="dot" w:pos="9071"/>
      </w:tabs>
      <w:ind w:left="1701"/>
    </w:pPr>
  </w:style>
  <w:style w:type="paragraph" w:customStyle="1" w:styleId="ListAlpha">
    <w:name w:val="List Alpha"/>
    <w:basedOn w:val="List"/>
    <w:rsid w:val="003A0C84"/>
    <w:pPr>
      <w:numPr>
        <w:numId w:val="9"/>
      </w:numPr>
    </w:pPr>
  </w:style>
  <w:style w:type="paragraph" w:customStyle="1" w:styleId="ListAlpha2">
    <w:name w:val="List Alpha 2"/>
    <w:basedOn w:val="List2"/>
    <w:rsid w:val="003A0C84"/>
    <w:pPr>
      <w:numPr>
        <w:numId w:val="8"/>
      </w:numPr>
    </w:pPr>
  </w:style>
  <w:style w:type="paragraph" w:styleId="List2">
    <w:name w:val="List 2"/>
    <w:basedOn w:val="BodyText"/>
    <w:rsid w:val="003A0C84"/>
    <w:pPr>
      <w:tabs>
        <w:tab w:val="left" w:pos="680"/>
      </w:tabs>
      <w:spacing w:before="60" w:after="60"/>
      <w:ind w:left="680" w:hanging="340"/>
    </w:pPr>
  </w:style>
  <w:style w:type="paragraph" w:styleId="List3">
    <w:name w:val="List 3"/>
    <w:basedOn w:val="BodyText"/>
    <w:rsid w:val="003A0C84"/>
    <w:pPr>
      <w:tabs>
        <w:tab w:val="left" w:pos="1021"/>
      </w:tabs>
      <w:spacing w:before="60" w:after="60"/>
      <w:ind w:left="1020" w:hanging="340"/>
    </w:pPr>
  </w:style>
  <w:style w:type="paragraph" w:styleId="List4">
    <w:name w:val="List 4"/>
    <w:basedOn w:val="BodyText"/>
    <w:rsid w:val="003A0C84"/>
    <w:pPr>
      <w:tabs>
        <w:tab w:val="left" w:pos="1361"/>
      </w:tabs>
      <w:spacing w:before="60" w:after="60"/>
      <w:ind w:left="1361" w:hanging="340"/>
    </w:pPr>
  </w:style>
  <w:style w:type="paragraph" w:styleId="List5">
    <w:name w:val="List 5"/>
    <w:basedOn w:val="BodyText"/>
    <w:rsid w:val="003A0C84"/>
    <w:pPr>
      <w:tabs>
        <w:tab w:val="left" w:pos="1701"/>
      </w:tabs>
      <w:spacing w:before="60" w:after="60"/>
      <w:ind w:left="1701" w:hanging="340"/>
    </w:pPr>
  </w:style>
  <w:style w:type="paragraph" w:styleId="ListBullet3">
    <w:name w:val="List Bullet 3"/>
    <w:basedOn w:val="List3"/>
    <w:rsid w:val="003A0C84"/>
    <w:pPr>
      <w:numPr>
        <w:numId w:val="14"/>
      </w:numPr>
      <w:tabs>
        <w:tab w:val="clear" w:pos="1021"/>
      </w:tabs>
      <w:ind w:left="1037" w:hanging="357"/>
    </w:pPr>
  </w:style>
  <w:style w:type="paragraph" w:styleId="ListBullet4">
    <w:name w:val="List Bullet 4"/>
    <w:basedOn w:val="List4"/>
    <w:rsid w:val="003A0C84"/>
    <w:pPr>
      <w:numPr>
        <w:numId w:val="3"/>
      </w:numPr>
      <w:tabs>
        <w:tab w:val="clear" w:pos="1361"/>
      </w:tabs>
    </w:pPr>
  </w:style>
  <w:style w:type="paragraph" w:styleId="ListBullet5">
    <w:name w:val="List Bullet 5"/>
    <w:basedOn w:val="List5"/>
    <w:rsid w:val="003A0C84"/>
    <w:pPr>
      <w:numPr>
        <w:numId w:val="4"/>
      </w:numPr>
    </w:pPr>
  </w:style>
  <w:style w:type="paragraph" w:styleId="ListContinue2">
    <w:name w:val="List Continue 2"/>
    <w:basedOn w:val="List2"/>
    <w:rsid w:val="003A0C84"/>
    <w:pPr>
      <w:ind w:firstLine="0"/>
    </w:pPr>
  </w:style>
  <w:style w:type="paragraph" w:styleId="ListContinue3">
    <w:name w:val="List Continue 3"/>
    <w:basedOn w:val="List3"/>
    <w:rsid w:val="003A0C84"/>
    <w:pPr>
      <w:ind w:left="1021" w:firstLine="0"/>
    </w:pPr>
  </w:style>
  <w:style w:type="paragraph" w:styleId="ListContinue4">
    <w:name w:val="List Continue 4"/>
    <w:basedOn w:val="List4"/>
    <w:rsid w:val="003A0C84"/>
    <w:pPr>
      <w:ind w:firstLine="0"/>
    </w:pPr>
  </w:style>
  <w:style w:type="paragraph" w:styleId="ListContinue5">
    <w:name w:val="List Continue 5"/>
    <w:basedOn w:val="List5"/>
    <w:rsid w:val="003A0C84"/>
    <w:pPr>
      <w:ind w:firstLine="0"/>
    </w:pPr>
  </w:style>
  <w:style w:type="paragraph" w:styleId="ListNumber3">
    <w:name w:val="List Number 3"/>
    <w:basedOn w:val="List3"/>
    <w:rsid w:val="003A0C84"/>
    <w:pPr>
      <w:numPr>
        <w:numId w:val="5"/>
      </w:numPr>
    </w:pPr>
  </w:style>
  <w:style w:type="paragraph" w:styleId="ListNumber4">
    <w:name w:val="List Number 4"/>
    <w:basedOn w:val="List4"/>
    <w:rsid w:val="003A0C84"/>
    <w:pPr>
      <w:numPr>
        <w:numId w:val="6"/>
      </w:numPr>
    </w:pPr>
  </w:style>
  <w:style w:type="paragraph" w:styleId="ListNumber5">
    <w:name w:val="List Number 5"/>
    <w:basedOn w:val="List5"/>
    <w:rsid w:val="003A0C84"/>
    <w:pPr>
      <w:numPr>
        <w:numId w:val="7"/>
      </w:numPr>
    </w:pPr>
  </w:style>
  <w:style w:type="paragraph" w:styleId="BlockText">
    <w:name w:val="Block Text"/>
    <w:basedOn w:val="Normal"/>
    <w:rsid w:val="003A0C84"/>
    <w:pPr>
      <w:spacing w:after="120"/>
      <w:ind w:left="1440" w:right="1440"/>
    </w:pPr>
  </w:style>
  <w:style w:type="character" w:customStyle="1" w:styleId="Subscript">
    <w:name w:val="Subscript"/>
    <w:basedOn w:val="DefaultParagraphFont"/>
    <w:rsid w:val="003A0C84"/>
    <w:rPr>
      <w:sz w:val="16"/>
      <w:vertAlign w:val="subscript"/>
    </w:rPr>
  </w:style>
  <w:style w:type="character" w:customStyle="1" w:styleId="Superscript">
    <w:name w:val="Superscript"/>
    <w:basedOn w:val="DefaultParagraphFont"/>
    <w:rsid w:val="003A0C84"/>
    <w:rPr>
      <w:sz w:val="16"/>
      <w:vertAlign w:val="superscript"/>
    </w:rPr>
  </w:style>
  <w:style w:type="character" w:customStyle="1" w:styleId="Symbols">
    <w:name w:val="Symbols"/>
    <w:basedOn w:val="DefaultParagraphFont"/>
    <w:rsid w:val="003A0C84"/>
    <w:rPr>
      <w:rFonts w:ascii="Symbol" w:hAnsi="Symbol"/>
    </w:rPr>
  </w:style>
  <w:style w:type="character" w:customStyle="1" w:styleId="MenuOptions">
    <w:name w:val="Menu Options"/>
    <w:basedOn w:val="DefaultParagraphFont"/>
    <w:rsid w:val="003A0C84"/>
    <w:rPr>
      <w:rFonts w:ascii="Arial Narrow" w:hAnsi="Arial Narrow"/>
      <w:smallCaps/>
    </w:rPr>
  </w:style>
  <w:style w:type="character" w:customStyle="1" w:styleId="Buttons">
    <w:name w:val="Buttons"/>
    <w:basedOn w:val="DefaultParagraphFont"/>
    <w:rsid w:val="003A0C84"/>
    <w:rPr>
      <w:b/>
    </w:rPr>
  </w:style>
  <w:style w:type="character" w:customStyle="1" w:styleId="Underlined">
    <w:name w:val="Underlined"/>
    <w:basedOn w:val="DefaultParagraphFont"/>
    <w:rsid w:val="003A0C84"/>
    <w:rPr>
      <w:u w:val="single"/>
    </w:rPr>
  </w:style>
  <w:style w:type="paragraph" w:customStyle="1" w:styleId="TableBodyTextRight">
    <w:name w:val="Table Body Text Right"/>
    <w:basedOn w:val="TableBodyText"/>
    <w:rsid w:val="003A0C84"/>
    <w:pPr>
      <w:widowControl w:val="0"/>
      <w:autoSpaceDE w:val="0"/>
      <w:autoSpaceDN w:val="0"/>
      <w:adjustRightInd w:val="0"/>
      <w:jc w:val="right"/>
    </w:pPr>
    <w:rPr>
      <w:rFonts w:cs="Arial"/>
      <w:szCs w:val="18"/>
    </w:rPr>
  </w:style>
  <w:style w:type="paragraph" w:customStyle="1" w:styleId="CopyrightText">
    <w:name w:val="Copyright Text"/>
    <w:basedOn w:val="BodyText"/>
    <w:rsid w:val="003A0C84"/>
    <w:rPr>
      <w:sz w:val="18"/>
    </w:rPr>
  </w:style>
  <w:style w:type="paragraph" w:customStyle="1" w:styleId="BodySmallRight">
    <w:name w:val="Body Small Right"/>
    <w:basedOn w:val="BodyTextRight"/>
    <w:rsid w:val="003A0C84"/>
    <w:rPr>
      <w:sz w:val="18"/>
      <w:szCs w:val="18"/>
    </w:rPr>
  </w:style>
  <w:style w:type="paragraph" w:customStyle="1" w:styleId="MarginEdition">
    <w:name w:val="Margin Edition"/>
    <w:basedOn w:val="MarginNote"/>
    <w:rsid w:val="003A0C84"/>
    <w:pPr>
      <w:spacing w:before="0" w:after="0"/>
    </w:pPr>
    <w:rPr>
      <w:rFonts w:ascii="Times New Roman" w:hAnsi="Times New Roman"/>
      <w:color w:val="999999"/>
    </w:rPr>
  </w:style>
  <w:style w:type="paragraph" w:customStyle="1" w:styleId="Spacer">
    <w:name w:val="Spacer"/>
    <w:basedOn w:val="Normal"/>
    <w:rsid w:val="003A0C84"/>
    <w:rPr>
      <w:sz w:val="2"/>
      <w:szCs w:val="2"/>
    </w:rPr>
  </w:style>
  <w:style w:type="character" w:customStyle="1" w:styleId="Small">
    <w:name w:val="Small"/>
    <w:basedOn w:val="DefaultParagraphFont"/>
    <w:rsid w:val="003A0C84"/>
    <w:rPr>
      <w:sz w:val="16"/>
    </w:rPr>
  </w:style>
  <w:style w:type="paragraph" w:customStyle="1" w:styleId="WideTable">
    <w:name w:val="Wide Table"/>
    <w:basedOn w:val="Normal"/>
    <w:rsid w:val="003A0C84"/>
    <w:pPr>
      <w:ind w:left="-1418"/>
    </w:pPr>
    <w:rPr>
      <w:sz w:val="2"/>
      <w:szCs w:val="2"/>
    </w:rPr>
  </w:style>
  <w:style w:type="character" w:styleId="PageNumber">
    <w:name w:val="page number"/>
    <w:basedOn w:val="DefaultParagraphFont"/>
    <w:rsid w:val="003A0C84"/>
  </w:style>
  <w:style w:type="paragraph" w:styleId="Quote">
    <w:name w:val="Quote"/>
    <w:basedOn w:val="Heading1"/>
    <w:link w:val="QuoteChar"/>
    <w:qFormat/>
    <w:rsid w:val="003A0C84"/>
    <w:rPr>
      <w:b w:val="0"/>
      <w:sz w:val="72"/>
      <w:szCs w:val="72"/>
      <w:lang w:val="en-NZ"/>
    </w:rPr>
  </w:style>
  <w:style w:type="character" w:customStyle="1" w:styleId="QuoteChar">
    <w:name w:val="Quote Char"/>
    <w:basedOn w:val="DefaultParagraphFont"/>
    <w:link w:val="Quote"/>
    <w:rsid w:val="003A0C8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A0C84"/>
    <w:pPr>
      <w:pageBreakBefore/>
    </w:pPr>
  </w:style>
  <w:style w:type="paragraph" w:customStyle="1" w:styleId="Border">
    <w:name w:val="Border"/>
    <w:basedOn w:val="Normal"/>
    <w:qFormat/>
    <w:rsid w:val="003A0C8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A0C84"/>
    <w:rPr>
      <w:b/>
      <w:bCs/>
      <w:i/>
      <w:iCs/>
      <w:color w:val="auto"/>
    </w:rPr>
  </w:style>
  <w:style w:type="paragraph" w:styleId="IntenseQuote">
    <w:name w:val="Intense Quote"/>
    <w:basedOn w:val="Normal"/>
    <w:next w:val="Normal"/>
    <w:link w:val="IntenseQuoteChar"/>
    <w:uiPriority w:val="30"/>
    <w:qFormat/>
    <w:rsid w:val="003A0C8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A0C8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A0C84"/>
    <w:rPr>
      <w:smallCaps/>
      <w:color w:val="auto"/>
      <w:u w:val="single"/>
    </w:rPr>
  </w:style>
  <w:style w:type="character" w:styleId="IntenseReference">
    <w:name w:val="Intense Reference"/>
    <w:basedOn w:val="DefaultParagraphFont"/>
    <w:uiPriority w:val="32"/>
    <w:qFormat/>
    <w:rsid w:val="003A0C84"/>
    <w:rPr>
      <w:b/>
      <w:bCs/>
      <w:smallCaps/>
      <w:color w:val="auto"/>
      <w:spacing w:val="5"/>
      <w:u w:val="single"/>
    </w:rPr>
  </w:style>
  <w:style w:type="paragraph" w:customStyle="1" w:styleId="2ColumnHeading">
    <w:name w:val="2Column Heading"/>
    <w:basedOn w:val="BodyText"/>
    <w:qFormat/>
    <w:rsid w:val="003A0C84"/>
    <w:pPr>
      <w:spacing w:after="60"/>
      <w:ind w:left="-2268"/>
    </w:pPr>
    <w:rPr>
      <w:b/>
    </w:rPr>
  </w:style>
  <w:style w:type="paragraph" w:customStyle="1" w:styleId="Heading1TOC">
    <w:name w:val="Heading1 TOC"/>
    <w:basedOn w:val="Normal"/>
    <w:qFormat/>
    <w:rsid w:val="003A0C84"/>
    <w:pPr>
      <w:spacing w:before="240" w:after="120"/>
    </w:pPr>
    <w:rPr>
      <w:rFonts w:ascii="Times New Roman" w:hAnsi="Times New Roman"/>
      <w:b/>
      <w:sz w:val="32"/>
    </w:rPr>
  </w:style>
  <w:style w:type="paragraph" w:customStyle="1" w:styleId="Heading2TOC">
    <w:name w:val="Heading2 TOC"/>
    <w:basedOn w:val="Normal"/>
    <w:qFormat/>
    <w:rsid w:val="003A0C84"/>
    <w:pPr>
      <w:spacing w:before="240" w:after="60"/>
    </w:pPr>
    <w:rPr>
      <w:rFonts w:ascii="Times New Roman" w:hAnsi="Times New Roman"/>
      <w:b/>
      <w:sz w:val="28"/>
    </w:rPr>
  </w:style>
  <w:style w:type="character" w:customStyle="1" w:styleId="Underline">
    <w:name w:val="Underline"/>
    <w:basedOn w:val="DefaultParagraphFont"/>
    <w:qFormat/>
    <w:rsid w:val="003A0C84"/>
    <w:rPr>
      <w:u w:val="single"/>
    </w:rPr>
  </w:style>
  <w:style w:type="character" w:customStyle="1" w:styleId="BoldandItalics">
    <w:name w:val="Bold and Italics"/>
    <w:qFormat/>
    <w:rsid w:val="003A0C84"/>
    <w:rPr>
      <w:b/>
      <w:i/>
      <w:u w:val="none"/>
    </w:rPr>
  </w:style>
  <w:style w:type="paragraph" w:styleId="BalloonText">
    <w:name w:val="Balloon Text"/>
    <w:basedOn w:val="Normal"/>
    <w:link w:val="BalloonTextChar"/>
    <w:rsid w:val="003A0C84"/>
    <w:rPr>
      <w:rFonts w:ascii="Tahoma" w:hAnsi="Tahoma" w:cs="Tahoma"/>
      <w:sz w:val="16"/>
      <w:szCs w:val="16"/>
    </w:rPr>
  </w:style>
  <w:style w:type="character" w:customStyle="1" w:styleId="BalloonTextChar">
    <w:name w:val="Balloon Text Char"/>
    <w:basedOn w:val="DefaultParagraphFont"/>
    <w:link w:val="BalloonText"/>
    <w:rsid w:val="003A0C8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A0C8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A0C8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A0C84"/>
    <w:rPr>
      <w:b/>
      <w:color w:val="660033"/>
      <w:spacing w:val="0"/>
    </w:rPr>
  </w:style>
  <w:style w:type="paragraph" w:customStyle="1" w:styleId="Nameditemlist">
    <w:name w:val="Named item list"/>
    <w:basedOn w:val="BodyText"/>
    <w:qFormat/>
    <w:rsid w:val="003A0C84"/>
    <w:pPr>
      <w:tabs>
        <w:tab w:val="left" w:pos="2835"/>
      </w:tabs>
      <w:ind w:left="2835" w:hanging="2835"/>
    </w:pPr>
  </w:style>
  <w:style w:type="paragraph" w:customStyle="1" w:styleId="BodyTextnopadding">
    <w:name w:val="Body Text no padding"/>
    <w:basedOn w:val="BodyText"/>
    <w:qFormat/>
    <w:rsid w:val="003A0C84"/>
    <w:pPr>
      <w:spacing w:before="0" w:after="0"/>
    </w:pPr>
  </w:style>
  <w:style w:type="character" w:styleId="Hyperlink">
    <w:name w:val="Hyperlink"/>
    <w:basedOn w:val="DefaultParagraphFont"/>
    <w:uiPriority w:val="99"/>
    <w:unhideWhenUsed/>
    <w:rsid w:val="005C0EA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1676</Words>
  <Characters>10878</Characters>
  <Application>Microsoft Office Word</Application>
  <DocSecurity>0</DocSecurity>
  <Lines>294</Lines>
  <Paragraphs>196</Paragraphs>
  <ScaleCrop>false</ScaleCrop>
  <Company>Author-it Software Corporation Ltd.</Company>
  <LinksUpToDate>false</LinksUpToDate>
  <CharactersWithSpaces>12358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RIICTB303E Erect temporary modular support systems (baileys) on existing bridges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2025-03-01T19:49:00Z</dcterms:created>
  <dcterms:modified xsi:type="dcterms:W3CDTF">2025-03-01T19:49:00Z</dcterms:modified>
</cp:coreProperties>
</file>