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83A" w:rsidP="00961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RIICTB203D Produce drawings and sketches</w:t>
      </w:r>
      <w:r>
        <w:fldChar w:fldCharType="end"/>
      </w:r>
    </w:p>
    <w:p w:rsidR="0096183A" w:rsidP="0096183A">
      <w:pPr>
        <w:pStyle w:val="Version"/>
        <w:sectPr w:rsidSect="00B93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3FA9" w:rsidP="00B93FA9">
      <w:pPr>
        <w:pStyle w:val="SuperHeading"/>
      </w:pPr>
      <w:r w:rsidRPr="00B93FA9">
        <w:t>Assessment Requirements for RIICTB203D Produce drawings and sketches</w:t>
      </w:r>
    </w:p>
    <w:p w:rsidR="00000000" w:rsidRPr="00B93FA9" w:rsidP="00B93FA9">
      <w:pPr>
        <w:pStyle w:val="Heading1"/>
      </w:pPr>
      <w:bookmarkStart w:id="1" w:name="O_683550"/>
      <w:bookmarkEnd w:id="1"/>
      <w:r w:rsidRPr="00B93FA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618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Comment</w:t>
            </w:r>
          </w:p>
        </w:tc>
      </w:tr>
      <w:tr w:rsidTr="009618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This unit replaces RIICTB203A Produce bridge drawings and sketches</w:t>
            </w:r>
          </w:p>
        </w:tc>
      </w:tr>
      <w:tr w:rsidTr="009618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FA9" w:rsidP="00B93FA9">
            <w:pPr>
              <w:pStyle w:val="BodyText"/>
            </w:pPr>
            <w:r w:rsidRPr="00B93FA9">
              <w:t>Required frequency and volume of evidence amended in Performance evidence.</w:t>
            </w:r>
          </w:p>
          <w:p w:rsidR="00000000" w:rsidRPr="00B93FA9" w:rsidP="00B93FA9">
            <w:pPr>
              <w:pStyle w:val="BodyText"/>
            </w:pPr>
            <w:r w:rsidRPr="00B93FA9">
              <w:t>Substantial amendments made in Assessment Conditions field, including: references to Industry Sectors, assessor and subject matter expert experience requirements, how assessment sho</w:t>
            </w:r>
            <w:r w:rsidRPr="00B93FA9">
              <w:t>uld be conducted and what it should confirm.</w:t>
            </w:r>
          </w:p>
        </w:tc>
      </w:tr>
    </w:tbl>
    <w:p w:rsidR="00000000" w:rsidRPr="00B93FA9" w:rsidP="00B93FA9">
      <w:pPr>
        <w:pStyle w:val="BodyText"/>
      </w:pPr>
    </w:p>
    <w:p w:rsidR="00000000" w:rsidRPr="00B93FA9" w:rsidP="00B93FA9">
      <w:pPr>
        <w:pStyle w:val="AllowPageBreak"/>
      </w:pPr>
    </w:p>
    <w:p w:rsidR="00000000" w:rsidRPr="00B93FA9" w:rsidP="00B93FA9">
      <w:pPr>
        <w:pStyle w:val="Heading1"/>
      </w:pPr>
      <w:bookmarkStart w:id="2" w:name="O_683549"/>
      <w:bookmarkEnd w:id="2"/>
      <w:r w:rsidRPr="00B93FA9">
        <w:t>Performance Evidence</w:t>
      </w:r>
    </w:p>
    <w:p w:rsidR="00000000" w:rsidRPr="00B93FA9" w:rsidP="0096183A">
      <w:pPr>
        <w:pStyle w:val="BodyText"/>
      </w:pPr>
      <w:r w:rsidRPr="00B93FA9">
        <w:t>Evidence is required to be collected that demonstrates a candidate’s competency in this unit. Evidence must be relevant to the roles within this sector’s work operations a</w:t>
      </w:r>
      <w:r w:rsidRPr="00B93FA9">
        <w:t>nd satisfy all of the requirements of the performance criteria of this unit and include evidence that the candidate:</w:t>
      </w:r>
    </w:p>
    <w:p w:rsidR="00000000" w:rsidRPr="00B93FA9" w:rsidP="00B93FA9">
      <w:pPr>
        <w:pStyle w:val="ListBullet"/>
      </w:pPr>
      <w:r w:rsidRPr="00B93FA9">
        <w:t>locates and applies applicable legislation, documentation, policies and procedures</w:t>
      </w:r>
    </w:p>
    <w:p w:rsidR="00000000" w:rsidRPr="00B93FA9" w:rsidP="00B93FA9">
      <w:pPr>
        <w:pStyle w:val="ListBullet"/>
      </w:pPr>
      <w:r w:rsidRPr="00B93FA9">
        <w:t>implements</w:t>
      </w:r>
      <w:r w:rsidRPr="00B93FA9">
        <w:t xml:space="preserve"> the requirements, procedures and techniques for the safe, effective and efficient completion of bridge drawings and sketches including:</w:t>
      </w:r>
    </w:p>
    <w:p w:rsidR="00000000" w:rsidRPr="00B93FA9" w:rsidP="00B93FA9">
      <w:pPr>
        <w:pStyle w:val="ListBullet2"/>
      </w:pPr>
      <w:r w:rsidRPr="00B93FA9">
        <w:t>developing specifications</w:t>
      </w:r>
    </w:p>
    <w:p w:rsidR="00000000" w:rsidRPr="00B93FA9" w:rsidP="00B93FA9">
      <w:pPr>
        <w:pStyle w:val="ListBullet"/>
      </w:pPr>
      <w:r w:rsidRPr="00B93FA9">
        <w:t xml:space="preserve">works with others to undertake and complete the production of bridge drawings and sketches </w:t>
      </w:r>
      <w:r w:rsidRPr="00B93FA9">
        <w:t>that meets all of the required outcomes including:</w:t>
      </w:r>
    </w:p>
    <w:p w:rsidR="00000000" w:rsidRPr="00B93FA9" w:rsidP="00B93FA9">
      <w:pPr>
        <w:pStyle w:val="ListBullet2"/>
      </w:pPr>
      <w:r w:rsidRPr="00B93FA9">
        <w:t>communicating clearly and concisely with others to receive and clarify work instructions</w:t>
      </w:r>
    </w:p>
    <w:p w:rsidR="00000000" w:rsidRPr="00B93FA9" w:rsidP="00B93FA9">
      <w:pPr>
        <w:pStyle w:val="ListBullet2"/>
      </w:pPr>
      <w:r w:rsidRPr="00B93FA9">
        <w:t>using a range of communication techniques and systems to advise others of work activity</w:t>
      </w:r>
    </w:p>
    <w:p w:rsidR="00000000" w:rsidRPr="00B93FA9" w:rsidP="00B93FA9">
      <w:pPr>
        <w:pStyle w:val="ListBullet"/>
      </w:pPr>
      <w:r w:rsidRPr="00B93FA9">
        <w:t>demonstrates completion of</w:t>
      </w:r>
      <w:r w:rsidRPr="00B93FA9">
        <w:t xml:space="preserve"> producing drawings and sketches that safely, effectively and efficiently meets all of the required outcomes on more than one (1) occasion including:</w:t>
      </w:r>
    </w:p>
    <w:p w:rsidR="00000000" w:rsidRPr="00B93FA9" w:rsidP="00B93FA9">
      <w:pPr>
        <w:pStyle w:val="ListBullet2"/>
      </w:pPr>
      <w:r w:rsidRPr="00B93FA9">
        <w:t>identifying, reporting and recording hazards and risks</w:t>
      </w:r>
    </w:p>
    <w:p w:rsidR="00000000" w:rsidRPr="00B93FA9" w:rsidP="00B93FA9">
      <w:pPr>
        <w:pStyle w:val="ListBullet2"/>
      </w:pPr>
      <w:r w:rsidRPr="00B93FA9">
        <w:t xml:space="preserve">producing at least two (2) sketches for a minimum </w:t>
      </w:r>
      <w:r w:rsidRPr="00B93FA9">
        <w:t>of three (3) different projects in compliance with standard drawing conventions:</w:t>
      </w:r>
    </w:p>
    <w:p w:rsidR="00000000" w:rsidRPr="00B93FA9" w:rsidP="00B93FA9">
      <w:pPr>
        <w:pStyle w:val="ListBullet3"/>
      </w:pPr>
      <w:r w:rsidRPr="00B93FA9">
        <w:t xml:space="preserve">one (1) orthographic drawing and one sectional view drawing, </w:t>
      </w:r>
    </w:p>
    <w:p w:rsidR="00000000" w:rsidRPr="00B93FA9" w:rsidP="00B93FA9">
      <w:pPr>
        <w:pStyle w:val="ListBullet3"/>
      </w:pPr>
      <w:r w:rsidRPr="00B93FA9">
        <w:t xml:space="preserve">one (1) elevation, plan and end view </w:t>
      </w:r>
    </w:p>
    <w:p w:rsidR="00000000" w:rsidRPr="00B93FA9" w:rsidP="00B93FA9">
      <w:pPr>
        <w:pStyle w:val="ListBullet2"/>
      </w:pPr>
      <w:r w:rsidRPr="00B93FA9">
        <w:t>developing specifications</w:t>
      </w:r>
    </w:p>
    <w:p w:rsidR="00000000" w:rsidRPr="00B93FA9" w:rsidP="00B93FA9">
      <w:pPr>
        <w:pStyle w:val="AllowPageBreak"/>
      </w:pPr>
    </w:p>
    <w:p w:rsidR="00000000" w:rsidRPr="00B93FA9" w:rsidP="00B93FA9">
      <w:pPr>
        <w:pStyle w:val="Heading1"/>
      </w:pPr>
      <w:bookmarkStart w:id="3" w:name="O_683548"/>
      <w:bookmarkEnd w:id="3"/>
      <w:r w:rsidRPr="00B93FA9">
        <w:t>Knowledge Evidence</w:t>
      </w:r>
    </w:p>
    <w:p w:rsidR="00000000" w:rsidRPr="00B93FA9" w:rsidP="0096183A">
      <w:pPr>
        <w:pStyle w:val="BodyText"/>
      </w:pPr>
      <w:r w:rsidRPr="00B93FA9">
        <w:t>The candidate must demonstrate knowledge in producing bridge drawings and sketches through:</w:t>
      </w:r>
    </w:p>
    <w:p w:rsidR="00000000" w:rsidRPr="00B93FA9" w:rsidP="00B93FA9">
      <w:pPr>
        <w:pStyle w:val="ListBullet"/>
      </w:pPr>
      <w:r w:rsidRPr="00B93FA9">
        <w:t>applying organisational and site requirements and procedures for:</w:t>
      </w:r>
    </w:p>
    <w:p w:rsidR="00000000" w:rsidRPr="00B93FA9" w:rsidP="00B93FA9">
      <w:pPr>
        <w:pStyle w:val="ListBullet2"/>
      </w:pPr>
      <w:r w:rsidRPr="00B93FA9">
        <w:t>site and equipment safety requirements</w:t>
      </w:r>
    </w:p>
    <w:p w:rsidR="00000000" w:rsidRPr="00B93FA9" w:rsidP="00B93FA9">
      <w:pPr>
        <w:pStyle w:val="ListBullet2"/>
      </w:pPr>
      <w:r w:rsidRPr="00B93FA9">
        <w:t>timber bridge durability treatment procedures and techniques</w:t>
      </w:r>
    </w:p>
    <w:p w:rsidR="00000000" w:rsidRPr="00B93FA9" w:rsidP="00B93FA9">
      <w:pPr>
        <w:pStyle w:val="ListBullet2"/>
      </w:pPr>
      <w:r w:rsidRPr="00B93FA9">
        <w:t>scaffolding</w:t>
      </w:r>
    </w:p>
    <w:p w:rsidR="00000000" w:rsidRPr="00B93FA9" w:rsidP="00B93FA9">
      <w:pPr>
        <w:pStyle w:val="ListBullet2"/>
      </w:pPr>
      <w:r w:rsidRPr="00B93FA9">
        <w:t>preservatives and protective coatings</w:t>
      </w:r>
    </w:p>
    <w:p w:rsidR="00000000" w:rsidRPr="00B93FA9" w:rsidP="00B93FA9">
      <w:pPr>
        <w:pStyle w:val="ListBullet2"/>
      </w:pPr>
      <w:r w:rsidRPr="00B93FA9">
        <w:t>termite barriers</w:t>
      </w:r>
    </w:p>
    <w:p w:rsidR="00000000" w:rsidRPr="00B93FA9" w:rsidP="00B93FA9">
      <w:pPr>
        <w:pStyle w:val="ListBullet2"/>
      </w:pPr>
      <w:r w:rsidRPr="00B93FA9">
        <w:t>waterproofing</w:t>
      </w:r>
    </w:p>
    <w:p w:rsidR="00000000" w:rsidRPr="00B93FA9" w:rsidP="00B93FA9">
      <w:pPr>
        <w:pStyle w:val="ListBullet2"/>
      </w:pPr>
      <w:r w:rsidRPr="00B93FA9">
        <w:t>timber deterioration</w:t>
      </w:r>
    </w:p>
    <w:p w:rsidR="00000000" w:rsidRPr="00B93FA9" w:rsidP="00B93FA9">
      <w:pPr>
        <w:pStyle w:val="ListBullet2"/>
      </w:pPr>
      <w:r w:rsidRPr="00B93FA9">
        <w:t>bridge foundations</w:t>
      </w:r>
    </w:p>
    <w:p w:rsidR="00000000" w:rsidRPr="00B93FA9" w:rsidP="00B93FA9">
      <w:pPr>
        <w:pStyle w:val="ListBullet2"/>
      </w:pPr>
      <w:r w:rsidRPr="00B93FA9">
        <w:t>bridge heritage</w:t>
      </w:r>
    </w:p>
    <w:p w:rsidR="00000000" w:rsidRPr="00B93FA9" w:rsidP="00B93FA9">
      <w:pPr>
        <w:pStyle w:val="ListBullet2"/>
      </w:pPr>
      <w:r w:rsidRPr="00B93FA9">
        <w:t>calculation of material requirements</w:t>
      </w:r>
    </w:p>
    <w:p w:rsidR="00000000" w:rsidRPr="00B93FA9" w:rsidP="00B93FA9">
      <w:pPr>
        <w:pStyle w:val="ListBullet"/>
      </w:pPr>
      <w:r w:rsidRPr="00B93FA9">
        <w:t>quality assurance sy</w:t>
      </w:r>
      <w:r w:rsidRPr="00B93FA9">
        <w:t>stems and standards</w:t>
      </w:r>
    </w:p>
    <w:p w:rsidR="00000000" w:rsidRPr="00B93FA9" w:rsidP="00B93FA9">
      <w:pPr>
        <w:pStyle w:val="ListBullet"/>
      </w:pPr>
      <w:r w:rsidRPr="00B93FA9">
        <w:t>equipment types, characteristics, technical capabilities and limitations</w:t>
      </w:r>
    </w:p>
    <w:p w:rsidR="00000000" w:rsidRPr="00B93FA9" w:rsidP="00B93FA9">
      <w:pPr>
        <w:pStyle w:val="ListBullet"/>
      </w:pPr>
      <w:r w:rsidRPr="00B93FA9">
        <w:t>operational, maintenance and basic diagnostic procedures</w:t>
      </w:r>
    </w:p>
    <w:p w:rsidR="00000000" w:rsidRPr="00B93FA9" w:rsidP="00B93FA9">
      <w:pPr>
        <w:pStyle w:val="ListBullet"/>
      </w:pPr>
      <w:r w:rsidRPr="00B93FA9">
        <w:t>site isolation and traffic control responsibilities and authorities</w:t>
      </w:r>
    </w:p>
    <w:p w:rsidR="00000000" w:rsidRPr="00B93FA9" w:rsidP="00B93FA9">
      <w:pPr>
        <w:pStyle w:val="ListBullet"/>
      </w:pPr>
      <w:r w:rsidRPr="00B93FA9">
        <w:t>safety data sheets and materials handl</w:t>
      </w:r>
      <w:r w:rsidRPr="00B93FA9">
        <w:t>ing methods</w:t>
      </w:r>
    </w:p>
    <w:p w:rsidR="00000000" w:rsidRPr="00B93FA9" w:rsidP="00B93FA9">
      <w:pPr>
        <w:pStyle w:val="ListBullet"/>
      </w:pPr>
      <w:r w:rsidRPr="00B93FA9">
        <w:t>JSA/JSEA/safe work method statements</w:t>
      </w:r>
    </w:p>
    <w:p w:rsidR="00000000" w:rsidRPr="00B93FA9" w:rsidP="00B93FA9">
      <w:pPr>
        <w:pStyle w:val="ListBullet"/>
      </w:pPr>
      <w:r w:rsidRPr="00B93FA9">
        <w:t>symbols and abbreviations</w:t>
      </w:r>
    </w:p>
    <w:p w:rsidR="00000000" w:rsidRPr="00B93FA9" w:rsidP="00B93FA9">
      <w:pPr>
        <w:pStyle w:val="ListBullet"/>
      </w:pPr>
      <w:r w:rsidRPr="00B93FA9">
        <w:t>drawing mediums</w:t>
      </w:r>
    </w:p>
    <w:p w:rsidR="00000000" w:rsidRPr="00B93FA9" w:rsidP="00B93FA9">
      <w:pPr>
        <w:pStyle w:val="AllowPageBreak"/>
      </w:pPr>
    </w:p>
    <w:p w:rsidR="00000000" w:rsidRPr="00B93FA9" w:rsidP="00B93FA9">
      <w:pPr>
        <w:pStyle w:val="Heading1"/>
      </w:pPr>
      <w:bookmarkStart w:id="4" w:name="O_683547"/>
      <w:bookmarkEnd w:id="4"/>
      <w:r w:rsidRPr="00B93FA9">
        <w:t>Assessment Conditions</w:t>
      </w:r>
    </w:p>
    <w:p w:rsidR="00000000" w:rsidRPr="00B93FA9" w:rsidP="00B93FA9">
      <w:pPr>
        <w:pStyle w:val="ListBullet"/>
      </w:pPr>
      <w:r w:rsidRPr="00B93FA9">
        <w:t>An assessor of this unit must satisfy the requirements of the NVR/AQTF or their successors; and Industry regulations for ce</w:t>
      </w:r>
      <w:r w:rsidRPr="00B93FA9">
        <w:t>rtification and licensing; and,</w:t>
      </w:r>
    </w:p>
    <w:p w:rsidR="00000000" w:rsidRPr="00B93FA9" w:rsidP="00B93FA9">
      <w:pPr>
        <w:pStyle w:val="ListBullet"/>
      </w:pPr>
      <w:r w:rsidRPr="00B93FA9">
        <w:t>this unit must be assessed in the context of this sector’s work environment; and,</w:t>
      </w:r>
    </w:p>
    <w:p w:rsidR="00000000" w:rsidRPr="00B93FA9" w:rsidP="00B93FA9">
      <w:pPr>
        <w:pStyle w:val="ListBullet"/>
      </w:pPr>
      <w:r w:rsidRPr="00B93FA9">
        <w:t>this unit must be assessed in compliance with relevant legislation/regulation and using policies, procedures, processes and operational manual</w:t>
      </w:r>
      <w:r w:rsidRPr="00B93FA9">
        <w:t>s directly related to the industry sector for which it is being assessed; and,</w:t>
      </w:r>
    </w:p>
    <w:p w:rsidR="00000000" w:rsidRPr="00B93FA9" w:rsidP="00B93FA9">
      <w:pPr>
        <w:pStyle w:val="ListBullet"/>
      </w:pPr>
      <w:r w:rsidRPr="00B93FA9">
        <w:t>assessment may be conducted in conjunction with the assessment of other Units of Competency; and,</w:t>
      </w:r>
    </w:p>
    <w:p w:rsidR="00000000" w:rsidRPr="00B93FA9" w:rsidP="00B93FA9">
      <w:pPr>
        <w:pStyle w:val="ListBullet"/>
      </w:pPr>
      <w:r w:rsidRPr="00B93FA9">
        <w:t>assessment must confirm consistent performance can be applied in a range of rel</w:t>
      </w:r>
      <w:r w:rsidRPr="00B93FA9">
        <w:t>evant workplace circumstances; and,</w:t>
      </w:r>
    </w:p>
    <w:p w:rsidR="00000000" w:rsidRPr="00B93FA9" w:rsidP="00B93FA9">
      <w:pPr>
        <w:pStyle w:val="ListBullet"/>
      </w:pPr>
      <w:r w:rsidRPr="00B93FA9">
        <w:t>assessors must demonstrate the performance evidence, and knowledge evidence as outlined in this Unit of Competency, and through the minimum years of current* work experience specified below in an Industry sector relevant</w:t>
      </w:r>
      <w:r w:rsidRPr="00B93FA9">
        <w:t xml:space="preserve"> to the outcomes of the unit; or,</w:t>
      </w:r>
    </w:p>
    <w:p w:rsidR="00000000" w:rsidRPr="00B93FA9" w:rsidP="00B93FA9">
      <w:pPr>
        <w:pStyle w:val="ListBullet"/>
      </w:pPr>
      <w:r w:rsidRPr="00B93FA9">
        <w:t>where the assessor does not meet experience requirements a co-assessment or partnership arrangement must exist between the qualified assessor and an Industry subject matter expert. The Industry subject matter expert should</w:t>
      </w:r>
      <w:r w:rsidRPr="00B93FA9">
        <w:t xml:space="preserve"> hold the unit being assessed (or an equivalent unit) and/or demonstrate equivalence of skills and knowledge at the unit level. An Industry technical expert must also demonstrate skills and knowledge from the minimum years of current work experience specif</w:t>
      </w:r>
      <w:r w:rsidRPr="00B93FA9">
        <w:t>ied below in the Industry sector, including time spent in roles related to the unit being assessed; and,</w:t>
      </w:r>
    </w:p>
    <w:p w:rsidR="00000000" w:rsidRPr="00B93FA9" w:rsidP="00B93FA9">
      <w:pPr>
        <w:pStyle w:val="ListBullet"/>
      </w:pPr>
      <w:r w:rsidRPr="00B93FA9">
        <w:t>assessor and Industry subject matter expert requirements differ depending on the Australian Qualifications Framework Level (AQF) of the qualification b</w:t>
      </w:r>
      <w:r w:rsidRPr="00B93FA9">
        <w:t>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93F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Required assessor or Industry subject matter expert experience</w:t>
            </w:r>
          </w:p>
        </w:tc>
      </w:tr>
      <w:tr w:rsidTr="00B93F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1 Year</w:t>
            </w:r>
          </w:p>
        </w:tc>
      </w:tr>
      <w:tr w:rsidTr="00B93F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2 Years</w:t>
            </w:r>
          </w:p>
        </w:tc>
      </w:tr>
      <w:tr w:rsidTr="00B93F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3 Years</w:t>
            </w:r>
          </w:p>
        </w:tc>
      </w:tr>
      <w:tr w:rsidTr="00B93F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5 Years</w:t>
            </w:r>
          </w:p>
        </w:tc>
      </w:tr>
      <w:tr w:rsidTr="00B93F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FA9">
            <w:pPr>
              <w:pStyle w:val="BodyText"/>
              <w:rPr>
                <w:lang w:val="en-NZ"/>
              </w:rPr>
            </w:pPr>
            <w:r w:rsidRPr="00B93FA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FA9" w:rsidP="00B93FA9">
            <w:pPr>
              <w:pStyle w:val="BodyText"/>
            </w:pPr>
            <w:r w:rsidRPr="00B93FA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93FA9">
              <w:t>ndard is specified should comply with any relevant regulation.</w:t>
            </w:r>
          </w:p>
        </w:tc>
      </w:tr>
    </w:tbl>
    <w:p w:rsidR="00000000" w:rsidRPr="00B93FA9" w:rsidP="0096183A">
      <w:pPr>
        <w:pStyle w:val="BodyText"/>
      </w:pPr>
      <w:r w:rsidRPr="00B93FA9">
        <w:t>*Assessors can demonstrate current work experience through employment within Industry in a role relevant to the outcomes of the Unit; or, for external assessors this can be demonstrated throu</w:t>
      </w:r>
      <w:r w:rsidRPr="00B93FA9">
        <w:t>gh exposure to Industry by conducting frequent site assessments across various locations.</w:t>
      </w:r>
    </w:p>
    <w:p w:rsidR="00000000" w:rsidRPr="00B93FA9" w:rsidP="0096183A">
      <w:pPr>
        <w:pStyle w:val="BodyText"/>
      </w:pPr>
      <w:r w:rsidRPr="00B93FA9">
        <w:t>**Where a unit is being delivered outside of a Qualification the first numeric character in the Unit code should be considered to indicate the AQF level</w:t>
      </w:r>
    </w:p>
    <w:p w:rsidR="00000000" w:rsidRPr="00B93FA9" w:rsidP="00B93FA9">
      <w:pPr>
        <w:pStyle w:val="Heading1"/>
      </w:pPr>
      <w:bookmarkStart w:id="5" w:name="O_683559"/>
      <w:bookmarkEnd w:id="5"/>
      <w:r w:rsidRPr="00B93FA9">
        <w:t>Links</w:t>
      </w:r>
    </w:p>
    <w:p w:rsidR="00000000" w:rsidRPr="00B93FA9" w:rsidP="0096183A">
      <w:pPr>
        <w:pStyle w:val="BodyText"/>
      </w:pPr>
      <w:r w:rsidRPr="00B93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73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3FA9" w:rsidP="00B93FA9"/>
    <w:sectPr w:rsidSect="00B93F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A9" w:rsidRPr="0096183A" w:rsidP="00961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3A" w:rsidP="00B93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83A" w:rsidP="00B93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83A" w:rsidP="00B93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FA9" w:rsidRPr="0096183A" w:rsidP="00961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3A" w:rsidRPr="002D2AF8" w:rsidP="00B93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RIICTB203D Produce drawings and sketches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6183A" w:rsidP="00B93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C1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85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C0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FA9"/>
  </w:style>
  <w:style w:type="character" w:customStyle="1" w:styleId="Heading1Char">
    <w:name w:val="Heading 1 Char"/>
    <w:basedOn w:val="DefaultParagraphFont"/>
    <w:link w:val="Heading1"/>
    <w:rsid w:val="00B93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FA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3F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3F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3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FA9"/>
    <w:rPr>
      <w:b/>
      <w:spacing w:val="0"/>
    </w:rPr>
  </w:style>
  <w:style w:type="paragraph" w:customStyle="1" w:styleId="SuperTitle">
    <w:name w:val="SuperTitle"/>
    <w:basedOn w:val="Title"/>
    <w:rsid w:val="00B93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F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FA9"/>
    <w:rPr>
      <w:i/>
    </w:rPr>
  </w:style>
  <w:style w:type="paragraph" w:styleId="Caption">
    <w:name w:val="caption"/>
    <w:basedOn w:val="BodyText"/>
    <w:next w:val="Normal"/>
    <w:qFormat/>
    <w:rsid w:val="00B93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FA9"/>
  </w:style>
  <w:style w:type="paragraph" w:styleId="TableofFigures">
    <w:name w:val="table of figures"/>
    <w:basedOn w:val="Normal"/>
    <w:next w:val="Normal"/>
    <w:semiHidden/>
    <w:rsid w:val="00B93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F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3FA9"/>
    <w:rPr>
      <w:rFonts w:ascii="Wingdings" w:hAnsi="Wingdings"/>
    </w:rPr>
  </w:style>
  <w:style w:type="paragraph" w:customStyle="1" w:styleId="TableHeading">
    <w:name w:val="Table Heading"/>
    <w:basedOn w:val="HeadingBase"/>
    <w:rsid w:val="00B93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FA9"/>
    <w:rPr>
      <w:color w:val="0033CC"/>
      <w:u w:val="none"/>
    </w:rPr>
  </w:style>
  <w:style w:type="paragraph" w:customStyle="1" w:styleId="BodyTextRight">
    <w:name w:val="Body Text Right"/>
    <w:basedOn w:val="BodyText"/>
    <w:rsid w:val="00B93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F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FA9"/>
    <w:rPr>
      <w:sz w:val="32"/>
    </w:rPr>
  </w:style>
  <w:style w:type="paragraph" w:customStyle="1" w:styleId="HeadingProcedure">
    <w:name w:val="Heading Procedure"/>
    <w:basedOn w:val="HeadingBase"/>
    <w:next w:val="Normal"/>
    <w:rsid w:val="00B93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FA9"/>
    <w:pPr>
      <w:spacing w:before="60" w:after="60"/>
    </w:pPr>
  </w:style>
  <w:style w:type="paragraph" w:styleId="ListContinue">
    <w:name w:val="List Continue"/>
    <w:basedOn w:val="List"/>
    <w:rsid w:val="00B93FA9"/>
    <w:pPr>
      <w:ind w:firstLine="0"/>
    </w:pPr>
  </w:style>
  <w:style w:type="paragraph" w:customStyle="1" w:styleId="ListNote">
    <w:name w:val="List Note"/>
    <w:basedOn w:val="List"/>
    <w:rsid w:val="00B93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FA9"/>
    <w:rPr>
      <w:rFonts w:ascii="Courier New" w:hAnsi="Courier New"/>
    </w:rPr>
  </w:style>
  <w:style w:type="paragraph" w:customStyle="1" w:styleId="NoteBullet">
    <w:name w:val="Note Bullet"/>
    <w:basedOn w:val="Note"/>
    <w:rsid w:val="00B93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F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3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FA9"/>
    <w:rPr>
      <w:b/>
      <w:smallCaps/>
    </w:rPr>
  </w:style>
  <w:style w:type="paragraph" w:customStyle="1" w:styleId="TableListNumber">
    <w:name w:val="Table List Number"/>
    <w:basedOn w:val="ListNumber"/>
    <w:rsid w:val="00B93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FA9"/>
    <w:pPr>
      <w:numPr>
        <w:numId w:val="10"/>
      </w:numPr>
    </w:pPr>
  </w:style>
  <w:style w:type="paragraph" w:customStyle="1" w:styleId="ListAlpha2">
    <w:name w:val="List Alpha 2"/>
    <w:basedOn w:val="List2"/>
    <w:rsid w:val="00B93FA9"/>
    <w:pPr>
      <w:numPr>
        <w:numId w:val="9"/>
      </w:numPr>
    </w:pPr>
  </w:style>
  <w:style w:type="paragraph" w:styleId="List2">
    <w:name w:val="List 2"/>
    <w:basedOn w:val="BodyText"/>
    <w:rsid w:val="00B93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F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3F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3FA9"/>
    <w:pPr>
      <w:numPr>
        <w:numId w:val="5"/>
      </w:numPr>
    </w:pPr>
  </w:style>
  <w:style w:type="paragraph" w:styleId="ListContinue2">
    <w:name w:val="List Continue 2"/>
    <w:basedOn w:val="List2"/>
    <w:rsid w:val="00B93FA9"/>
    <w:pPr>
      <w:ind w:firstLine="0"/>
    </w:pPr>
  </w:style>
  <w:style w:type="paragraph" w:styleId="ListContinue3">
    <w:name w:val="List Continue 3"/>
    <w:basedOn w:val="List3"/>
    <w:rsid w:val="00B93FA9"/>
    <w:pPr>
      <w:ind w:left="1021" w:firstLine="0"/>
    </w:pPr>
  </w:style>
  <w:style w:type="paragraph" w:styleId="ListContinue4">
    <w:name w:val="List Continue 4"/>
    <w:basedOn w:val="List4"/>
    <w:rsid w:val="00B93FA9"/>
    <w:pPr>
      <w:ind w:firstLine="0"/>
    </w:pPr>
  </w:style>
  <w:style w:type="paragraph" w:styleId="ListContinue5">
    <w:name w:val="List Continue 5"/>
    <w:basedOn w:val="List5"/>
    <w:rsid w:val="00B93FA9"/>
    <w:pPr>
      <w:ind w:firstLine="0"/>
    </w:pPr>
  </w:style>
  <w:style w:type="paragraph" w:styleId="ListNumber3">
    <w:name w:val="List Number 3"/>
    <w:basedOn w:val="List3"/>
    <w:rsid w:val="00B93FA9"/>
    <w:pPr>
      <w:numPr>
        <w:numId w:val="6"/>
      </w:numPr>
    </w:pPr>
  </w:style>
  <w:style w:type="paragraph" w:styleId="ListNumber4">
    <w:name w:val="List Number 4"/>
    <w:basedOn w:val="List4"/>
    <w:rsid w:val="00B93FA9"/>
    <w:pPr>
      <w:numPr>
        <w:numId w:val="7"/>
      </w:numPr>
    </w:pPr>
  </w:style>
  <w:style w:type="paragraph" w:styleId="ListNumber5">
    <w:name w:val="List Number 5"/>
    <w:basedOn w:val="List5"/>
    <w:rsid w:val="00B93FA9"/>
    <w:pPr>
      <w:numPr>
        <w:numId w:val="8"/>
      </w:numPr>
    </w:pPr>
  </w:style>
  <w:style w:type="paragraph" w:styleId="BlockText">
    <w:name w:val="Block Text"/>
    <w:basedOn w:val="Normal"/>
    <w:rsid w:val="00B93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FA9"/>
    <w:rPr>
      <w:sz w:val="16"/>
      <w:vertAlign w:val="superscript"/>
    </w:rPr>
  </w:style>
  <w:style w:type="character" w:customStyle="1" w:styleId="Symbols">
    <w:name w:val="Symbols"/>
    <w:basedOn w:val="DefaultParagraphFont"/>
    <w:rsid w:val="00B93FA9"/>
    <w:rPr>
      <w:rFonts w:ascii="Symbol" w:hAnsi="Symbol"/>
    </w:rPr>
  </w:style>
  <w:style w:type="character" w:customStyle="1" w:styleId="MenuOptions">
    <w:name w:val="Menu Options"/>
    <w:basedOn w:val="DefaultParagraphFont"/>
    <w:rsid w:val="00B93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FA9"/>
    <w:rPr>
      <w:b/>
    </w:rPr>
  </w:style>
  <w:style w:type="character" w:customStyle="1" w:styleId="Underlined">
    <w:name w:val="Underlined"/>
    <w:basedOn w:val="DefaultParagraphFont"/>
    <w:rsid w:val="00B93FA9"/>
    <w:rPr>
      <w:u w:val="single"/>
    </w:rPr>
  </w:style>
  <w:style w:type="paragraph" w:customStyle="1" w:styleId="TableBodyTextRight">
    <w:name w:val="Table Body Text Right"/>
    <w:basedOn w:val="TableBodyText"/>
    <w:rsid w:val="00B93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FA9"/>
    <w:rPr>
      <w:sz w:val="18"/>
    </w:rPr>
  </w:style>
  <w:style w:type="paragraph" w:customStyle="1" w:styleId="BodySmallRight">
    <w:name w:val="Body Small Right"/>
    <w:basedOn w:val="BodyTextRight"/>
    <w:rsid w:val="00B93FA9"/>
    <w:rPr>
      <w:sz w:val="18"/>
      <w:szCs w:val="18"/>
    </w:rPr>
  </w:style>
  <w:style w:type="paragraph" w:customStyle="1" w:styleId="MarginEdition">
    <w:name w:val="Margin Edition"/>
    <w:basedOn w:val="MarginNote"/>
    <w:rsid w:val="00B93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FA9"/>
    <w:rPr>
      <w:sz w:val="2"/>
      <w:szCs w:val="2"/>
    </w:rPr>
  </w:style>
  <w:style w:type="character" w:customStyle="1" w:styleId="Small">
    <w:name w:val="Small"/>
    <w:basedOn w:val="DefaultParagraphFont"/>
    <w:rsid w:val="00B93FA9"/>
    <w:rPr>
      <w:sz w:val="16"/>
    </w:rPr>
  </w:style>
  <w:style w:type="paragraph" w:customStyle="1" w:styleId="WideTable">
    <w:name w:val="Wide Table"/>
    <w:basedOn w:val="Normal"/>
    <w:rsid w:val="00B93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FA9"/>
  </w:style>
  <w:style w:type="paragraph" w:styleId="Quote">
    <w:name w:val="Quote"/>
    <w:basedOn w:val="Heading1"/>
    <w:link w:val="QuoteChar"/>
    <w:qFormat/>
    <w:rsid w:val="00B93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FA9"/>
    <w:pPr>
      <w:pageBreakBefore/>
    </w:pPr>
  </w:style>
  <w:style w:type="paragraph" w:customStyle="1" w:styleId="Border">
    <w:name w:val="Border"/>
    <w:basedOn w:val="Normal"/>
    <w:qFormat/>
    <w:rsid w:val="00B93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FA9"/>
    <w:rPr>
      <w:u w:val="single"/>
    </w:rPr>
  </w:style>
  <w:style w:type="character" w:customStyle="1" w:styleId="BoldandItalics">
    <w:name w:val="Bold and Italics"/>
    <w:qFormat/>
    <w:rsid w:val="00B93FA9"/>
    <w:rPr>
      <w:b/>
      <w:i/>
      <w:u w:val="none"/>
    </w:rPr>
  </w:style>
  <w:style w:type="paragraph" w:styleId="BalloonText">
    <w:name w:val="Balloon Text"/>
    <w:basedOn w:val="Normal"/>
    <w:link w:val="BalloonTextChar"/>
    <w:rsid w:val="00B93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FA9"/>
    <w:pPr>
      <w:spacing w:before="0" w:after="0"/>
    </w:pPr>
  </w:style>
  <w:style w:type="paragraph" w:customStyle="1" w:styleId="BodyTextBold">
    <w:name w:val="Body Text Bold"/>
    <w:basedOn w:val="BodyText"/>
    <w:qFormat/>
    <w:rsid w:val="00B93FA9"/>
    <w:rPr>
      <w:b/>
    </w:rPr>
  </w:style>
  <w:style w:type="character" w:styleId="Hyperlink">
    <w:name w:val="Hyperlink"/>
    <w:basedOn w:val="DefaultParagraphFont"/>
    <w:uiPriority w:val="99"/>
    <w:unhideWhenUsed/>
    <w:rsid w:val="00961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5094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RIICTB203D Produce drawings and sketches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2020-09-23T09:25:00Z</dcterms:created>
  <dcterms:modified xsi:type="dcterms:W3CDTF">2020-09-23T09:25:00Z</dcterms:modified>
</cp:coreProperties>
</file>