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2EB" w:rsidP="005162EB">
      <w:pPr>
        <w:pStyle w:val="Title"/>
      </w:pPr>
      <w:r>
        <w:fldChar w:fldCharType="begin"/>
      </w:r>
      <w:r>
        <w:instrText xml:space="preserve"> TITLE   \* MERGEFORMAT </w:instrText>
      </w:r>
      <w:r>
        <w:fldChar w:fldCharType="separate"/>
      </w:r>
      <w:r>
        <w:t>Assessment Requirements for RIICRC205E Install utility poles</w:t>
      </w:r>
      <w:r>
        <w:fldChar w:fldCharType="end"/>
      </w:r>
    </w:p>
    <w:p w:rsidR="005162EB" w:rsidP="005162EB">
      <w:pPr>
        <w:pStyle w:val="Version"/>
        <w:sectPr w:rsidSect="000B4D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4DD2" w:rsidP="000B4DD2">
      <w:pPr>
        <w:pStyle w:val="SuperHeading"/>
      </w:pPr>
      <w:r w:rsidRPr="000B4DD2">
        <w:t>Assessment Requirements for RIICRC205E Install utility poles</w:t>
      </w:r>
    </w:p>
    <w:p w:rsidR="00000000" w:rsidRPr="000B4DD2" w:rsidP="000B4DD2">
      <w:pPr>
        <w:pStyle w:val="Heading1"/>
      </w:pPr>
      <w:bookmarkStart w:id="1" w:name="O_1137286"/>
      <w:bookmarkEnd w:id="1"/>
      <w:r w:rsidRPr="000B4DD2">
        <w:t>Modification History</w:t>
      </w:r>
    </w:p>
    <w:tbl>
      <w:tblPr>
        <w:tblW w:w="0" w:type="auto"/>
        <w:tblCellMar>
          <w:left w:w="62" w:type="dxa"/>
          <w:right w:w="62" w:type="dxa"/>
        </w:tblCellMar>
        <w:tblLook w:val="0000"/>
      </w:tblPr>
      <w:tblGrid>
        <w:gridCol w:w="2491"/>
        <w:gridCol w:w="6705"/>
      </w:tblGrid>
      <w:tr w:rsidTr="005162E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B4DD2" w:rsidP="000B4DD2">
            <w:pPr>
              <w:pStyle w:val="BodyText"/>
            </w:pPr>
            <w:r w:rsidRPr="000B4DD2">
              <w:rPr>
                <w:rStyle w:val="SpecialBold"/>
              </w:rPr>
              <w:t>Release</w:t>
            </w:r>
            <w:r w:rsidRPr="000B4DD2">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B4DD2">
            <w:pPr>
              <w:pStyle w:val="BodyText"/>
              <w:rPr>
                <w:lang w:val="en-NZ"/>
              </w:rPr>
            </w:pPr>
            <w:r w:rsidRPr="000B4DD2">
              <w:rPr>
                <w:rStyle w:val="SpecialBold"/>
              </w:rPr>
              <w:t>Comments</w:t>
            </w:r>
            <w:r w:rsidRPr="000B4DD2">
              <w:t> </w:t>
            </w:r>
          </w:p>
        </w:tc>
      </w:tr>
      <w:tr w:rsidTr="005162E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B4DD2">
            <w:pPr>
              <w:pStyle w:val="BodyText"/>
              <w:rPr>
                <w:lang w:val="en-NZ"/>
              </w:rPr>
            </w:pPr>
            <w:r w:rsidRPr="000B4DD2">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B4DD2" w:rsidP="000B4DD2">
            <w:pPr>
              <w:pStyle w:val="BodyText"/>
            </w:pPr>
            <w:r w:rsidRPr="000B4DD2">
              <w:t>This version first released with RII Resources and Infrastructure Industry Training Package Version 6.0.</w:t>
            </w:r>
          </w:p>
        </w:tc>
      </w:tr>
    </w:tbl>
    <w:p w:rsidR="00000000" w:rsidRPr="000B4DD2" w:rsidP="000B4DD2">
      <w:pPr>
        <w:pStyle w:val="BodyText"/>
      </w:pPr>
    </w:p>
    <w:p w:rsidR="00000000" w:rsidRPr="000B4DD2" w:rsidP="000B4DD2">
      <w:pPr>
        <w:pStyle w:val="AllowPageBreak"/>
      </w:pPr>
    </w:p>
    <w:p w:rsidR="00000000" w:rsidRPr="000B4DD2" w:rsidP="000B4DD2">
      <w:pPr>
        <w:pStyle w:val="Heading1"/>
      </w:pPr>
      <w:bookmarkStart w:id="2" w:name="O_1137289"/>
      <w:bookmarkEnd w:id="2"/>
      <w:r w:rsidRPr="000B4DD2">
        <w:t>Performance Evidence</w:t>
      </w:r>
    </w:p>
    <w:p w:rsidR="00000000" w:rsidRPr="000B4DD2" w:rsidP="005162EB">
      <w:pPr>
        <w:pStyle w:val="BodyText"/>
      </w:pPr>
      <w:r w:rsidRPr="000B4DD2">
        <w:t>The candidate must demonstrate the abili</w:t>
      </w:r>
      <w:r w:rsidRPr="000B4DD2">
        <w:t>ty to complete the tasks outlined in the elements, performance criteria and foundation skills of this unit, including evidence of the ability to:</w:t>
      </w:r>
    </w:p>
    <w:p w:rsidR="00000000" w:rsidRPr="000B4DD2" w:rsidP="000B4DD2">
      <w:pPr>
        <w:pStyle w:val="ListBullet"/>
      </w:pPr>
      <w:r w:rsidRPr="000B4DD2">
        <w:t xml:space="preserve">install utility poles on at least two occasions, including: </w:t>
      </w:r>
    </w:p>
    <w:p w:rsidR="00000000" w:rsidRPr="000B4DD2" w:rsidP="000B4DD2">
      <w:pPr>
        <w:pStyle w:val="ListBullet2"/>
      </w:pPr>
      <w:r w:rsidRPr="000B4DD2">
        <w:t>as an individual or as a member of a two to thr</w:t>
      </w:r>
      <w:r w:rsidRPr="000B4DD2">
        <w:t>ee person team</w:t>
      </w:r>
    </w:p>
    <w:p w:rsidR="00000000" w:rsidRPr="000B4DD2" w:rsidP="000B4DD2">
      <w:pPr>
        <w:pStyle w:val="ListBullet2"/>
      </w:pPr>
      <w:r w:rsidRPr="000B4DD2">
        <w:t>erecting utility poles according to drawings and specifications</w:t>
      </w:r>
    </w:p>
    <w:p w:rsidR="00000000" w:rsidRPr="000B4DD2" w:rsidP="000B4DD2">
      <w:pPr>
        <w:pStyle w:val="ListBullet2"/>
      </w:pPr>
      <w:r w:rsidRPr="000B4DD2">
        <w:t>conducting a clean-up of work area and disposing of waste.</w:t>
      </w:r>
    </w:p>
    <w:p w:rsidR="00000000" w:rsidRPr="000B4DD2" w:rsidP="000B4DD2">
      <w:pPr>
        <w:pStyle w:val="BodyText"/>
      </w:pPr>
    </w:p>
    <w:p w:rsidR="00000000" w:rsidRPr="000B4DD2" w:rsidP="005162EB">
      <w:pPr>
        <w:pStyle w:val="BodyText"/>
      </w:pPr>
      <w:r w:rsidRPr="000B4DD2">
        <w:t>During the above, the candidate must:</w:t>
      </w:r>
    </w:p>
    <w:p w:rsidR="00000000" w:rsidRPr="000B4DD2" w:rsidP="000B4DD2">
      <w:pPr>
        <w:pStyle w:val="ListBullet"/>
      </w:pPr>
      <w:r w:rsidRPr="000B4DD2">
        <w:t>locate and apply required documentation, policies and procedures</w:t>
      </w:r>
    </w:p>
    <w:p w:rsidR="00000000" w:rsidRPr="000B4DD2" w:rsidP="000B4DD2">
      <w:pPr>
        <w:pStyle w:val="ListBullet"/>
      </w:pPr>
      <w:r w:rsidRPr="000B4DD2">
        <w:t>implement the requirements, procedures and techniques to install utility poles, including:</w:t>
      </w:r>
    </w:p>
    <w:p w:rsidR="00000000" w:rsidRPr="000B4DD2" w:rsidP="000B4DD2">
      <w:pPr>
        <w:pStyle w:val="ListBullet2"/>
      </w:pPr>
      <w:r w:rsidRPr="000B4DD2">
        <w:t>identifying and applying relevant job drawings and specifications to all work activities</w:t>
      </w:r>
    </w:p>
    <w:p w:rsidR="00000000" w:rsidRPr="000B4DD2" w:rsidP="000B4DD2">
      <w:pPr>
        <w:pStyle w:val="ListBullet2"/>
      </w:pPr>
      <w:r w:rsidRPr="000B4DD2">
        <w:t xml:space="preserve">confirming safety requirements </w:t>
      </w:r>
    </w:p>
    <w:p w:rsidR="00000000" w:rsidRPr="000B4DD2" w:rsidP="000B4DD2">
      <w:pPr>
        <w:pStyle w:val="ListBullet2"/>
      </w:pPr>
      <w:r w:rsidRPr="000B4DD2">
        <w:t>identifying, addressing and reporting poten</w:t>
      </w:r>
      <w:r w:rsidRPr="000B4DD2">
        <w:t>tial hazards and risks</w:t>
      </w:r>
    </w:p>
    <w:p w:rsidR="00000000" w:rsidRPr="000B4DD2" w:rsidP="000B4DD2">
      <w:pPr>
        <w:pStyle w:val="ListBullet2"/>
      </w:pPr>
      <w:r w:rsidRPr="000B4DD2">
        <w:t xml:space="preserve">identifying, obtaining, confirming and implementing requirements for signage </w:t>
      </w:r>
    </w:p>
    <w:p w:rsidR="00000000" w:rsidRPr="000B4DD2" w:rsidP="000B4DD2">
      <w:pPr>
        <w:pStyle w:val="ListBullet2"/>
      </w:pPr>
      <w:r w:rsidRPr="000B4DD2">
        <w:t xml:space="preserve">selecting and checking for faults, tools and equipment required to carry out tasks </w:t>
      </w:r>
    </w:p>
    <w:p w:rsidR="00000000" w:rsidRPr="000B4DD2" w:rsidP="000B4DD2">
      <w:pPr>
        <w:pStyle w:val="ListBullet2"/>
      </w:pPr>
      <w:r w:rsidRPr="000B4DD2">
        <w:t>identifying, addressing and reporting environmental issues and ground c</w:t>
      </w:r>
      <w:r w:rsidRPr="000B4DD2">
        <w:t>onditions</w:t>
      </w:r>
    </w:p>
    <w:p w:rsidR="00000000" w:rsidRPr="000B4DD2" w:rsidP="000B4DD2">
      <w:pPr>
        <w:pStyle w:val="ListBullet"/>
      </w:pPr>
      <w:r w:rsidRPr="000B4DD2">
        <w:t>work with others to install utility poles in a way that meets required outcomes, including:</w:t>
      </w:r>
    </w:p>
    <w:p w:rsidR="00000000" w:rsidRPr="000B4DD2" w:rsidP="000B4DD2">
      <w:pPr>
        <w:pStyle w:val="ListBullet2"/>
      </w:pPr>
      <w:r w:rsidRPr="000B4DD2">
        <w:t>preparing for and organising work activities to meet task requirements</w:t>
      </w:r>
    </w:p>
    <w:p w:rsidR="00000000" w:rsidRPr="000B4DD2" w:rsidP="000B4DD2">
      <w:pPr>
        <w:pStyle w:val="ListBullet2"/>
      </w:pPr>
      <w:r w:rsidRPr="000B4DD2">
        <w:t>communicating with others to receive and clarify work instructions</w:t>
      </w:r>
    </w:p>
    <w:p w:rsidR="00000000" w:rsidRPr="000B4DD2" w:rsidP="000B4DD2">
      <w:pPr>
        <w:pStyle w:val="ListBullet2"/>
      </w:pPr>
      <w:r w:rsidRPr="000B4DD2">
        <w:t>using communication techniques and aids to advise others of work activity and exclusion zones</w:t>
      </w:r>
    </w:p>
    <w:p w:rsidR="00000000" w:rsidRPr="000B4DD2" w:rsidP="000B4DD2">
      <w:pPr>
        <w:pStyle w:val="ListBullet2"/>
      </w:pPr>
      <w:r w:rsidRPr="000B4DD2">
        <w:t>monitoring hazards and identifying and communicating changes to work environment.</w:t>
      </w:r>
    </w:p>
    <w:p w:rsidR="00000000" w:rsidRPr="000B4DD2" w:rsidP="000B4DD2">
      <w:pPr>
        <w:pStyle w:val="AllowPageBreak"/>
      </w:pPr>
    </w:p>
    <w:p w:rsidR="00000000" w:rsidRPr="000B4DD2" w:rsidP="000B4DD2">
      <w:pPr>
        <w:pStyle w:val="Heading1"/>
      </w:pPr>
      <w:bookmarkStart w:id="3" w:name="O_1137288"/>
      <w:bookmarkEnd w:id="3"/>
      <w:r w:rsidRPr="000B4DD2">
        <w:t>Knowledge Evidence</w:t>
      </w:r>
    </w:p>
    <w:p w:rsidR="00000000" w:rsidRPr="000B4DD2" w:rsidP="005162EB">
      <w:pPr>
        <w:pStyle w:val="BodyText"/>
      </w:pPr>
      <w:r w:rsidRPr="000B4DD2">
        <w:t>Mandatory conditions for assessment of thi</w:t>
      </w:r>
      <w:r w:rsidRPr="000B4DD2">
        <w:t>s unit are stipulated below. The assessment must:</w:t>
      </w:r>
    </w:p>
    <w:p w:rsidR="00000000" w:rsidRPr="000B4DD2" w:rsidP="000B4DD2">
      <w:pPr>
        <w:pStyle w:val="ListBullet"/>
      </w:pPr>
      <w:r w:rsidRPr="000B4DD2">
        <w:t>include access to:</w:t>
      </w:r>
    </w:p>
    <w:p w:rsidR="00000000" w:rsidRPr="000B4DD2" w:rsidP="000B4DD2">
      <w:pPr>
        <w:pStyle w:val="ListBullet2"/>
      </w:pPr>
      <w:r w:rsidRPr="000B4DD2">
        <w:t>personal protective equipment</w:t>
      </w:r>
    </w:p>
    <w:p w:rsidR="00000000" w:rsidRPr="000B4DD2" w:rsidP="000B4DD2">
      <w:pPr>
        <w:pStyle w:val="ListBullet2"/>
      </w:pPr>
      <w:r w:rsidRPr="000B4DD2">
        <w:t>equipment required to install utility poles</w:t>
      </w:r>
    </w:p>
    <w:p w:rsidR="00000000" w:rsidRPr="000B4DD2" w:rsidP="000B4DD2">
      <w:pPr>
        <w:pStyle w:val="ListBullet"/>
      </w:pPr>
      <w:r w:rsidRPr="000B4DD2">
        <w:t xml:space="preserve">be conducted in a safe environment; and, </w:t>
      </w:r>
    </w:p>
    <w:p w:rsidR="00000000" w:rsidRPr="000B4DD2" w:rsidP="000B4DD2">
      <w:pPr>
        <w:pStyle w:val="ListBullet"/>
      </w:pPr>
      <w:r w:rsidRPr="000B4DD2">
        <w:t>be assessed in the context of this sector</w:t>
      </w:r>
      <w:r>
        <w:t>’</w:t>
      </w:r>
      <w:r w:rsidRPr="000B4DD2">
        <w:t xml:space="preserve">s work environment; and, </w:t>
      </w:r>
    </w:p>
    <w:p w:rsidR="00000000" w:rsidRPr="000B4DD2" w:rsidP="000B4DD2">
      <w:pPr>
        <w:pStyle w:val="ListBullet"/>
      </w:pPr>
      <w:r w:rsidRPr="000B4DD2">
        <w:t>be assessed in compliance with relevant legislation/regulation and using policies, procedures and processes directly related to the industry sector for which it is being assessed; and,</w:t>
      </w:r>
    </w:p>
    <w:p w:rsidR="00000000" w:rsidRPr="000B4DD2" w:rsidP="000B4DD2">
      <w:pPr>
        <w:pStyle w:val="ListBullet"/>
      </w:pPr>
      <w:r w:rsidRPr="000B4DD2">
        <w:t>confirm consistent performance can be applied in a range of relevant wo</w:t>
      </w:r>
      <w:r w:rsidRPr="000B4DD2">
        <w:t>rkplace circumstances.</w:t>
      </w:r>
    </w:p>
    <w:p w:rsidR="00000000" w:rsidRPr="000B4DD2" w:rsidP="005162EB">
      <w:pPr>
        <w:pStyle w:val="BodyText"/>
      </w:pPr>
      <w:r w:rsidRPr="000B4DD2">
        <w:t>Where personal safety or environmental damage are limiting factors, assessment may occur in a simulated work environment* provided it is realistic and sufficiently rigorous to cover all aspects of this sector’s workplace performance,</w:t>
      </w:r>
      <w:r w:rsidRPr="000B4DD2">
        <w:t xml:space="preserve"> including environment, task skills, task management skills, contingency management skills and job role environment skills.</w:t>
      </w:r>
    </w:p>
    <w:p w:rsidR="00000000" w:rsidRPr="000B4DD2" w:rsidP="000B4DD2">
      <w:pPr>
        <w:pStyle w:val="ListBullet"/>
      </w:pPr>
      <w:r w:rsidRPr="000B4DD2">
        <w:rPr>
          <w:rStyle w:val="SpecialBold"/>
        </w:rPr>
        <w:t>Assessor requirements</w:t>
      </w:r>
    </w:p>
    <w:p w:rsidR="00000000" w:rsidRPr="000B4DD2" w:rsidP="005162EB">
      <w:pPr>
        <w:pStyle w:val="BodyText"/>
      </w:pPr>
      <w:r w:rsidRPr="000B4DD2">
        <w:t>Assessors mu</w:t>
      </w:r>
      <w:r w:rsidRPr="000B4DD2">
        <w:t>st be able to clearly demonstrate current and relevant industry knowledge and experience to satisfy the mandatory regulatory standards as set out in the Standards for Registered Training Organisations (RTOs) 2015/Australian Quality Training Framework manda</w:t>
      </w:r>
      <w:r w:rsidRPr="000B4DD2">
        <w:t>tory requirements for assessors current at the time of assessment and any relevant licensing and certification requirements. This includes:</w:t>
      </w:r>
    </w:p>
    <w:p w:rsidR="00000000" w:rsidRPr="000B4DD2" w:rsidP="000B4DD2">
      <w:pPr>
        <w:pStyle w:val="ListBullet"/>
      </w:pPr>
      <w:r w:rsidRPr="000B4DD2">
        <w:t>vocational competencies at least to the level being delivered and assessed</w:t>
      </w:r>
    </w:p>
    <w:p w:rsidR="00000000" w:rsidRPr="000B4DD2" w:rsidP="000B4DD2">
      <w:pPr>
        <w:pStyle w:val="ListBullet"/>
      </w:pPr>
      <w:r w:rsidRPr="000B4DD2">
        <w:t>current industry skills directly relevan</w:t>
      </w:r>
      <w:r w:rsidRPr="000B4DD2">
        <w:t>t to the training and assessment being provided</w:t>
      </w:r>
    </w:p>
    <w:p w:rsidR="00000000" w:rsidRPr="000B4DD2" w:rsidP="000B4DD2">
      <w:pPr>
        <w:pStyle w:val="ListBullet"/>
      </w:pPr>
      <w:r w:rsidRPr="000B4DD2">
        <w:t>current knowledge and skills in vocational training and learning that informs their training and assessment</w:t>
      </w:r>
    </w:p>
    <w:p w:rsidR="00000000" w:rsidRPr="000B4DD2" w:rsidP="000B4DD2">
      <w:pPr>
        <w:pStyle w:val="ListBullet"/>
      </w:pPr>
      <w:r w:rsidRPr="000B4DD2">
        <w:t>formal relevant qualifications in training and assessment</w:t>
      </w:r>
    </w:p>
    <w:p w:rsidR="00000000" w:rsidRPr="000B4DD2" w:rsidP="000B4DD2">
      <w:pPr>
        <w:pStyle w:val="ListBullet"/>
      </w:pPr>
      <w:r w:rsidRPr="000B4DD2">
        <w:t>having knowledge of and/or experience usin</w:t>
      </w:r>
      <w:r w:rsidRPr="000B4DD2">
        <w:t xml:space="preserve">g the latest techniques and processes </w:t>
      </w:r>
    </w:p>
    <w:p w:rsidR="00000000" w:rsidRPr="000B4DD2" w:rsidP="000B4DD2">
      <w:pPr>
        <w:pStyle w:val="ListBullet"/>
      </w:pPr>
      <w:r w:rsidRPr="000B4DD2">
        <w:t>possessing the required level of RII training product knowledge</w:t>
      </w:r>
    </w:p>
    <w:p w:rsidR="00000000" w:rsidRPr="000B4DD2" w:rsidP="000B4DD2">
      <w:pPr>
        <w:pStyle w:val="ListBullet"/>
      </w:pPr>
      <w:r w:rsidRPr="000B4DD2">
        <w:t>having an understanding and knowledge of legislation and regulations relevant to the industry and to employment and workplaces</w:t>
      </w:r>
    </w:p>
    <w:p w:rsidR="00000000" w:rsidRPr="000B4DD2" w:rsidP="000B4DD2">
      <w:pPr>
        <w:pStyle w:val="ListBullet"/>
      </w:pPr>
      <w:r w:rsidRPr="000B4DD2">
        <w:t>demonstrating the performa</w:t>
      </w:r>
      <w:r w:rsidRPr="000B4DD2">
        <w:t>nce evidence, and knowledge evidence outlined in this unit of competency, and</w:t>
      </w:r>
    </w:p>
    <w:p w:rsidR="00000000" w:rsidRPr="000B4DD2" w:rsidP="000B4DD2">
      <w:pPr>
        <w:pStyle w:val="ListBullet"/>
      </w:pPr>
      <w:r w:rsidRPr="000B4DD2">
        <w:t>the minimum years of current** work experience after competency has been obtained as specified below in an industry sector relevant to the outcomes of the unit.</w:t>
      </w:r>
    </w:p>
    <w:p w:rsidR="00000000" w:rsidRPr="000B4DD2" w:rsidP="005162EB">
      <w:pPr>
        <w:pStyle w:val="BodyText"/>
      </w:pPr>
      <w:r w:rsidRPr="000B4DD2">
        <w:t>It is also accept</w:t>
      </w:r>
      <w:r w:rsidRPr="000B4DD2">
        <w:t xml:space="preserve">able for the appropriately qualified assessor to work with an industry expert to conduct assessment together and for the industry expert to be involved in the assessment judgement. The industry expert must have current industry skills directly relevant to </w:t>
      </w:r>
      <w:r w:rsidRPr="000B4DD2">
        <w:t>the training and assessment being provided. This means the industry subject matter expert must demonstrate skills and knowledge from the minimum years of current work experience after competency has been obtained as specified below, including time spent in</w:t>
      </w:r>
      <w:r w:rsidRPr="000B4DD2">
        <w:t xml:space="preserve"> roles related to the unit being assessed:</w:t>
      </w:r>
    </w:p>
    <w:tbl>
      <w:tblPr>
        <w:tblW w:w="0" w:type="auto"/>
        <w:tblCellMar>
          <w:left w:w="62" w:type="dxa"/>
          <w:right w:w="62" w:type="dxa"/>
        </w:tblCellMar>
        <w:tblLook w:val="0000"/>
      </w:tblPr>
      <w:tblGrid>
        <w:gridCol w:w="4330"/>
        <w:gridCol w:w="1622"/>
        <w:gridCol w:w="3244"/>
      </w:tblGrid>
      <w:tr w:rsidTr="005162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4DD2">
            <w:pPr>
              <w:pStyle w:val="Heading4"/>
              <w:rPr>
                <w:lang w:val="en-NZ"/>
              </w:rPr>
            </w:pPr>
            <w:r w:rsidRPr="000B4DD2">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4DD2">
            <w:pPr>
              <w:pStyle w:val="Heading4"/>
              <w:rPr>
                <w:lang w:val="en-NZ"/>
              </w:rPr>
            </w:pPr>
            <w:r w:rsidRPr="000B4DD2">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4DD2">
            <w:pPr>
              <w:pStyle w:val="Heading4"/>
              <w:rPr>
                <w:lang w:val="en-NZ"/>
              </w:rPr>
            </w:pPr>
            <w:r w:rsidRPr="000B4DD2">
              <w:t>Required assessor or industry subject matter expert experience</w:t>
            </w:r>
          </w:p>
        </w:tc>
      </w:tr>
      <w:tr w:rsidTr="005162E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4DD2">
            <w:pPr>
              <w:pStyle w:val="BodyText"/>
              <w:rPr>
                <w:lang w:val="en-NZ"/>
              </w:rPr>
            </w:pPr>
            <w:r w:rsidRPr="000B4DD2">
              <w:t xml:space="preserve">Drilling, Metalliferous Mining, Coal Mining, </w:t>
            </w:r>
            <w:r w:rsidRPr="000B4DD2">
              <w:t>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4DD2">
            <w:pPr>
              <w:pStyle w:val="BodyText"/>
              <w:rPr>
                <w:lang w:val="en-NZ"/>
              </w:rPr>
            </w:pPr>
            <w:r w:rsidRPr="000B4DD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4DD2">
            <w:pPr>
              <w:pStyle w:val="BodyText"/>
              <w:rPr>
                <w:lang w:val="en-NZ"/>
              </w:rPr>
            </w:pPr>
            <w:r w:rsidRPr="000B4DD2">
              <w:t>1 year</w:t>
            </w:r>
          </w:p>
        </w:tc>
      </w:tr>
      <w:tr w:rsidTr="005162E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4DD2">
            <w:pPr>
              <w:pStyle w:val="BodyText"/>
              <w:rPr>
                <w:lang w:val="en-NZ"/>
              </w:rPr>
            </w:pPr>
            <w:r w:rsidRPr="000B4DD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4DD2">
            <w:pPr>
              <w:pStyle w:val="BodyText"/>
              <w:rPr>
                <w:lang w:val="en-NZ"/>
              </w:rPr>
            </w:pPr>
            <w:r w:rsidRPr="000B4DD2">
              <w:t>2 years</w:t>
            </w:r>
          </w:p>
        </w:tc>
      </w:tr>
      <w:tr w:rsidTr="005162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4DD2">
            <w:pPr>
              <w:pStyle w:val="BodyText"/>
              <w:rPr>
                <w:lang w:val="en-NZ"/>
              </w:rPr>
            </w:pPr>
            <w:r w:rsidRPr="000B4DD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4DD2">
            <w:pPr>
              <w:pStyle w:val="BodyText"/>
              <w:rPr>
                <w:lang w:val="en-NZ"/>
              </w:rPr>
            </w:pPr>
            <w:r w:rsidRPr="000B4DD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4DD2">
            <w:pPr>
              <w:pStyle w:val="BodyText"/>
              <w:rPr>
                <w:lang w:val="en-NZ"/>
              </w:rPr>
            </w:pPr>
            <w:r w:rsidRPr="000B4DD2">
              <w:t>3 years</w:t>
            </w:r>
          </w:p>
        </w:tc>
      </w:tr>
      <w:tr w:rsidTr="005162E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4DD2">
            <w:pPr>
              <w:pStyle w:val="BodyText"/>
              <w:rPr>
                <w:lang w:val="en-NZ"/>
              </w:rPr>
            </w:pPr>
            <w:r w:rsidRPr="000B4DD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B4DD2" w:rsidP="000B4DD2">
            <w:pPr>
              <w:pStyle w:val="BodyText"/>
            </w:pPr>
            <w:r w:rsidRPr="000B4DD2">
              <w:t>Where this unit is being assessed outside of the resources and infrastructure sectors assessor and/or industry subject matter expert experience should be in-line with industry standards for the sector in which it is being assessed and where no industry sta</w:t>
            </w:r>
            <w:r w:rsidRPr="000B4DD2">
              <w:t>ndard is specified should comply with any relevant regulation.</w:t>
            </w:r>
          </w:p>
        </w:tc>
      </w:tr>
    </w:tbl>
    <w:p w:rsidR="00000000" w:rsidRPr="000B4DD2" w:rsidP="005162EB">
      <w:pPr>
        <w:pStyle w:val="BodyText"/>
      </w:pPr>
      <w:r w:rsidRPr="000B4DD2">
        <w:t>*Guidance on simulated environments has been stipulated in the Companion Volume Implementation Guide located on VETNet.</w:t>
      </w:r>
    </w:p>
    <w:p w:rsidR="00000000" w:rsidRPr="000B4DD2" w:rsidP="005162EB">
      <w:pPr>
        <w:pStyle w:val="BodyText"/>
      </w:pPr>
      <w:r w:rsidRPr="000B4DD2">
        <w:t xml:space="preserve">**Assessors can demonstrate current work experience through employment </w:t>
      </w:r>
      <w:r w:rsidRPr="000B4DD2">
        <w:t>within industry in a role relevant to the outcomes of the unit; or, for external assessors this can be demonstrated through exposure to industry by conducting a minimum number of site assessments as determined by the relevant industry sector, across variou</w:t>
      </w:r>
      <w:r w:rsidRPr="000B4DD2">
        <w:t>s locations.</w:t>
      </w:r>
    </w:p>
    <w:p w:rsidR="00000000" w:rsidRPr="000B4DD2" w:rsidP="005162EB">
      <w:pPr>
        <w:pStyle w:val="BodyText"/>
      </w:pPr>
      <w:r w:rsidRPr="000B4DD2">
        <w:t>*** While a unit of competency does not have an AQF level, where a unit is being delivered outside of a qualification the first numeric character in the unit code should be considered as the AQF indicator level for assessment purposes.</w:t>
      </w:r>
    </w:p>
    <w:p w:rsidR="00000000" w:rsidRPr="000B4DD2" w:rsidP="000B4DD2">
      <w:pPr>
        <w:pStyle w:val="Heading1"/>
      </w:pPr>
      <w:bookmarkStart w:id="4" w:name="O_1137287"/>
      <w:bookmarkEnd w:id="4"/>
      <w:r w:rsidRPr="000B4DD2">
        <w:t>Assessment Conditions</w:t>
      </w:r>
    </w:p>
    <w:p w:rsidR="00000000" w:rsidRPr="000B4DD2" w:rsidP="005162EB">
      <w:pPr>
        <w:pStyle w:val="BodyText"/>
      </w:pPr>
      <w:r w:rsidRPr="000B4DD2">
        <w:t>An assessor of this unit must satisfy the requirements of the NVR/AQTF or their successors; and Industry regulations for certification and licensing; and,</w:t>
      </w:r>
    </w:p>
    <w:p w:rsidR="00000000" w:rsidRPr="000B4DD2" w:rsidP="000B4DD2">
      <w:pPr>
        <w:pStyle w:val="ListBullet"/>
      </w:pPr>
      <w:r w:rsidRPr="000B4DD2">
        <w:t>this unit must be assessed in the context of this sector’s work en</w:t>
      </w:r>
      <w:r w:rsidRPr="000B4DD2">
        <w:t>vironment; and,</w:t>
      </w:r>
    </w:p>
    <w:p w:rsidR="00000000" w:rsidRPr="000B4DD2" w:rsidP="000B4DD2">
      <w:pPr>
        <w:pStyle w:val="ListBullet"/>
      </w:pPr>
      <w:r w:rsidRPr="000B4DD2">
        <w:t>this unit must be assessed in compliance with relevant legislation/regulation and using policies, procedures, processes and operational manuals directly related to the industry sector for which it is being assessed; and,</w:t>
      </w:r>
    </w:p>
    <w:p w:rsidR="00000000" w:rsidRPr="000B4DD2" w:rsidP="000B4DD2">
      <w:pPr>
        <w:pStyle w:val="ListBullet"/>
      </w:pPr>
      <w:r w:rsidRPr="000B4DD2">
        <w:t>assessment may be conducted in conjunction with the assessment of other Units of Competency; and,</w:t>
      </w:r>
    </w:p>
    <w:p w:rsidR="00000000" w:rsidRPr="000B4DD2" w:rsidP="000B4DD2">
      <w:pPr>
        <w:pStyle w:val="ListBullet"/>
      </w:pPr>
      <w:r w:rsidRPr="000B4DD2">
        <w:t>assessment must confirm consistent performance can be applied in a range of relevant workplace circumstances; and,</w:t>
      </w:r>
    </w:p>
    <w:p w:rsidR="00000000" w:rsidRPr="000B4DD2" w:rsidP="000B4DD2">
      <w:pPr>
        <w:pStyle w:val="ListBullet"/>
      </w:pPr>
      <w:r w:rsidRPr="000B4DD2">
        <w:t xml:space="preserve">assessors must demonstrate the performance </w:t>
      </w:r>
      <w:r w:rsidRPr="000B4DD2">
        <w:t>evidence, and knowledge evidence as outlined in this Unit of Competency, and through the minimum years of current* work experience specified below in an Industry sector relevant to the outcomes of the unit; or,</w:t>
      </w:r>
    </w:p>
    <w:p w:rsidR="00000000" w:rsidRPr="000B4DD2" w:rsidP="000B4DD2">
      <w:pPr>
        <w:pStyle w:val="ListBullet"/>
      </w:pPr>
      <w:r w:rsidRPr="000B4DD2">
        <w:t>where the assessor does not meet experience r</w:t>
      </w:r>
      <w:r w:rsidRPr="000B4DD2">
        <w:t>equirements a co-assessment or partnership arrangement must exist between the qualified assessor and an Industry subject matter expert. The Industry subject matter expert should hold the unit being assessed (or an equivalent unit) and/or demonstrate equiva</w:t>
      </w:r>
      <w:r w:rsidRPr="000B4DD2">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0B4DD2">
        <w:t>unit being assessed; and,</w:t>
      </w:r>
    </w:p>
    <w:p w:rsidR="00000000" w:rsidRPr="000B4DD2" w:rsidP="000B4DD2">
      <w:pPr>
        <w:pStyle w:val="ListBullet"/>
      </w:pPr>
      <w:r w:rsidRPr="000B4DD2">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B4DD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4DD2">
            <w:pPr>
              <w:pStyle w:val="BodyText"/>
              <w:rPr>
                <w:lang w:val="en-NZ"/>
              </w:rPr>
            </w:pPr>
            <w:r w:rsidRPr="000B4DD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4DD2">
            <w:pPr>
              <w:pStyle w:val="BodyText"/>
              <w:rPr>
                <w:lang w:val="en-NZ"/>
              </w:rPr>
            </w:pPr>
            <w:r w:rsidRPr="000B4DD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4DD2">
            <w:pPr>
              <w:pStyle w:val="BodyText"/>
              <w:rPr>
                <w:lang w:val="en-NZ"/>
              </w:rPr>
            </w:pPr>
            <w:r w:rsidRPr="000B4DD2">
              <w:t>Re</w:t>
            </w:r>
            <w:r w:rsidRPr="000B4DD2">
              <w:t>quired assessor or Industry subject matter expert experience</w:t>
            </w:r>
          </w:p>
        </w:tc>
      </w:tr>
      <w:tr w:rsidTr="000B4DD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4DD2">
            <w:pPr>
              <w:pStyle w:val="BodyText"/>
              <w:rPr>
                <w:lang w:val="en-NZ"/>
              </w:rPr>
            </w:pPr>
            <w:r w:rsidRPr="000B4DD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4DD2">
            <w:pPr>
              <w:pStyle w:val="BodyText"/>
              <w:rPr>
                <w:lang w:val="en-NZ"/>
              </w:rPr>
            </w:pPr>
            <w:r w:rsidRPr="000B4DD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4DD2">
            <w:pPr>
              <w:pStyle w:val="BodyText"/>
              <w:rPr>
                <w:lang w:val="en-NZ"/>
              </w:rPr>
            </w:pPr>
            <w:r w:rsidRPr="000B4DD2">
              <w:t>1 Year</w:t>
            </w:r>
          </w:p>
        </w:tc>
      </w:tr>
      <w:tr w:rsidTr="000B4DD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4DD2">
            <w:pPr>
              <w:pStyle w:val="BodyText"/>
              <w:rPr>
                <w:lang w:val="en-NZ"/>
              </w:rPr>
            </w:pPr>
            <w:r w:rsidRPr="000B4DD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4DD2">
            <w:pPr>
              <w:pStyle w:val="BodyText"/>
              <w:rPr>
                <w:lang w:val="en-NZ"/>
              </w:rPr>
            </w:pPr>
            <w:r w:rsidRPr="000B4DD2">
              <w:t>2 Years</w:t>
            </w:r>
          </w:p>
        </w:tc>
      </w:tr>
      <w:tr w:rsidTr="000B4DD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4DD2">
            <w:pPr>
              <w:pStyle w:val="BodyText"/>
              <w:rPr>
                <w:lang w:val="en-NZ"/>
              </w:rPr>
            </w:pPr>
            <w:r w:rsidRPr="000B4DD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4DD2">
            <w:pPr>
              <w:pStyle w:val="BodyText"/>
              <w:rPr>
                <w:lang w:val="en-NZ"/>
              </w:rPr>
            </w:pPr>
            <w:r w:rsidRPr="000B4DD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4DD2">
            <w:pPr>
              <w:pStyle w:val="BodyText"/>
              <w:rPr>
                <w:lang w:val="en-NZ"/>
              </w:rPr>
            </w:pPr>
            <w:r w:rsidRPr="000B4DD2">
              <w:t>3 Years</w:t>
            </w:r>
          </w:p>
        </w:tc>
      </w:tr>
      <w:tr w:rsidTr="000B4DD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4DD2">
            <w:pPr>
              <w:pStyle w:val="BodyText"/>
              <w:rPr>
                <w:lang w:val="en-NZ"/>
              </w:rPr>
            </w:pPr>
            <w:r w:rsidRPr="000B4DD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4DD2">
            <w:pPr>
              <w:pStyle w:val="BodyText"/>
              <w:rPr>
                <w:lang w:val="en-NZ"/>
              </w:rPr>
            </w:pPr>
            <w:r w:rsidRPr="000B4DD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4DD2">
            <w:pPr>
              <w:pStyle w:val="BodyText"/>
              <w:rPr>
                <w:lang w:val="en-NZ"/>
              </w:rPr>
            </w:pPr>
            <w:r w:rsidRPr="000B4DD2">
              <w:t>5 Years</w:t>
            </w:r>
          </w:p>
        </w:tc>
      </w:tr>
      <w:tr w:rsidTr="000B4DD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B4DD2">
            <w:pPr>
              <w:pStyle w:val="BodyText"/>
              <w:rPr>
                <w:lang w:val="en-NZ"/>
              </w:rPr>
            </w:pPr>
            <w:r w:rsidRPr="000B4DD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B4DD2" w:rsidP="000B4DD2">
            <w:pPr>
              <w:pStyle w:val="BodyText"/>
            </w:pPr>
            <w:r w:rsidRPr="000B4DD2">
              <w:t xml:space="preserve">Where this Unit is being assessed outside of the Resources and Infrastructure Sectors assessor and/or Industry subject matter expert experience </w:t>
            </w:r>
            <w:r w:rsidRPr="000B4DD2">
              <w:t>should be in-line with industry standards for the sector in which it is being assessed and where no Industry standard is specified should comply with any relevant regulation.</w:t>
            </w:r>
          </w:p>
        </w:tc>
      </w:tr>
    </w:tbl>
    <w:p w:rsidR="00000000" w:rsidRPr="000B4DD2" w:rsidP="005162EB">
      <w:pPr>
        <w:pStyle w:val="BodyText"/>
      </w:pPr>
      <w:r w:rsidRPr="000B4DD2">
        <w:t>*Assessors can demonstrate current work experience through employment within In</w:t>
      </w:r>
      <w:r w:rsidRPr="000B4DD2">
        <w:t>dustry in a role relevant to the outcomes of the Unit; or, for external assessors this can be demonstrated through exposure to Industry by conducting frequent site assessments across various locations.</w:t>
      </w:r>
    </w:p>
    <w:p w:rsidR="005162EB" w:rsidP="005162EB">
      <w:pPr>
        <w:pStyle w:val="BodyText"/>
      </w:pPr>
      <w:r w:rsidRPr="000B4DD2">
        <w:t>**Where a unit is being delivered outside of a Qualifi</w:t>
      </w:r>
      <w:r w:rsidRPr="000B4DD2">
        <w:t>cation the first numeric character in the Unit code should be considered to indicate the AQF level</w:t>
      </w:r>
    </w:p>
    <w:p w:rsidR="00000000" w:rsidRPr="000B4DD2" w:rsidP="000B4DD2">
      <w:pPr>
        <w:pStyle w:val="Heading1"/>
      </w:pPr>
      <w:bookmarkStart w:id="5" w:name="O_1137285"/>
      <w:bookmarkEnd w:id="5"/>
      <w:r w:rsidRPr="000B4DD2">
        <w:t>Links</w:t>
      </w:r>
    </w:p>
    <w:p w:rsidR="00000000" w:rsidRPr="000B4DD2" w:rsidP="005162EB">
      <w:pPr>
        <w:pStyle w:val="BodyText"/>
      </w:pPr>
      <w:r w:rsidRPr="000B4DD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E6B5F">
        <w:rPr>
          <w:rStyle w:val="Hyperlink"/>
        </w:rPr>
        <w:t>https://vetnet.gov.au/Pages/TrainingDocs.aspx?q=88a61002-9a21-4386-aaf8-69c76e675272</w:t>
      </w:r>
      <w:r>
        <w:fldChar w:fldCharType="end"/>
      </w:r>
    </w:p>
    <w:p w:rsidR="00000000" w:rsidRPr="000B4DD2" w:rsidP="000B4DD2"/>
    <w:sectPr w:rsidSect="000B4D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D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DD2" w:rsidRPr="005162EB" w:rsidP="005162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D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2EB" w:rsidP="000B4D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62EB" w:rsidP="000B4DD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162EB" w:rsidP="000B4D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D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2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4DD2" w:rsidRPr="005162EB" w:rsidP="005162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D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2EB" w:rsidRPr="002D2AF8" w:rsidP="000B4DD2">
    <w:pPr>
      <w:pStyle w:val="Header"/>
      <w:framePr w:wrap="around"/>
    </w:pPr>
    <w:r>
      <w:fldChar w:fldCharType="begin"/>
    </w:r>
    <w:r>
      <w:instrText xml:space="preserve"> TITLE   \* MERGEFORMAT </w:instrText>
    </w:r>
    <w:r>
      <w:fldChar w:fldCharType="separate"/>
    </w:r>
    <w:r>
      <w:t>Assessment Requirements for RIICRC205E Install utility poles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162EB" w:rsidP="000B4D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24DF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CC71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5C96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D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4DD2"/>
    <w:pPr>
      <w:spacing w:before="360" w:after="60"/>
      <w:outlineLvl w:val="0"/>
    </w:pPr>
    <w:rPr>
      <w:sz w:val="32"/>
    </w:rPr>
  </w:style>
  <w:style w:type="paragraph" w:styleId="Heading2">
    <w:name w:val="heading 2"/>
    <w:basedOn w:val="HeadingBase"/>
    <w:next w:val="BodyText"/>
    <w:link w:val="Heading2Char"/>
    <w:qFormat/>
    <w:rsid w:val="000B4DD2"/>
    <w:pPr>
      <w:keepLines/>
      <w:spacing w:before="240" w:after="120"/>
      <w:outlineLvl w:val="1"/>
    </w:pPr>
    <w:rPr>
      <w:sz w:val="28"/>
      <w:szCs w:val="40"/>
    </w:rPr>
  </w:style>
  <w:style w:type="paragraph" w:styleId="Heading3">
    <w:name w:val="heading 3"/>
    <w:basedOn w:val="HeadingBase"/>
    <w:next w:val="BodyText"/>
    <w:link w:val="Heading3Char"/>
    <w:qFormat/>
    <w:rsid w:val="000B4DD2"/>
    <w:pPr>
      <w:spacing w:before="180" w:after="120"/>
      <w:outlineLvl w:val="2"/>
    </w:pPr>
    <w:rPr>
      <w:spacing w:val="-10"/>
      <w:kern w:val="32"/>
    </w:rPr>
  </w:style>
  <w:style w:type="paragraph" w:styleId="Heading4">
    <w:name w:val="heading 4"/>
    <w:basedOn w:val="HeadingBase"/>
    <w:next w:val="BodyText"/>
    <w:link w:val="Heading4Char"/>
    <w:qFormat/>
    <w:rsid w:val="000B4DD2"/>
    <w:pPr>
      <w:spacing w:before="160" w:after="120"/>
      <w:outlineLvl w:val="3"/>
    </w:pPr>
    <w:rPr>
      <w:sz w:val="22"/>
    </w:rPr>
  </w:style>
  <w:style w:type="paragraph" w:styleId="Heading5">
    <w:name w:val="heading 5"/>
    <w:basedOn w:val="HeadingBase"/>
    <w:next w:val="Normal"/>
    <w:link w:val="Heading5Char"/>
    <w:qFormat/>
    <w:rsid w:val="000B4DD2"/>
    <w:pPr>
      <w:spacing w:before="80"/>
      <w:outlineLvl w:val="4"/>
    </w:pPr>
    <w:rPr>
      <w:color w:val="918585"/>
      <w:sz w:val="20"/>
    </w:rPr>
  </w:style>
  <w:style w:type="paragraph" w:styleId="Heading6">
    <w:name w:val="heading 6"/>
    <w:basedOn w:val="HeadingBase"/>
    <w:next w:val="Normal"/>
    <w:link w:val="Heading6Char"/>
    <w:qFormat/>
    <w:rsid w:val="000B4DD2"/>
    <w:pPr>
      <w:spacing w:before="60"/>
      <w:outlineLvl w:val="5"/>
    </w:pPr>
    <w:rPr>
      <w:color w:val="918585"/>
      <w:sz w:val="20"/>
    </w:rPr>
  </w:style>
  <w:style w:type="paragraph" w:styleId="Heading7">
    <w:name w:val="heading 7"/>
    <w:basedOn w:val="Normal"/>
    <w:next w:val="Normal"/>
    <w:link w:val="Heading7Char"/>
    <w:qFormat/>
    <w:rsid w:val="000B4DD2"/>
    <w:pPr>
      <w:ind w:left="720"/>
      <w:outlineLvl w:val="6"/>
    </w:pPr>
    <w:rPr>
      <w:i/>
    </w:rPr>
  </w:style>
  <w:style w:type="paragraph" w:styleId="Heading8">
    <w:name w:val="heading 8"/>
    <w:basedOn w:val="Normal"/>
    <w:next w:val="Normal"/>
    <w:link w:val="Heading8Char"/>
    <w:qFormat/>
    <w:rsid w:val="000B4DD2"/>
    <w:pPr>
      <w:ind w:left="720"/>
      <w:outlineLvl w:val="7"/>
    </w:pPr>
    <w:rPr>
      <w:i/>
    </w:rPr>
  </w:style>
  <w:style w:type="paragraph" w:styleId="Heading9">
    <w:name w:val="heading 9"/>
    <w:basedOn w:val="Normal"/>
    <w:next w:val="Normal"/>
    <w:link w:val="Heading9Char"/>
    <w:qFormat/>
    <w:rsid w:val="000B4DD2"/>
    <w:pPr>
      <w:ind w:left="720"/>
      <w:outlineLvl w:val="8"/>
    </w:pPr>
    <w:rPr>
      <w:i/>
    </w:rPr>
  </w:style>
  <w:style w:type="character" w:default="1" w:styleId="DefaultParagraphFont">
    <w:name w:val="Default Paragraph Font"/>
    <w:uiPriority w:val="1"/>
    <w:unhideWhenUsed/>
    <w:rsid w:val="000B4D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DD2"/>
  </w:style>
  <w:style w:type="character" w:customStyle="1" w:styleId="Heading1Char">
    <w:name w:val="Heading 1 Char"/>
    <w:basedOn w:val="DefaultParagraphFont"/>
    <w:link w:val="Heading1"/>
    <w:rsid w:val="000B4DD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B4DD2"/>
    <w:rPr>
      <w:rFonts w:ascii="Times New Roman" w:eastAsia="Times New Roman" w:hAnsi="Times New Roman" w:cs="Times New Roman"/>
      <w:b/>
      <w:szCs w:val="20"/>
      <w:lang w:eastAsia="en-US"/>
    </w:rPr>
  </w:style>
  <w:style w:type="paragraph" w:styleId="BodyText">
    <w:name w:val="Body Text"/>
    <w:basedOn w:val="Normal"/>
    <w:link w:val="BodyTextChar"/>
    <w:rsid w:val="000B4D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4DD2"/>
    <w:rPr>
      <w:rFonts w:ascii="Times New Roman" w:eastAsia="Times New Roman" w:hAnsi="Times New Roman" w:cs="Times New Roman"/>
      <w:sz w:val="24"/>
      <w:lang w:eastAsia="en-US"/>
    </w:rPr>
  </w:style>
  <w:style w:type="paragraph" w:styleId="ListBullet">
    <w:name w:val="List Bullet"/>
    <w:basedOn w:val="List"/>
    <w:rsid w:val="000B4DD2"/>
    <w:pPr>
      <w:numPr>
        <w:numId w:val="12"/>
      </w:numPr>
      <w:tabs>
        <w:tab w:val="clear" w:pos="340"/>
      </w:tabs>
      <w:spacing w:before="40" w:after="40"/>
    </w:pPr>
  </w:style>
  <w:style w:type="character" w:customStyle="1" w:styleId="SpecialBold">
    <w:name w:val="Special Bold"/>
    <w:basedOn w:val="DefaultParagraphFont"/>
    <w:rsid w:val="000B4DD2"/>
    <w:rPr>
      <w:b/>
      <w:spacing w:val="0"/>
    </w:rPr>
  </w:style>
  <w:style w:type="paragraph" w:styleId="ListBullet2">
    <w:name w:val="List Bullet 2"/>
    <w:basedOn w:val="List2"/>
    <w:rsid w:val="000B4DD2"/>
    <w:pPr>
      <w:numPr>
        <w:numId w:val="13"/>
      </w:numPr>
      <w:tabs>
        <w:tab w:val="clear" w:pos="680"/>
      </w:tabs>
    </w:pPr>
  </w:style>
  <w:style w:type="paragraph" w:customStyle="1" w:styleId="SuperHeading">
    <w:name w:val="SuperHeading"/>
    <w:basedOn w:val="Normal"/>
    <w:rsid w:val="000B4DD2"/>
    <w:pPr>
      <w:spacing w:before="240" w:after="120"/>
      <w:outlineLvl w:val="0"/>
    </w:pPr>
    <w:rPr>
      <w:rFonts w:ascii="Times New Roman" w:hAnsi="Times New Roman"/>
      <w:b/>
      <w:sz w:val="32"/>
    </w:rPr>
  </w:style>
  <w:style w:type="paragraph" w:customStyle="1" w:styleId="AllowPageBreak">
    <w:name w:val="AllowPageBreak"/>
    <w:rsid w:val="000B4D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4D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4DD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B4D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4D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D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4D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4DD2"/>
    <w:rPr>
      <w:rFonts w:ascii="Courier New" w:eastAsia="Times New Roman" w:hAnsi="Courier New" w:cs="Times New Roman"/>
      <w:i/>
      <w:szCs w:val="20"/>
      <w:lang w:eastAsia="en-US"/>
    </w:rPr>
  </w:style>
  <w:style w:type="paragraph" w:customStyle="1" w:styleId="HeadingBase">
    <w:name w:val="Heading Base"/>
    <w:rsid w:val="000B4D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DD2"/>
    <w:pPr>
      <w:tabs>
        <w:tab w:val="right" w:leader="dot" w:pos="9072"/>
      </w:tabs>
      <w:ind w:left="567"/>
    </w:pPr>
    <w:rPr>
      <w:szCs w:val="22"/>
    </w:rPr>
  </w:style>
  <w:style w:type="paragraph" w:customStyle="1" w:styleId="TOCBase">
    <w:name w:val="TOC Base"/>
    <w:rsid w:val="000B4D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DD2"/>
    <w:pPr>
      <w:tabs>
        <w:tab w:val="right" w:leader="dot" w:pos="9072"/>
      </w:tabs>
      <w:spacing w:before="40" w:after="40"/>
      <w:ind w:left="284"/>
    </w:pPr>
    <w:rPr>
      <w:rFonts w:ascii="Times New Roman" w:hAnsi="Times New Roman"/>
    </w:rPr>
  </w:style>
  <w:style w:type="paragraph" w:styleId="TOC1">
    <w:name w:val="toc 1"/>
    <w:basedOn w:val="TOCBase"/>
    <w:next w:val="Normal"/>
    <w:rsid w:val="000B4D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4D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4DD2"/>
    <w:rPr>
      <w:rFonts w:ascii="Times New Roman" w:eastAsia="Times New Roman" w:hAnsi="Times New Roman" w:cs="Times New Roman"/>
      <w:sz w:val="16"/>
      <w:lang w:eastAsia="en-US"/>
    </w:rPr>
  </w:style>
  <w:style w:type="paragraph" w:styleId="Title">
    <w:name w:val="Title"/>
    <w:basedOn w:val="HeadingBase"/>
    <w:link w:val="TitleChar"/>
    <w:qFormat/>
    <w:rsid w:val="000B4DD2"/>
    <w:pPr>
      <w:spacing w:before="5040"/>
      <w:jc w:val="center"/>
    </w:pPr>
    <w:rPr>
      <w:sz w:val="48"/>
      <w:szCs w:val="72"/>
      <w:lang w:val="en-US"/>
    </w:rPr>
  </w:style>
  <w:style w:type="character" w:customStyle="1" w:styleId="TitleChar">
    <w:name w:val="Title Char"/>
    <w:basedOn w:val="DefaultParagraphFont"/>
    <w:link w:val="Title"/>
    <w:rsid w:val="000B4D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DD2"/>
    <w:pPr>
      <w:tabs>
        <w:tab w:val="left" w:pos="3600"/>
        <w:tab w:val="left" w:pos="3958"/>
      </w:tabs>
    </w:pPr>
  </w:style>
  <w:style w:type="paragraph" w:styleId="List">
    <w:name w:val="List"/>
    <w:basedOn w:val="BodyText"/>
    <w:next w:val="BodyText"/>
    <w:rsid w:val="000B4DD2"/>
    <w:pPr>
      <w:tabs>
        <w:tab w:val="left" w:pos="340"/>
      </w:tabs>
      <w:spacing w:before="60" w:after="60"/>
      <w:ind w:left="340" w:hanging="340"/>
    </w:pPr>
  </w:style>
  <w:style w:type="paragraph" w:customStyle="1" w:styleId="Note">
    <w:name w:val="Note"/>
    <w:basedOn w:val="BodyText"/>
    <w:rsid w:val="000B4D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4DD2"/>
    <w:pPr>
      <w:framePr w:wrap="auto" w:hAnchor="text" w:y="6049"/>
    </w:pPr>
    <w:rPr>
      <w:color w:val="000000"/>
      <w:sz w:val="40"/>
    </w:rPr>
  </w:style>
  <w:style w:type="paragraph" w:customStyle="1" w:styleId="TOCTitle">
    <w:name w:val="TOCTitle"/>
    <w:basedOn w:val="Heading1"/>
    <w:rsid w:val="000B4DD2"/>
    <w:pPr>
      <w:spacing w:after="240"/>
      <w:jc w:val="center"/>
      <w:outlineLvl w:val="9"/>
    </w:pPr>
    <w:rPr>
      <w:caps/>
    </w:rPr>
  </w:style>
  <w:style w:type="paragraph" w:customStyle="1" w:styleId="Version">
    <w:name w:val="Version"/>
    <w:rsid w:val="000B4D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4DD2"/>
    <w:pPr>
      <w:keepNext w:val="0"/>
      <w:tabs>
        <w:tab w:val="right" w:pos="4176"/>
      </w:tabs>
      <w:ind w:left="198" w:hanging="198"/>
    </w:pPr>
    <w:rPr>
      <w:rFonts w:ascii="Garamond" w:hAnsi="Garamond"/>
    </w:rPr>
  </w:style>
  <w:style w:type="paragraph" w:styleId="IndexHeading">
    <w:name w:val="index heading"/>
    <w:basedOn w:val="Normal"/>
    <w:next w:val="Index1"/>
    <w:semiHidden/>
    <w:rsid w:val="000B4DD2"/>
    <w:pPr>
      <w:spacing w:before="120" w:after="120"/>
    </w:pPr>
    <w:rPr>
      <w:rFonts w:ascii="Arial" w:hAnsi="Arial"/>
      <w:b/>
      <w:color w:val="918585"/>
      <w:sz w:val="24"/>
    </w:rPr>
  </w:style>
  <w:style w:type="paragraph" w:styleId="Header">
    <w:name w:val="header"/>
    <w:basedOn w:val="Normal"/>
    <w:link w:val="HeaderChar"/>
    <w:rsid w:val="000B4D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4DD2"/>
    <w:rPr>
      <w:rFonts w:ascii="Times New Roman" w:eastAsia="Times New Roman" w:hAnsi="Times New Roman" w:cs="Times New Roman"/>
      <w:sz w:val="16"/>
      <w:szCs w:val="20"/>
      <w:lang w:val="en-GB" w:eastAsia="en-US"/>
    </w:rPr>
  </w:style>
  <w:style w:type="paragraph" w:customStyle="1" w:styleId="Chapter">
    <w:name w:val="Chapter"/>
    <w:basedOn w:val="Normal"/>
    <w:rsid w:val="000B4DD2"/>
    <w:pPr>
      <w:spacing w:before="240"/>
    </w:pPr>
    <w:rPr>
      <w:rFonts w:ascii="Times New Roman" w:hAnsi="Times New Roman"/>
      <w:smallCaps/>
      <w:spacing w:val="80"/>
      <w:sz w:val="28"/>
    </w:rPr>
  </w:style>
  <w:style w:type="paragraph" w:customStyle="1" w:styleId="InChapter">
    <w:name w:val="InChapter"/>
    <w:basedOn w:val="Heading3"/>
    <w:rsid w:val="000B4DD2"/>
    <w:pPr>
      <w:spacing w:after="240"/>
      <w:outlineLvl w:val="9"/>
    </w:pPr>
    <w:rPr>
      <w:noProof/>
    </w:rPr>
  </w:style>
  <w:style w:type="paragraph" w:styleId="Index2">
    <w:name w:val="index 2"/>
    <w:basedOn w:val="Normal"/>
    <w:next w:val="Normal"/>
    <w:semiHidden/>
    <w:rsid w:val="000B4DD2"/>
    <w:pPr>
      <w:tabs>
        <w:tab w:val="right" w:pos="4176"/>
      </w:tabs>
      <w:ind w:left="568" w:hanging="284"/>
    </w:pPr>
    <w:rPr>
      <w:rFonts w:ascii="Garamond" w:hAnsi="Garamond"/>
    </w:rPr>
  </w:style>
  <w:style w:type="paragraph" w:customStyle="1" w:styleId="Byline">
    <w:name w:val="Byline"/>
    <w:rsid w:val="000B4D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DD2"/>
    <w:pPr>
      <w:tabs>
        <w:tab w:val="clear" w:pos="3600"/>
        <w:tab w:val="clear" w:pos="3958"/>
      </w:tabs>
      <w:jc w:val="right"/>
    </w:pPr>
  </w:style>
  <w:style w:type="character" w:styleId="Emphasis">
    <w:name w:val="Emphasis"/>
    <w:basedOn w:val="DefaultParagraphFont"/>
    <w:qFormat/>
    <w:rsid w:val="000B4DD2"/>
    <w:rPr>
      <w:i/>
    </w:rPr>
  </w:style>
  <w:style w:type="paragraph" w:styleId="Caption">
    <w:name w:val="caption"/>
    <w:basedOn w:val="BodyText"/>
    <w:next w:val="Normal"/>
    <w:qFormat/>
    <w:rsid w:val="000B4DD2"/>
    <w:pPr>
      <w:framePr w:w="2268" w:hSpace="181" w:vSpace="181" w:wrap="around" w:vAnchor="text" w:hAnchor="page" w:x="1135" w:y="285" w:anchorLock="1"/>
    </w:pPr>
    <w:rPr>
      <w:i/>
    </w:rPr>
  </w:style>
  <w:style w:type="paragraph" w:customStyle="1" w:styleId="MiniTOCTitle">
    <w:name w:val="MiniTOCTitle"/>
    <w:basedOn w:val="Heading4"/>
    <w:rsid w:val="000B4DD2"/>
    <w:pPr>
      <w:spacing w:before="240"/>
      <w:outlineLvl w:val="9"/>
    </w:pPr>
    <w:rPr>
      <w:noProof/>
      <w:sz w:val="24"/>
    </w:rPr>
  </w:style>
  <w:style w:type="paragraph" w:customStyle="1" w:styleId="MiniTOCItem">
    <w:name w:val="MiniTOCItem"/>
    <w:basedOn w:val="ListBullet"/>
    <w:rsid w:val="000B4DD2"/>
    <w:pPr>
      <w:numPr>
        <w:numId w:val="0"/>
      </w:numPr>
      <w:tabs>
        <w:tab w:val="right" w:leader="dot" w:pos="6521"/>
      </w:tabs>
      <w:spacing w:before="0" w:after="0"/>
    </w:pPr>
  </w:style>
  <w:style w:type="paragraph" w:customStyle="1" w:styleId="TOFTitle">
    <w:name w:val="TOFTitle"/>
    <w:basedOn w:val="TOCTitle"/>
    <w:rsid w:val="000B4DD2"/>
  </w:style>
  <w:style w:type="paragraph" w:styleId="TableofFigures">
    <w:name w:val="table of figures"/>
    <w:basedOn w:val="Normal"/>
    <w:next w:val="Normal"/>
    <w:semiHidden/>
    <w:rsid w:val="000B4DD2"/>
    <w:pPr>
      <w:tabs>
        <w:tab w:val="right" w:leader="dot" w:pos="9072"/>
      </w:tabs>
      <w:ind w:left="970" w:hanging="403"/>
    </w:pPr>
    <w:rPr>
      <w:rFonts w:ascii="Times New Roman" w:hAnsi="Times New Roman"/>
      <w:b/>
    </w:rPr>
  </w:style>
  <w:style w:type="paragraph" w:styleId="ListNumber">
    <w:name w:val="List Number"/>
    <w:basedOn w:val="List"/>
    <w:rsid w:val="000B4DD2"/>
    <w:pPr>
      <w:numPr>
        <w:numId w:val="15"/>
      </w:numPr>
      <w:tabs>
        <w:tab w:val="clear" w:pos="340"/>
      </w:tabs>
    </w:pPr>
  </w:style>
  <w:style w:type="character" w:customStyle="1" w:styleId="WingdingSymbols">
    <w:name w:val="Wingding Symbols"/>
    <w:rsid w:val="000B4DD2"/>
    <w:rPr>
      <w:rFonts w:ascii="Wingdings" w:hAnsi="Wingdings"/>
    </w:rPr>
  </w:style>
  <w:style w:type="paragraph" w:customStyle="1" w:styleId="TableHeading">
    <w:name w:val="Table Heading"/>
    <w:basedOn w:val="HeadingBase"/>
    <w:rsid w:val="000B4DD2"/>
    <w:pPr>
      <w:keepLines/>
      <w:pBdr>
        <w:bottom w:val="single" w:sz="6" w:space="1" w:color="918585"/>
      </w:pBdr>
      <w:spacing w:before="240"/>
    </w:pPr>
  </w:style>
  <w:style w:type="character" w:customStyle="1" w:styleId="HotSpot">
    <w:name w:val="HotSpot"/>
    <w:rsid w:val="000B4DD2"/>
    <w:rPr>
      <w:color w:val="0033CC"/>
      <w:u w:val="none"/>
    </w:rPr>
  </w:style>
  <w:style w:type="paragraph" w:customStyle="1" w:styleId="BodyTextRight">
    <w:name w:val="Body Text Right"/>
    <w:basedOn w:val="BodyText"/>
    <w:rsid w:val="000B4DD2"/>
    <w:pPr>
      <w:spacing w:before="0" w:after="0"/>
      <w:jc w:val="right"/>
    </w:pPr>
  </w:style>
  <w:style w:type="paragraph" w:styleId="Index3">
    <w:name w:val="index 3"/>
    <w:basedOn w:val="ListNumber2"/>
    <w:next w:val="Normal"/>
    <w:semiHidden/>
    <w:rsid w:val="000B4DD2"/>
    <w:pPr>
      <w:numPr>
        <w:numId w:val="0"/>
      </w:numPr>
      <w:tabs>
        <w:tab w:val="right" w:leader="dot" w:pos="4176"/>
      </w:tabs>
    </w:pPr>
  </w:style>
  <w:style w:type="paragraph" w:styleId="ListNumber2">
    <w:name w:val="List Number 2"/>
    <w:basedOn w:val="List2"/>
    <w:rsid w:val="000B4DD2"/>
    <w:pPr>
      <w:numPr>
        <w:numId w:val="10"/>
      </w:numPr>
      <w:tabs>
        <w:tab w:val="clear" w:pos="1060"/>
      </w:tabs>
    </w:pPr>
  </w:style>
  <w:style w:type="paragraph" w:customStyle="1" w:styleId="MarginNote">
    <w:name w:val="Margin Note"/>
    <w:basedOn w:val="BodyText"/>
    <w:rsid w:val="000B4D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D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4D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4DD2"/>
    <w:rPr>
      <w:sz w:val="32"/>
    </w:rPr>
  </w:style>
  <w:style w:type="paragraph" w:customStyle="1" w:styleId="HeadingProcedure">
    <w:name w:val="Heading Procedure"/>
    <w:basedOn w:val="HeadingBase"/>
    <w:next w:val="Normal"/>
    <w:rsid w:val="000B4DD2"/>
    <w:pPr>
      <w:tabs>
        <w:tab w:val="left" w:pos="0"/>
      </w:tabs>
      <w:spacing w:before="120" w:after="60"/>
    </w:pPr>
    <w:rPr>
      <w:i/>
      <w:color w:val="918585"/>
      <w:sz w:val="22"/>
    </w:rPr>
  </w:style>
  <w:style w:type="paragraph" w:customStyle="1" w:styleId="TableBodyText">
    <w:name w:val="Table Body Text"/>
    <w:basedOn w:val="BodyText"/>
    <w:rsid w:val="000B4DD2"/>
    <w:pPr>
      <w:spacing w:before="60" w:after="60"/>
    </w:pPr>
  </w:style>
  <w:style w:type="paragraph" w:styleId="ListContinue">
    <w:name w:val="List Continue"/>
    <w:basedOn w:val="List"/>
    <w:rsid w:val="000B4DD2"/>
    <w:pPr>
      <w:ind w:firstLine="0"/>
    </w:pPr>
  </w:style>
  <w:style w:type="paragraph" w:customStyle="1" w:styleId="ListNote">
    <w:name w:val="List Note"/>
    <w:basedOn w:val="List"/>
    <w:rsid w:val="000B4DD2"/>
    <w:pPr>
      <w:pBdr>
        <w:top w:val="single" w:sz="6" w:space="2" w:color="918585"/>
        <w:bottom w:val="single" w:sz="6" w:space="2" w:color="918585"/>
      </w:pBdr>
      <w:tabs>
        <w:tab w:val="left" w:pos="1021"/>
      </w:tabs>
      <w:ind w:firstLine="0"/>
    </w:pPr>
  </w:style>
  <w:style w:type="paragraph" w:customStyle="1" w:styleId="Warning">
    <w:name w:val="Warning"/>
    <w:basedOn w:val="BodyText"/>
    <w:rsid w:val="000B4DD2"/>
    <w:pPr>
      <w:shd w:val="clear" w:color="auto" w:fill="D9D9D9"/>
      <w:tabs>
        <w:tab w:val="left" w:pos="992"/>
      </w:tabs>
      <w:ind w:left="119" w:right="119"/>
    </w:pPr>
    <w:rPr>
      <w:sz w:val="20"/>
    </w:rPr>
  </w:style>
  <w:style w:type="paragraph" w:customStyle="1" w:styleId="MarginIcons">
    <w:name w:val="Margin Icons"/>
    <w:basedOn w:val="BodyText"/>
    <w:rsid w:val="000B4D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4DD2"/>
    <w:rPr>
      <w:rFonts w:ascii="Courier New" w:hAnsi="Courier New"/>
    </w:rPr>
  </w:style>
  <w:style w:type="paragraph" w:customStyle="1" w:styleId="NoteBullet">
    <w:name w:val="Note Bullet"/>
    <w:basedOn w:val="Note"/>
    <w:rsid w:val="000B4DD2"/>
    <w:pPr>
      <w:tabs>
        <w:tab w:val="clear" w:pos="680"/>
      </w:tabs>
      <w:spacing w:before="60" w:after="60"/>
    </w:pPr>
  </w:style>
  <w:style w:type="paragraph" w:customStyle="1" w:styleId="SubHeading2">
    <w:name w:val="SubHeading2"/>
    <w:basedOn w:val="HeadingBase"/>
    <w:rsid w:val="000B4DD2"/>
    <w:pPr>
      <w:spacing w:before="240" w:after="60"/>
    </w:pPr>
    <w:rPr>
      <w:sz w:val="20"/>
    </w:rPr>
  </w:style>
  <w:style w:type="paragraph" w:customStyle="1" w:styleId="SubHeading1">
    <w:name w:val="SubHeading1"/>
    <w:basedOn w:val="HeadingBase"/>
    <w:rsid w:val="000B4DD2"/>
    <w:pPr>
      <w:spacing w:before="240" w:after="60"/>
    </w:pPr>
    <w:rPr>
      <w:color w:val="918585"/>
      <w:sz w:val="22"/>
    </w:rPr>
  </w:style>
  <w:style w:type="paragraph" w:customStyle="1" w:styleId="SideHeading">
    <w:name w:val="Side Heading"/>
    <w:basedOn w:val="HeadingBase"/>
    <w:rsid w:val="000B4D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DD2"/>
    <w:pPr>
      <w:tabs>
        <w:tab w:val="num" w:pos="360"/>
      </w:tabs>
    </w:pPr>
  </w:style>
  <w:style w:type="paragraph" w:styleId="PlainText">
    <w:name w:val="Plain Text"/>
    <w:basedOn w:val="Normal"/>
    <w:link w:val="PlainTextChar"/>
    <w:rsid w:val="000B4DD2"/>
    <w:rPr>
      <w:sz w:val="20"/>
    </w:rPr>
  </w:style>
  <w:style w:type="character" w:customStyle="1" w:styleId="PlainTextChar">
    <w:name w:val="Plain Text Char"/>
    <w:basedOn w:val="DefaultParagraphFont"/>
    <w:link w:val="PlainText"/>
    <w:rsid w:val="000B4DD2"/>
    <w:rPr>
      <w:rFonts w:ascii="Courier New" w:eastAsia="Times New Roman" w:hAnsi="Courier New" w:cs="Times New Roman"/>
      <w:sz w:val="20"/>
      <w:szCs w:val="20"/>
      <w:lang w:eastAsia="en-US"/>
    </w:rPr>
  </w:style>
  <w:style w:type="character" w:customStyle="1" w:styleId="MenuOption">
    <w:name w:val="Menu Option"/>
    <w:basedOn w:val="DefaultParagraphFont"/>
    <w:rsid w:val="000B4DD2"/>
    <w:rPr>
      <w:b/>
      <w:smallCaps/>
    </w:rPr>
  </w:style>
  <w:style w:type="paragraph" w:customStyle="1" w:styleId="TableListNumber">
    <w:name w:val="Table List Number"/>
    <w:basedOn w:val="ListNumber"/>
    <w:rsid w:val="000B4DD2"/>
    <w:pPr>
      <w:numPr>
        <w:numId w:val="0"/>
      </w:numPr>
    </w:pPr>
  </w:style>
  <w:style w:type="paragraph" w:styleId="TOC4">
    <w:name w:val="toc 4"/>
    <w:basedOn w:val="TOCBase"/>
    <w:next w:val="Normal"/>
    <w:semiHidden/>
    <w:rsid w:val="000B4DD2"/>
    <w:pPr>
      <w:tabs>
        <w:tab w:val="right" w:leader="dot" w:pos="9071"/>
      </w:tabs>
      <w:ind w:left="1701"/>
    </w:pPr>
  </w:style>
  <w:style w:type="paragraph" w:customStyle="1" w:styleId="ListAlpha">
    <w:name w:val="List Alpha"/>
    <w:basedOn w:val="List"/>
    <w:rsid w:val="000B4DD2"/>
    <w:pPr>
      <w:numPr>
        <w:numId w:val="9"/>
      </w:numPr>
    </w:pPr>
  </w:style>
  <w:style w:type="paragraph" w:customStyle="1" w:styleId="ListAlpha2">
    <w:name w:val="List Alpha 2"/>
    <w:basedOn w:val="List2"/>
    <w:rsid w:val="000B4DD2"/>
    <w:pPr>
      <w:numPr>
        <w:numId w:val="8"/>
      </w:numPr>
    </w:pPr>
  </w:style>
  <w:style w:type="paragraph" w:styleId="List2">
    <w:name w:val="List 2"/>
    <w:basedOn w:val="BodyText"/>
    <w:rsid w:val="000B4DD2"/>
    <w:pPr>
      <w:tabs>
        <w:tab w:val="left" w:pos="680"/>
      </w:tabs>
      <w:spacing w:before="60" w:after="60"/>
      <w:ind w:left="680" w:hanging="340"/>
    </w:pPr>
  </w:style>
  <w:style w:type="paragraph" w:styleId="List3">
    <w:name w:val="List 3"/>
    <w:basedOn w:val="BodyText"/>
    <w:rsid w:val="000B4DD2"/>
    <w:pPr>
      <w:tabs>
        <w:tab w:val="left" w:pos="1021"/>
      </w:tabs>
      <w:spacing w:before="60" w:after="60"/>
      <w:ind w:left="1020" w:hanging="340"/>
    </w:pPr>
  </w:style>
  <w:style w:type="paragraph" w:styleId="List4">
    <w:name w:val="List 4"/>
    <w:basedOn w:val="BodyText"/>
    <w:rsid w:val="000B4DD2"/>
    <w:pPr>
      <w:tabs>
        <w:tab w:val="left" w:pos="1361"/>
      </w:tabs>
      <w:spacing w:before="60" w:after="60"/>
      <w:ind w:left="1361" w:hanging="340"/>
    </w:pPr>
  </w:style>
  <w:style w:type="paragraph" w:styleId="List5">
    <w:name w:val="List 5"/>
    <w:basedOn w:val="BodyText"/>
    <w:rsid w:val="000B4DD2"/>
    <w:pPr>
      <w:tabs>
        <w:tab w:val="left" w:pos="1701"/>
      </w:tabs>
      <w:spacing w:before="60" w:after="60"/>
      <w:ind w:left="1701" w:hanging="340"/>
    </w:pPr>
  </w:style>
  <w:style w:type="paragraph" w:styleId="ListBullet3">
    <w:name w:val="List Bullet 3"/>
    <w:basedOn w:val="List3"/>
    <w:rsid w:val="000B4DD2"/>
    <w:pPr>
      <w:numPr>
        <w:numId w:val="14"/>
      </w:numPr>
      <w:tabs>
        <w:tab w:val="clear" w:pos="1021"/>
      </w:tabs>
      <w:ind w:left="1037" w:hanging="357"/>
    </w:pPr>
  </w:style>
  <w:style w:type="paragraph" w:styleId="ListBullet4">
    <w:name w:val="List Bullet 4"/>
    <w:basedOn w:val="List4"/>
    <w:rsid w:val="000B4DD2"/>
    <w:pPr>
      <w:numPr>
        <w:numId w:val="3"/>
      </w:numPr>
      <w:tabs>
        <w:tab w:val="clear" w:pos="1361"/>
      </w:tabs>
    </w:pPr>
  </w:style>
  <w:style w:type="paragraph" w:styleId="ListBullet5">
    <w:name w:val="List Bullet 5"/>
    <w:basedOn w:val="List5"/>
    <w:rsid w:val="000B4DD2"/>
    <w:pPr>
      <w:numPr>
        <w:numId w:val="4"/>
      </w:numPr>
    </w:pPr>
  </w:style>
  <w:style w:type="paragraph" w:styleId="ListContinue2">
    <w:name w:val="List Continue 2"/>
    <w:basedOn w:val="List2"/>
    <w:rsid w:val="000B4DD2"/>
    <w:pPr>
      <w:ind w:firstLine="0"/>
    </w:pPr>
  </w:style>
  <w:style w:type="paragraph" w:styleId="ListContinue3">
    <w:name w:val="List Continue 3"/>
    <w:basedOn w:val="List3"/>
    <w:rsid w:val="000B4DD2"/>
    <w:pPr>
      <w:ind w:left="1021" w:firstLine="0"/>
    </w:pPr>
  </w:style>
  <w:style w:type="paragraph" w:styleId="ListContinue4">
    <w:name w:val="List Continue 4"/>
    <w:basedOn w:val="List4"/>
    <w:rsid w:val="000B4DD2"/>
    <w:pPr>
      <w:ind w:firstLine="0"/>
    </w:pPr>
  </w:style>
  <w:style w:type="paragraph" w:styleId="ListContinue5">
    <w:name w:val="List Continue 5"/>
    <w:basedOn w:val="List5"/>
    <w:rsid w:val="000B4DD2"/>
    <w:pPr>
      <w:ind w:firstLine="0"/>
    </w:pPr>
  </w:style>
  <w:style w:type="paragraph" w:styleId="ListNumber3">
    <w:name w:val="List Number 3"/>
    <w:basedOn w:val="List3"/>
    <w:rsid w:val="000B4DD2"/>
    <w:pPr>
      <w:numPr>
        <w:numId w:val="5"/>
      </w:numPr>
    </w:pPr>
  </w:style>
  <w:style w:type="paragraph" w:styleId="ListNumber4">
    <w:name w:val="List Number 4"/>
    <w:basedOn w:val="List4"/>
    <w:rsid w:val="000B4DD2"/>
    <w:pPr>
      <w:numPr>
        <w:numId w:val="6"/>
      </w:numPr>
    </w:pPr>
  </w:style>
  <w:style w:type="paragraph" w:styleId="ListNumber5">
    <w:name w:val="List Number 5"/>
    <w:basedOn w:val="List5"/>
    <w:rsid w:val="000B4DD2"/>
    <w:pPr>
      <w:numPr>
        <w:numId w:val="7"/>
      </w:numPr>
    </w:pPr>
  </w:style>
  <w:style w:type="paragraph" w:styleId="BlockText">
    <w:name w:val="Block Text"/>
    <w:basedOn w:val="Normal"/>
    <w:rsid w:val="000B4DD2"/>
    <w:pPr>
      <w:spacing w:after="120"/>
      <w:ind w:left="1440" w:right="1440"/>
    </w:pPr>
  </w:style>
  <w:style w:type="character" w:customStyle="1" w:styleId="Subscript">
    <w:name w:val="Subscript"/>
    <w:basedOn w:val="DefaultParagraphFont"/>
    <w:rsid w:val="000B4DD2"/>
    <w:rPr>
      <w:sz w:val="16"/>
      <w:vertAlign w:val="subscript"/>
    </w:rPr>
  </w:style>
  <w:style w:type="character" w:customStyle="1" w:styleId="Superscript">
    <w:name w:val="Superscript"/>
    <w:basedOn w:val="DefaultParagraphFont"/>
    <w:rsid w:val="000B4DD2"/>
    <w:rPr>
      <w:sz w:val="16"/>
      <w:vertAlign w:val="superscript"/>
    </w:rPr>
  </w:style>
  <w:style w:type="character" w:customStyle="1" w:styleId="Symbols">
    <w:name w:val="Symbols"/>
    <w:basedOn w:val="DefaultParagraphFont"/>
    <w:rsid w:val="000B4DD2"/>
    <w:rPr>
      <w:rFonts w:ascii="Symbol" w:hAnsi="Symbol"/>
    </w:rPr>
  </w:style>
  <w:style w:type="character" w:customStyle="1" w:styleId="MenuOptions">
    <w:name w:val="Menu Options"/>
    <w:basedOn w:val="DefaultParagraphFont"/>
    <w:rsid w:val="000B4DD2"/>
    <w:rPr>
      <w:rFonts w:ascii="Arial Narrow" w:hAnsi="Arial Narrow"/>
      <w:smallCaps/>
    </w:rPr>
  </w:style>
  <w:style w:type="character" w:customStyle="1" w:styleId="Buttons">
    <w:name w:val="Buttons"/>
    <w:basedOn w:val="DefaultParagraphFont"/>
    <w:rsid w:val="000B4DD2"/>
    <w:rPr>
      <w:b/>
    </w:rPr>
  </w:style>
  <w:style w:type="character" w:customStyle="1" w:styleId="Underlined">
    <w:name w:val="Underlined"/>
    <w:basedOn w:val="DefaultParagraphFont"/>
    <w:rsid w:val="000B4DD2"/>
    <w:rPr>
      <w:u w:val="single"/>
    </w:rPr>
  </w:style>
  <w:style w:type="paragraph" w:customStyle="1" w:styleId="TableBodyTextRight">
    <w:name w:val="Table Body Text Right"/>
    <w:basedOn w:val="TableBodyText"/>
    <w:rsid w:val="000B4DD2"/>
    <w:pPr>
      <w:widowControl w:val="0"/>
      <w:autoSpaceDE w:val="0"/>
      <w:autoSpaceDN w:val="0"/>
      <w:adjustRightInd w:val="0"/>
      <w:jc w:val="right"/>
    </w:pPr>
    <w:rPr>
      <w:rFonts w:cs="Arial"/>
      <w:szCs w:val="18"/>
    </w:rPr>
  </w:style>
  <w:style w:type="paragraph" w:customStyle="1" w:styleId="CopyrightText">
    <w:name w:val="Copyright Text"/>
    <w:basedOn w:val="BodyText"/>
    <w:rsid w:val="000B4DD2"/>
    <w:rPr>
      <w:sz w:val="18"/>
    </w:rPr>
  </w:style>
  <w:style w:type="paragraph" w:customStyle="1" w:styleId="BodySmallRight">
    <w:name w:val="Body Small Right"/>
    <w:basedOn w:val="BodyTextRight"/>
    <w:rsid w:val="000B4DD2"/>
    <w:rPr>
      <w:sz w:val="18"/>
      <w:szCs w:val="18"/>
    </w:rPr>
  </w:style>
  <w:style w:type="paragraph" w:customStyle="1" w:styleId="MarginEdition">
    <w:name w:val="Margin Edition"/>
    <w:basedOn w:val="MarginNote"/>
    <w:rsid w:val="000B4DD2"/>
    <w:pPr>
      <w:spacing w:before="0" w:after="0"/>
    </w:pPr>
    <w:rPr>
      <w:rFonts w:ascii="Times New Roman" w:hAnsi="Times New Roman"/>
      <w:color w:val="999999"/>
    </w:rPr>
  </w:style>
  <w:style w:type="paragraph" w:customStyle="1" w:styleId="Spacer">
    <w:name w:val="Spacer"/>
    <w:basedOn w:val="Normal"/>
    <w:rsid w:val="000B4DD2"/>
    <w:rPr>
      <w:sz w:val="2"/>
      <w:szCs w:val="2"/>
    </w:rPr>
  </w:style>
  <w:style w:type="character" w:customStyle="1" w:styleId="Small">
    <w:name w:val="Small"/>
    <w:basedOn w:val="DefaultParagraphFont"/>
    <w:rsid w:val="000B4DD2"/>
    <w:rPr>
      <w:sz w:val="16"/>
    </w:rPr>
  </w:style>
  <w:style w:type="paragraph" w:customStyle="1" w:styleId="WideTable">
    <w:name w:val="Wide Table"/>
    <w:basedOn w:val="Normal"/>
    <w:rsid w:val="000B4DD2"/>
    <w:pPr>
      <w:ind w:left="-1418"/>
    </w:pPr>
    <w:rPr>
      <w:sz w:val="2"/>
      <w:szCs w:val="2"/>
    </w:rPr>
  </w:style>
  <w:style w:type="character" w:styleId="PageNumber">
    <w:name w:val="page number"/>
    <w:basedOn w:val="DefaultParagraphFont"/>
    <w:rsid w:val="000B4DD2"/>
  </w:style>
  <w:style w:type="paragraph" w:styleId="Quote">
    <w:name w:val="Quote"/>
    <w:basedOn w:val="Heading1"/>
    <w:link w:val="QuoteChar"/>
    <w:qFormat/>
    <w:rsid w:val="000B4DD2"/>
    <w:rPr>
      <w:b w:val="0"/>
      <w:sz w:val="72"/>
      <w:szCs w:val="72"/>
      <w:lang w:val="en-NZ"/>
    </w:rPr>
  </w:style>
  <w:style w:type="character" w:customStyle="1" w:styleId="QuoteChar">
    <w:name w:val="Quote Char"/>
    <w:basedOn w:val="DefaultParagraphFont"/>
    <w:link w:val="Quote"/>
    <w:rsid w:val="000B4D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DD2"/>
    <w:pPr>
      <w:pageBreakBefore/>
    </w:pPr>
  </w:style>
  <w:style w:type="paragraph" w:customStyle="1" w:styleId="Border">
    <w:name w:val="Border"/>
    <w:basedOn w:val="Normal"/>
    <w:qFormat/>
    <w:rsid w:val="000B4D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4DD2"/>
    <w:rPr>
      <w:b/>
      <w:bCs/>
      <w:i/>
      <w:iCs/>
      <w:color w:val="auto"/>
    </w:rPr>
  </w:style>
  <w:style w:type="paragraph" w:styleId="IntenseQuote">
    <w:name w:val="Intense Quote"/>
    <w:basedOn w:val="Normal"/>
    <w:next w:val="Normal"/>
    <w:link w:val="IntenseQuoteChar"/>
    <w:uiPriority w:val="30"/>
    <w:qFormat/>
    <w:rsid w:val="000B4D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4D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4DD2"/>
    <w:rPr>
      <w:smallCaps/>
      <w:color w:val="auto"/>
      <w:u w:val="single"/>
    </w:rPr>
  </w:style>
  <w:style w:type="character" w:styleId="IntenseReference">
    <w:name w:val="Intense Reference"/>
    <w:basedOn w:val="DefaultParagraphFont"/>
    <w:uiPriority w:val="32"/>
    <w:qFormat/>
    <w:rsid w:val="000B4DD2"/>
    <w:rPr>
      <w:b/>
      <w:bCs/>
      <w:smallCaps/>
      <w:color w:val="auto"/>
      <w:spacing w:val="5"/>
      <w:u w:val="single"/>
    </w:rPr>
  </w:style>
  <w:style w:type="paragraph" w:customStyle="1" w:styleId="2ColumnHeading">
    <w:name w:val="2Column Heading"/>
    <w:basedOn w:val="BodyText"/>
    <w:qFormat/>
    <w:rsid w:val="000B4DD2"/>
    <w:pPr>
      <w:spacing w:after="60"/>
      <w:ind w:left="-2268"/>
    </w:pPr>
    <w:rPr>
      <w:b/>
    </w:rPr>
  </w:style>
  <w:style w:type="paragraph" w:customStyle="1" w:styleId="Heading1TOC">
    <w:name w:val="Heading1 TOC"/>
    <w:basedOn w:val="Normal"/>
    <w:qFormat/>
    <w:rsid w:val="000B4DD2"/>
    <w:pPr>
      <w:spacing w:before="240" w:after="120"/>
    </w:pPr>
    <w:rPr>
      <w:rFonts w:ascii="Times New Roman" w:hAnsi="Times New Roman"/>
      <w:b/>
      <w:sz w:val="32"/>
    </w:rPr>
  </w:style>
  <w:style w:type="paragraph" w:customStyle="1" w:styleId="Heading2TOC">
    <w:name w:val="Heading2 TOC"/>
    <w:basedOn w:val="Normal"/>
    <w:qFormat/>
    <w:rsid w:val="000B4DD2"/>
    <w:pPr>
      <w:spacing w:before="240" w:after="60"/>
    </w:pPr>
    <w:rPr>
      <w:rFonts w:ascii="Times New Roman" w:hAnsi="Times New Roman"/>
      <w:b/>
      <w:sz w:val="28"/>
    </w:rPr>
  </w:style>
  <w:style w:type="character" w:customStyle="1" w:styleId="Underline">
    <w:name w:val="Underline"/>
    <w:basedOn w:val="DefaultParagraphFont"/>
    <w:qFormat/>
    <w:rsid w:val="000B4DD2"/>
    <w:rPr>
      <w:u w:val="single"/>
    </w:rPr>
  </w:style>
  <w:style w:type="character" w:customStyle="1" w:styleId="BoldandItalics">
    <w:name w:val="Bold and Italics"/>
    <w:qFormat/>
    <w:rsid w:val="000B4DD2"/>
    <w:rPr>
      <w:b/>
      <w:i/>
      <w:u w:val="none"/>
    </w:rPr>
  </w:style>
  <w:style w:type="paragraph" w:styleId="BalloonText">
    <w:name w:val="Balloon Text"/>
    <w:basedOn w:val="Normal"/>
    <w:link w:val="BalloonTextChar"/>
    <w:rsid w:val="000B4DD2"/>
    <w:rPr>
      <w:rFonts w:ascii="Tahoma" w:hAnsi="Tahoma" w:cs="Tahoma"/>
      <w:sz w:val="16"/>
      <w:szCs w:val="16"/>
    </w:rPr>
  </w:style>
  <w:style w:type="character" w:customStyle="1" w:styleId="BalloonTextChar">
    <w:name w:val="Balloon Text Char"/>
    <w:basedOn w:val="DefaultParagraphFont"/>
    <w:link w:val="BalloonText"/>
    <w:rsid w:val="000B4D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4D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4D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4DD2"/>
    <w:rPr>
      <w:b/>
      <w:color w:val="660033"/>
      <w:spacing w:val="0"/>
    </w:rPr>
  </w:style>
  <w:style w:type="paragraph" w:customStyle="1" w:styleId="Nameditemlist">
    <w:name w:val="Named item list"/>
    <w:basedOn w:val="BodyText"/>
    <w:qFormat/>
    <w:rsid w:val="000B4DD2"/>
    <w:pPr>
      <w:tabs>
        <w:tab w:val="left" w:pos="2835"/>
      </w:tabs>
      <w:ind w:left="2835" w:hanging="2835"/>
    </w:pPr>
  </w:style>
  <w:style w:type="paragraph" w:customStyle="1" w:styleId="BodyTextnopadding">
    <w:name w:val="Body Text no padding"/>
    <w:basedOn w:val="BodyText"/>
    <w:qFormat/>
    <w:rsid w:val="000B4DD2"/>
    <w:pPr>
      <w:spacing w:before="0" w:after="0"/>
    </w:pPr>
  </w:style>
  <w:style w:type="paragraph" w:customStyle="1" w:styleId="BodyTextBold">
    <w:name w:val="Body Text Bold"/>
    <w:basedOn w:val="BodyText"/>
    <w:qFormat/>
    <w:rsid w:val="000B4DD2"/>
    <w:rPr>
      <w:b/>
    </w:rPr>
  </w:style>
  <w:style w:type="character" w:styleId="Hyperlink">
    <w:name w:val="Hyperlink"/>
    <w:basedOn w:val="DefaultParagraphFont"/>
    <w:uiPriority w:val="99"/>
    <w:unhideWhenUsed/>
    <w:rsid w:val="005162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1288</Words>
  <Characters>7806</Characters>
  <Application>Microsoft Office Word</Application>
  <DocSecurity>0</DocSecurity>
  <Lines>181</Lines>
  <Paragraphs>112</Paragraphs>
  <ScaleCrop>false</ScaleCrop>
  <Company>Author-it Software Corporation Ltd.</Company>
  <LinksUpToDate>false</LinksUpToDate>
  <CharactersWithSpaces>8982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RIICRC205E Install utility poles</dc:title>
  <dc:subject>Approved</dc:subject>
  <dc:creator>PwC’s Skills for Australia</dc:creator>
  <cp:keywords>Release: 1</cp:keywords>
  <dc:description>Review Date: 12 April 2008</dc:description>
  <cp:lastModifiedBy>HSD_TPCMSd.prod</cp:lastModifiedBy>
  <cp:revision>3</cp:revision>
  <dcterms:created xsi:type="dcterms:W3CDTF">2022-10-18T14:04:00Z</dcterms:created>
  <dcterms:modified xsi:type="dcterms:W3CDTF">2022-10-18T14:04:00Z</dcterms:modified>
</cp:coreProperties>
</file>