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D98" w:rsidP="00AD7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RIICFW306D Direct pile driving operations</w:t>
      </w:r>
      <w:r>
        <w:fldChar w:fldCharType="end"/>
      </w:r>
    </w:p>
    <w:p w:rsidR="00AD7D98" w:rsidP="00AD7D98">
      <w:pPr>
        <w:pStyle w:val="Version"/>
        <w:sectPr w:rsidSect="002B2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20BA" w:rsidP="002B20BA">
      <w:pPr>
        <w:pStyle w:val="SuperHeading"/>
      </w:pPr>
      <w:r w:rsidRPr="002B20BA">
        <w:t>Assessment Requirements for RIICFW306D Direct pile driving operations</w:t>
      </w:r>
    </w:p>
    <w:p w:rsidR="00000000" w:rsidRPr="002B20BA" w:rsidP="002B20BA">
      <w:pPr>
        <w:pStyle w:val="Heading1"/>
      </w:pPr>
      <w:bookmarkStart w:id="1" w:name="O_681864"/>
      <w:bookmarkEnd w:id="1"/>
      <w:r w:rsidRPr="002B20BA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AD7D98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Comment</w:t>
            </w:r>
          </w:p>
        </w:tc>
      </w:tr>
      <w:tr w:rsidTr="00AD7D98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This unit replaces RIICFW306A Direct pile driving operations</w:t>
            </w:r>
          </w:p>
        </w:tc>
      </w:tr>
      <w:tr w:rsidTr="00AD7D98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0BA" w:rsidP="002B20BA">
            <w:pPr>
              <w:pStyle w:val="BodyText"/>
            </w:pPr>
            <w:r w:rsidRPr="002B20BA">
              <w:t>Required frequency and volume of evidence amended in Performance evidence.</w:t>
            </w:r>
          </w:p>
          <w:p w:rsidR="00000000" w:rsidRPr="002B20BA" w:rsidP="002B20BA">
            <w:pPr>
              <w:pStyle w:val="BodyText"/>
            </w:pPr>
            <w:r w:rsidRPr="002B20BA">
              <w:t>Substantial amendments made in Assessment Conditions field, including: references to Industry Sectors, assessor and subject matter expert experience requirements, how assessment sho</w:t>
            </w:r>
            <w:r w:rsidRPr="002B20BA">
              <w:t>uld be conducted and what it should confirm.</w:t>
            </w:r>
          </w:p>
        </w:tc>
      </w:tr>
    </w:tbl>
    <w:p w:rsidR="00000000" w:rsidRPr="002B20BA" w:rsidP="002B20BA">
      <w:pPr>
        <w:pStyle w:val="BodyText"/>
      </w:pPr>
    </w:p>
    <w:p w:rsidR="00000000" w:rsidRPr="002B20BA" w:rsidP="002B20BA">
      <w:pPr>
        <w:pStyle w:val="AllowPageBreak"/>
      </w:pPr>
    </w:p>
    <w:p w:rsidR="00000000" w:rsidRPr="002B20BA" w:rsidP="002B20BA">
      <w:pPr>
        <w:pStyle w:val="Heading1"/>
      </w:pPr>
      <w:bookmarkStart w:id="2" w:name="O_681863"/>
      <w:bookmarkEnd w:id="2"/>
      <w:r w:rsidRPr="002B20BA">
        <w:t>Performance Evidence</w:t>
      </w:r>
    </w:p>
    <w:p w:rsidR="00000000" w:rsidRPr="002B20BA" w:rsidP="00AD7D98">
      <w:pPr>
        <w:pStyle w:val="BodyText"/>
      </w:pPr>
      <w:r w:rsidRPr="002B20BA">
        <w:t>Evidence is required to be collected that demonstrates a candidate’s competency in this unit. Evidence must be relevant to the roles within this sector’s work operations a</w:t>
      </w:r>
      <w:r w:rsidRPr="002B20BA">
        <w:t>nd satisfy all of the requirements of the performance criteria of this unit and include evidence that the candidate:</w:t>
      </w:r>
    </w:p>
    <w:p w:rsidR="00000000" w:rsidRPr="002B20BA" w:rsidP="002B20BA">
      <w:pPr>
        <w:pStyle w:val="ListBullet"/>
      </w:pPr>
      <w:r w:rsidRPr="002B20BA">
        <w:t>locates and applies applicable legislation, documentation, policies and procedures</w:t>
      </w:r>
    </w:p>
    <w:p w:rsidR="00000000" w:rsidRPr="002B20BA" w:rsidP="002B20BA">
      <w:pPr>
        <w:pStyle w:val="ListBullet"/>
      </w:pPr>
      <w:r w:rsidRPr="002B20BA">
        <w:t>works effectively with others to direct, undertake and complete pile driving operations tasks that meet all the required outcomes including:</w:t>
      </w:r>
    </w:p>
    <w:p w:rsidR="00000000" w:rsidRPr="002B20BA" w:rsidP="002B20BA">
      <w:pPr>
        <w:pStyle w:val="ListBullet2"/>
      </w:pPr>
      <w:r w:rsidRPr="002B20BA">
        <w:t xml:space="preserve">communicating clearly and concisely with others to resolve coordination requirements and receive and clarify work </w:t>
      </w:r>
      <w:r w:rsidRPr="002B20BA">
        <w:t>instructions</w:t>
      </w:r>
    </w:p>
    <w:p w:rsidR="00000000" w:rsidRPr="002B20BA" w:rsidP="002B20BA">
      <w:pPr>
        <w:pStyle w:val="ListBullet"/>
      </w:pPr>
      <w:r w:rsidRPr="002B20BA">
        <w:t xml:space="preserve">using a range of communication technique and systems such as signage to advise others of work activity and exclusion zones </w:t>
      </w:r>
    </w:p>
    <w:p w:rsidR="00000000" w:rsidRPr="002B20BA" w:rsidP="002B20BA">
      <w:pPr>
        <w:pStyle w:val="ListBullet"/>
      </w:pPr>
      <w:r w:rsidRPr="002B20BA">
        <w:t>demonstrates completion of directing pile driving operations that safely, effectively and efficiently meets all of the</w:t>
      </w:r>
      <w:r w:rsidRPr="002B20BA">
        <w:t xml:space="preserve"> required outcomes on more than one (1) occasion including:</w:t>
      </w:r>
    </w:p>
    <w:p w:rsidR="00000000" w:rsidRPr="002B20BA" w:rsidP="002B20BA">
      <w:pPr>
        <w:pStyle w:val="ListBullet2"/>
      </w:pPr>
      <w:r w:rsidRPr="002B20BA">
        <w:t xml:space="preserve">establishing recovery pegs </w:t>
      </w:r>
    </w:p>
    <w:p w:rsidR="00000000" w:rsidRPr="002B20BA" w:rsidP="002B20BA">
      <w:pPr>
        <w:pStyle w:val="ListBullet2"/>
      </w:pPr>
      <w:r w:rsidRPr="002B20BA">
        <w:t>identifying and protecting area for pile driving</w:t>
      </w:r>
    </w:p>
    <w:p w:rsidR="00000000" w:rsidRPr="002B20BA" w:rsidP="002B20BA">
      <w:pPr>
        <w:pStyle w:val="ListBullet2"/>
      </w:pPr>
      <w:r w:rsidRPr="002B20BA">
        <w:t>providing guidance for lifting, manoeuvring and setting up of piling rigs</w:t>
      </w:r>
    </w:p>
    <w:p w:rsidR="00000000" w:rsidRPr="002B20BA" w:rsidP="002B20BA">
      <w:pPr>
        <w:pStyle w:val="ListBullet2"/>
      </w:pPr>
      <w:r w:rsidRPr="002B20BA">
        <w:t>installing a minimum of two (2) timber piles</w:t>
      </w:r>
      <w:r w:rsidRPr="002B20BA">
        <w:t xml:space="preserve"> or two pre-cast concrete piles</w:t>
      </w:r>
    </w:p>
    <w:p w:rsidR="00000000" w:rsidRPr="002B20BA" w:rsidP="002B20BA">
      <w:pPr>
        <w:pStyle w:val="ListBullet2"/>
      </w:pPr>
      <w:r w:rsidRPr="002B20BA">
        <w:t>demonstrating at least one (1) of the three (3) pile hammering methods</w:t>
      </w:r>
    </w:p>
    <w:p w:rsidR="00000000" w:rsidRPr="002B20BA" w:rsidP="002B20BA">
      <w:pPr>
        <w:pStyle w:val="AllowPageBreak"/>
      </w:pPr>
    </w:p>
    <w:p w:rsidR="00000000" w:rsidRPr="002B20BA" w:rsidP="002B20BA">
      <w:pPr>
        <w:pStyle w:val="Heading1"/>
      </w:pPr>
      <w:bookmarkStart w:id="3" w:name="O_681862"/>
      <w:bookmarkEnd w:id="3"/>
      <w:r w:rsidRPr="002B20BA">
        <w:t>Knowledge Evidence</w:t>
      </w:r>
    </w:p>
    <w:p w:rsidR="00000000" w:rsidRPr="002B20BA" w:rsidP="00AD7D98">
      <w:pPr>
        <w:pStyle w:val="BodyText"/>
      </w:pPr>
      <w:r w:rsidRPr="002B20BA">
        <w:t>he candidate must demonstrate knowledge directing pile driving operations through:</w:t>
      </w:r>
    </w:p>
    <w:p w:rsidR="00000000" w:rsidRPr="002B20BA" w:rsidP="002B20BA">
      <w:pPr>
        <w:pStyle w:val="ListBullet"/>
      </w:pPr>
      <w:r w:rsidRPr="002B20BA">
        <w:t>applying organisation, site requi</w:t>
      </w:r>
      <w:r w:rsidRPr="002B20BA">
        <w:t>rements and procedures for:</w:t>
      </w:r>
    </w:p>
    <w:p w:rsidR="00000000" w:rsidRPr="002B20BA" w:rsidP="002B20BA">
      <w:pPr>
        <w:pStyle w:val="ListBullet2"/>
      </w:pPr>
      <w:r w:rsidRPr="002B20BA">
        <w:t>risk assessment and management</w:t>
      </w:r>
    </w:p>
    <w:p w:rsidR="00000000" w:rsidRPr="002B20BA" w:rsidP="002B20BA">
      <w:pPr>
        <w:pStyle w:val="ListBullet2"/>
      </w:pPr>
      <w:r w:rsidRPr="002B20BA">
        <w:t>statutory compliance</w:t>
      </w:r>
    </w:p>
    <w:p w:rsidR="00000000" w:rsidRPr="002B20BA" w:rsidP="002B20BA">
      <w:pPr>
        <w:pStyle w:val="ListBullet2"/>
      </w:pPr>
      <w:r w:rsidRPr="002B20BA">
        <w:t>work health and safety</w:t>
      </w:r>
    </w:p>
    <w:p w:rsidR="00000000" w:rsidRPr="002B20BA" w:rsidP="002B20BA">
      <w:pPr>
        <w:pStyle w:val="ListBullet2"/>
      </w:pPr>
      <w:r w:rsidRPr="002B20BA">
        <w:t>emergency procedures</w:t>
      </w:r>
    </w:p>
    <w:p w:rsidR="00000000" w:rsidRPr="002B20BA" w:rsidP="002B20BA">
      <w:pPr>
        <w:pStyle w:val="ListBullet2"/>
      </w:pPr>
      <w:r w:rsidRPr="002B20BA">
        <w:t>environmental protection</w:t>
      </w:r>
    </w:p>
    <w:p w:rsidR="00000000" w:rsidRPr="002B20BA" w:rsidP="002B20BA">
      <w:pPr>
        <w:pStyle w:val="ListBullet2"/>
      </w:pPr>
      <w:r w:rsidRPr="002B20BA">
        <w:t>off-set pegging</w:t>
      </w:r>
    </w:p>
    <w:p w:rsidR="00000000" w:rsidRPr="002B20BA" w:rsidP="002B20BA">
      <w:pPr>
        <w:pStyle w:val="ListBullet2"/>
      </w:pPr>
      <w:r w:rsidRPr="002B20BA">
        <w:t>pile locating</w:t>
      </w:r>
    </w:p>
    <w:p w:rsidR="00000000" w:rsidRPr="002B20BA" w:rsidP="002B20BA">
      <w:pPr>
        <w:pStyle w:val="ListBullet2"/>
      </w:pPr>
      <w:r w:rsidRPr="002B20BA">
        <w:t>plumbing and pile driving</w:t>
      </w:r>
    </w:p>
    <w:p w:rsidR="00000000" w:rsidRPr="002B20BA" w:rsidP="002B20BA">
      <w:pPr>
        <w:pStyle w:val="ListBullet2"/>
      </w:pPr>
      <w:r w:rsidRPr="002B20BA">
        <w:t>pile splicing and joining</w:t>
      </w:r>
    </w:p>
    <w:p w:rsidR="00000000" w:rsidRPr="002B20BA" w:rsidP="002B20BA">
      <w:pPr>
        <w:pStyle w:val="ListBullet2"/>
      </w:pPr>
      <w:r w:rsidRPr="002B20BA">
        <w:t>maintenance requirements</w:t>
      </w:r>
    </w:p>
    <w:p w:rsidR="00000000" w:rsidRPr="002B20BA" w:rsidP="002B20BA">
      <w:pPr>
        <w:pStyle w:val="ListBullet2"/>
      </w:pPr>
      <w:r w:rsidRPr="002B20BA">
        <w:t>environmentally sensitive fluids and materials disposal</w:t>
      </w:r>
    </w:p>
    <w:p w:rsidR="00000000" w:rsidRPr="002B20BA" w:rsidP="002B20BA">
      <w:pPr>
        <w:pStyle w:val="ListBullet2"/>
      </w:pPr>
      <w:r w:rsidRPr="002B20BA">
        <w:t>chemical and fuel safety</w:t>
      </w:r>
    </w:p>
    <w:p w:rsidR="00000000" w:rsidRPr="002B20BA" w:rsidP="002B20BA">
      <w:pPr>
        <w:pStyle w:val="ListBullet2"/>
      </w:pPr>
      <w:r w:rsidRPr="002B20BA">
        <w:t>hazardous goods handling</w:t>
      </w:r>
    </w:p>
    <w:p w:rsidR="00000000" w:rsidRPr="002B20BA" w:rsidP="002B20BA">
      <w:pPr>
        <w:pStyle w:val="ListBullet2"/>
      </w:pPr>
      <w:r w:rsidRPr="002B20BA">
        <w:t>isolation and traffic control responsibilities and authorities</w:t>
      </w:r>
    </w:p>
    <w:p w:rsidR="00000000" w:rsidRPr="002B20BA" w:rsidP="002B20BA">
      <w:pPr>
        <w:pStyle w:val="ListBullet2"/>
      </w:pPr>
      <w:r w:rsidRPr="002B20BA">
        <w:t>water erosion issues</w:t>
      </w:r>
    </w:p>
    <w:p w:rsidR="00000000" w:rsidRPr="002B20BA" w:rsidP="002B20BA">
      <w:pPr>
        <w:pStyle w:val="ListBullet2"/>
      </w:pPr>
      <w:r w:rsidRPr="002B20BA">
        <w:t>civil construction terminology</w:t>
      </w:r>
    </w:p>
    <w:p w:rsidR="00000000" w:rsidRPr="002B20BA" w:rsidP="002B20BA">
      <w:pPr>
        <w:pStyle w:val="ListBullet2"/>
      </w:pPr>
      <w:r w:rsidRPr="002B20BA">
        <w:t xml:space="preserve">foundation work </w:t>
      </w:r>
    </w:p>
    <w:p w:rsidR="00000000" w:rsidRPr="002B20BA" w:rsidP="002B20BA">
      <w:pPr>
        <w:pStyle w:val="ListBullet2"/>
      </w:pPr>
      <w:r w:rsidRPr="002B20BA">
        <w:t>project quality r</w:t>
      </w:r>
      <w:r w:rsidRPr="002B20BA">
        <w:t>equirements</w:t>
      </w:r>
    </w:p>
    <w:p w:rsidR="00000000" w:rsidRPr="002B20BA" w:rsidP="002B20BA">
      <w:pPr>
        <w:pStyle w:val="ListBullet2"/>
      </w:pPr>
      <w:r w:rsidRPr="002B20BA">
        <w:t>work platform installation</w:t>
      </w:r>
    </w:p>
    <w:p w:rsidR="00000000" w:rsidRPr="002B20BA" w:rsidP="002B20BA">
      <w:pPr>
        <w:pStyle w:val="ListBullet2"/>
      </w:pPr>
      <w:r w:rsidRPr="002B20BA">
        <w:t>machine operation</w:t>
      </w:r>
    </w:p>
    <w:p w:rsidR="00000000" w:rsidRPr="002B20BA" w:rsidP="002B20BA">
      <w:pPr>
        <w:pStyle w:val="ListBullet"/>
      </w:pPr>
      <w:r w:rsidRPr="002B20BA">
        <w:t>interpreting engineering drawings</w:t>
      </w:r>
    </w:p>
    <w:p w:rsidR="00000000" w:rsidRPr="002B20BA" w:rsidP="002B20BA">
      <w:pPr>
        <w:pStyle w:val="ListBullet"/>
      </w:pPr>
      <w:r w:rsidRPr="002B20BA">
        <w:t>monitoring site personal protective equipment requirements</w:t>
      </w:r>
    </w:p>
    <w:p w:rsidR="00000000" w:rsidRPr="002B20BA" w:rsidP="002B20BA">
      <w:pPr>
        <w:pStyle w:val="ListBullet"/>
      </w:pPr>
      <w:r w:rsidRPr="002B20BA">
        <w:t>implementing site and equipment health and safety procedures</w:t>
      </w:r>
    </w:p>
    <w:p w:rsidR="00000000" w:rsidRPr="002B20BA" w:rsidP="002B20BA">
      <w:pPr>
        <w:pStyle w:val="ListBullet"/>
      </w:pPr>
      <w:r w:rsidRPr="002B20BA">
        <w:t>monitoring and responding to site environmental and heritage requirements and constraints</w:t>
      </w:r>
    </w:p>
    <w:p w:rsidR="00000000" w:rsidRPr="002B20BA" w:rsidP="002B20BA">
      <w:pPr>
        <w:pStyle w:val="ListBullet"/>
      </w:pPr>
      <w:r w:rsidRPr="002B20BA">
        <w:t>interpreting and complying with safety data sheets and materials handling methods</w:t>
      </w:r>
    </w:p>
    <w:p w:rsidR="00000000" w:rsidRPr="002B20BA" w:rsidP="002B20BA">
      <w:pPr>
        <w:pStyle w:val="ListBullet"/>
      </w:pPr>
      <w:r w:rsidRPr="002B20BA">
        <w:t xml:space="preserve">preparing and/or implementing safe work method statement and/or Job safety analysis </w:t>
      </w:r>
    </w:p>
    <w:p w:rsidR="00000000" w:rsidRPr="002B20BA" w:rsidP="002B20BA">
      <w:pPr>
        <w:pStyle w:val="ListBullet"/>
      </w:pPr>
      <w:r w:rsidRPr="002B20BA">
        <w:t>identifying types and characteristics of soil, sand, rock, clay, shale, gravel and silt and water table</w:t>
      </w:r>
    </w:p>
    <w:p w:rsidR="00000000" w:rsidRPr="002B20BA" w:rsidP="002B20BA">
      <w:pPr>
        <w:pStyle w:val="ListBullet"/>
      </w:pPr>
      <w:r w:rsidRPr="002B20BA">
        <w:t>describing machine characteristics, technical capability and limitations</w:t>
      </w:r>
    </w:p>
    <w:p w:rsidR="00000000" w:rsidRPr="002B20BA" w:rsidP="002B20BA">
      <w:pPr>
        <w:pStyle w:val="ListBullet"/>
      </w:pPr>
      <w:r w:rsidRPr="002B20BA">
        <w:t>describing driven piles and their installation techniques</w:t>
      </w:r>
    </w:p>
    <w:p w:rsidR="00000000" w:rsidRPr="002B20BA" w:rsidP="002B20BA">
      <w:pPr>
        <w:pStyle w:val="ListBullet"/>
      </w:pPr>
      <w:r w:rsidRPr="002B20BA">
        <w:t>describing technique</w:t>
      </w:r>
      <w:r w:rsidRPr="002B20BA">
        <w:t>s for installing piles in water</w:t>
      </w:r>
    </w:p>
    <w:p w:rsidR="00000000" w:rsidRPr="002B20BA" w:rsidP="002B20BA">
      <w:pPr>
        <w:pStyle w:val="ListBullet"/>
      </w:pPr>
      <w:r w:rsidRPr="002B20BA">
        <w:t>requirements and procedures</w:t>
      </w:r>
    </w:p>
    <w:p w:rsidR="00000000" w:rsidRPr="002B20BA" w:rsidP="002B20BA">
      <w:pPr>
        <w:pStyle w:val="ListBullet"/>
      </w:pPr>
      <w:r w:rsidRPr="002B20BA">
        <w:t>implementing and monitoring operational, maintenance and basic diagnostic procedures</w:t>
      </w:r>
    </w:p>
    <w:p w:rsidR="00000000" w:rsidRPr="002B20BA" w:rsidP="002B20BA">
      <w:pPr>
        <w:pStyle w:val="ListBullet"/>
      </w:pPr>
      <w:r w:rsidRPr="002B20BA">
        <w:t>implementing isolation procedures</w:t>
      </w:r>
    </w:p>
    <w:p w:rsidR="00000000" w:rsidRPr="002B20BA" w:rsidP="002B20BA">
      <w:pPr>
        <w:pStyle w:val="AllowPageBreak"/>
      </w:pPr>
    </w:p>
    <w:p w:rsidR="00000000" w:rsidRPr="002B20BA" w:rsidP="002B20BA">
      <w:pPr>
        <w:pStyle w:val="Heading1"/>
      </w:pPr>
      <w:bookmarkStart w:id="4" w:name="O_681861"/>
      <w:bookmarkEnd w:id="4"/>
      <w:r w:rsidRPr="002B20BA">
        <w:t>Assessment Conditions</w:t>
      </w:r>
    </w:p>
    <w:p w:rsidR="00000000" w:rsidRPr="002B20BA" w:rsidP="002B20BA">
      <w:pPr>
        <w:pStyle w:val="ListBullet"/>
      </w:pPr>
      <w:r w:rsidRPr="002B20BA">
        <w:t>An assessor of this unit must satisfy</w:t>
      </w:r>
      <w:r w:rsidRPr="002B20BA">
        <w:t xml:space="preserve"> the requirements of the NVR/AQTF or their successors; and Industry regulations for certification and licensing; and,</w:t>
      </w:r>
    </w:p>
    <w:p w:rsidR="00000000" w:rsidRPr="002B20BA" w:rsidP="002B20BA">
      <w:pPr>
        <w:pStyle w:val="ListBullet"/>
      </w:pPr>
      <w:r w:rsidRPr="002B20BA">
        <w:t>this unit must be assessed in the context of this sector’s work environment; and,</w:t>
      </w:r>
    </w:p>
    <w:p w:rsidR="00000000" w:rsidRPr="002B20BA" w:rsidP="002B20BA">
      <w:pPr>
        <w:pStyle w:val="ListBullet"/>
      </w:pPr>
      <w:r w:rsidRPr="002B20BA">
        <w:t>this unit must be assessed in compliance with relevant l</w:t>
      </w:r>
      <w:r w:rsidRPr="002B20BA">
        <w:t>egislation/regulation and using policies, procedures, processes and operational manuals directly related to the industry sector for which it is being assessed; and,</w:t>
      </w:r>
    </w:p>
    <w:p w:rsidR="00000000" w:rsidRPr="002B20BA" w:rsidP="002B20BA">
      <w:pPr>
        <w:pStyle w:val="ListBullet"/>
      </w:pPr>
      <w:r w:rsidRPr="002B20BA">
        <w:t>assessment may be conducted in conjunction with the assessment of other Units of Competency</w:t>
      </w:r>
      <w:r w:rsidRPr="002B20BA">
        <w:t>; and,</w:t>
      </w:r>
    </w:p>
    <w:p w:rsidR="00000000" w:rsidRPr="002B20BA" w:rsidP="002B20BA">
      <w:pPr>
        <w:pStyle w:val="ListBullet"/>
      </w:pPr>
      <w:r w:rsidRPr="002B20BA">
        <w:t>assessment must confirm consistent performance can be applied in a range of relevant workplace circumstances; and,</w:t>
      </w:r>
    </w:p>
    <w:p w:rsidR="00000000" w:rsidRPr="002B20BA" w:rsidP="002B20BA">
      <w:pPr>
        <w:pStyle w:val="ListBullet"/>
      </w:pPr>
      <w:r w:rsidRPr="002B20BA">
        <w:t>assessors must demonstrate the performance evidence, and knowledge evidence as outlined in this Unit of Competency, and through the mi</w:t>
      </w:r>
      <w:r w:rsidRPr="002B20BA">
        <w:t>nimum years of current* work experience specified below in an Industry sector relevant to the outcomes of the unit; or,</w:t>
      </w:r>
    </w:p>
    <w:p w:rsidR="00000000" w:rsidRPr="002B20BA" w:rsidP="002B20BA">
      <w:pPr>
        <w:pStyle w:val="ListBullet"/>
      </w:pPr>
      <w:r w:rsidRPr="002B20BA">
        <w:t>where the assessor does not meet experience requirements a co-assessment or partnership arrangement must exist between the qualified ass</w:t>
      </w:r>
      <w:r w:rsidRPr="002B20BA">
        <w:t>essor and an Industry subject matter expert. The Industry subject matter expert should hold the unit being assessed (or an equivalent unit) and/or demonstrate equivalence of skills and knowledge at the unit level. An Industry technical expert must also dem</w:t>
      </w:r>
      <w:r w:rsidRPr="002B20BA">
        <w:t>onstrate skills and knowledge from the minimum years of current work experience specified below in the Industry sector, including time spent in roles related to the unit being assessed; and,</w:t>
      </w:r>
    </w:p>
    <w:p w:rsidR="00000000" w:rsidRPr="002B20BA" w:rsidP="002B20BA">
      <w:pPr>
        <w:pStyle w:val="ListBullet"/>
      </w:pPr>
      <w:r w:rsidRPr="002B20BA">
        <w:t>assessor and Industry subject matter expert requirements differ d</w:t>
      </w:r>
      <w:r w:rsidRPr="002B20BA">
        <w:t>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B20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Required assessor or Industry subject matter expert experience</w:t>
            </w:r>
          </w:p>
        </w:tc>
      </w:tr>
      <w:tr w:rsidTr="002B20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1 Year</w:t>
            </w:r>
          </w:p>
        </w:tc>
      </w:tr>
      <w:tr w:rsidTr="002B20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2 Years</w:t>
            </w:r>
          </w:p>
        </w:tc>
      </w:tr>
      <w:tr w:rsidTr="002B20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3 Years</w:t>
            </w:r>
          </w:p>
        </w:tc>
      </w:tr>
      <w:tr w:rsidTr="002B20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5 Years</w:t>
            </w:r>
          </w:p>
        </w:tc>
      </w:tr>
      <w:tr w:rsidTr="002B20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20BA">
            <w:pPr>
              <w:pStyle w:val="BodyText"/>
              <w:rPr>
                <w:lang w:val="en-NZ"/>
              </w:rPr>
            </w:pPr>
            <w:r w:rsidRPr="002B20B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20BA" w:rsidP="002B20BA">
            <w:pPr>
              <w:pStyle w:val="BodyText"/>
            </w:pPr>
            <w:r w:rsidRPr="002B20BA">
              <w:t>W</w:t>
            </w:r>
            <w:r w:rsidRPr="002B20BA">
              <w:t>here this Unit is being assessed outside of the Resources and Infrastructure Sectors assessor and/or Industry subject matter expert experience should be in-line with industry standards for the sector in which it is being assessed and where no Industry stan</w:t>
            </w:r>
            <w:r w:rsidRPr="002B20BA">
              <w:t>dard is specified should comply with any relevant regulation.</w:t>
            </w:r>
          </w:p>
        </w:tc>
      </w:tr>
    </w:tbl>
    <w:p w:rsidR="00000000" w:rsidRPr="002B20BA" w:rsidP="00AD7D98">
      <w:pPr>
        <w:pStyle w:val="BodyText"/>
      </w:pPr>
      <w:r w:rsidRPr="002B20BA">
        <w:t xml:space="preserve">*Assessors can demonstrate current work experience through employment within Industry in a role relevant to the outcomes of the Unit; or, for external </w:t>
      </w:r>
      <w:r w:rsidRPr="002B20BA">
        <w:t>assessors this can be demonstrated through exposure to Industry by conducting frequent site assessments across various locations.</w:t>
      </w:r>
    </w:p>
    <w:p w:rsidR="00000000" w:rsidRPr="002B20BA" w:rsidP="00AD7D98">
      <w:pPr>
        <w:pStyle w:val="BodyText"/>
      </w:pPr>
      <w:r w:rsidRPr="002B20BA">
        <w:t>**Where a unit is being delivered outside of a Qualification the first numeric character in the Unit code should be considered</w:t>
      </w:r>
      <w:r w:rsidRPr="002B20BA">
        <w:t xml:space="preserve"> to indicate the AQF level</w:t>
      </w:r>
    </w:p>
    <w:p w:rsidR="00000000" w:rsidRPr="002B20BA" w:rsidP="002B20BA">
      <w:pPr>
        <w:pStyle w:val="Heading1"/>
      </w:pPr>
      <w:bookmarkStart w:id="5" w:name="O_681873"/>
      <w:bookmarkEnd w:id="5"/>
      <w:r w:rsidRPr="002B20BA">
        <w:t>Links</w:t>
      </w:r>
    </w:p>
    <w:p w:rsidR="00000000" w:rsidRPr="002B20BA" w:rsidP="00AD7D98">
      <w:pPr>
        <w:pStyle w:val="BodyText"/>
      </w:pPr>
      <w:r w:rsidRPr="002B2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02D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20BA" w:rsidP="002B20BA"/>
    <w:sectPr w:rsidSect="002B20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BA" w:rsidRPr="00AD7D98" w:rsidP="00AD7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98" w:rsidP="002B2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D98" w:rsidP="002B2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7D98" w:rsidP="002B2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0BA" w:rsidRPr="00AD7D98" w:rsidP="00AD7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98" w:rsidRPr="002D2AF8" w:rsidP="002B2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RIICFW306D Direct pile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D7D98" w:rsidP="002B2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CB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726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AEBF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0BA"/>
  </w:style>
  <w:style w:type="character" w:customStyle="1" w:styleId="Heading1Char">
    <w:name w:val="Heading 1 Char"/>
    <w:basedOn w:val="DefaultParagraphFont"/>
    <w:link w:val="Heading1"/>
    <w:rsid w:val="002B2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0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0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20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2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20BA"/>
    <w:rPr>
      <w:b/>
      <w:spacing w:val="0"/>
    </w:rPr>
  </w:style>
  <w:style w:type="paragraph" w:customStyle="1" w:styleId="SuperTitle">
    <w:name w:val="SuperTitle"/>
    <w:basedOn w:val="Title"/>
    <w:rsid w:val="002B2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2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0BA"/>
    <w:rPr>
      <w:i/>
    </w:rPr>
  </w:style>
  <w:style w:type="paragraph" w:styleId="Caption">
    <w:name w:val="caption"/>
    <w:basedOn w:val="BodyText"/>
    <w:next w:val="Normal"/>
    <w:qFormat/>
    <w:rsid w:val="002B2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0BA"/>
  </w:style>
  <w:style w:type="paragraph" w:styleId="TableofFigures">
    <w:name w:val="table of figures"/>
    <w:basedOn w:val="Normal"/>
    <w:next w:val="Normal"/>
    <w:semiHidden/>
    <w:rsid w:val="002B2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0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20BA"/>
    <w:rPr>
      <w:rFonts w:ascii="Wingdings" w:hAnsi="Wingdings"/>
    </w:rPr>
  </w:style>
  <w:style w:type="paragraph" w:customStyle="1" w:styleId="TableHeading">
    <w:name w:val="Table Heading"/>
    <w:basedOn w:val="HeadingBase"/>
    <w:rsid w:val="002B2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0BA"/>
    <w:rPr>
      <w:color w:val="0033CC"/>
      <w:u w:val="none"/>
    </w:rPr>
  </w:style>
  <w:style w:type="paragraph" w:customStyle="1" w:styleId="BodyTextRight">
    <w:name w:val="Body Text Right"/>
    <w:basedOn w:val="BodyText"/>
    <w:rsid w:val="002B2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0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0BA"/>
    <w:rPr>
      <w:sz w:val="32"/>
    </w:rPr>
  </w:style>
  <w:style w:type="paragraph" w:customStyle="1" w:styleId="HeadingProcedure">
    <w:name w:val="Heading Procedure"/>
    <w:basedOn w:val="HeadingBase"/>
    <w:next w:val="Normal"/>
    <w:rsid w:val="002B2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0BA"/>
    <w:pPr>
      <w:spacing w:before="60" w:after="60"/>
    </w:pPr>
  </w:style>
  <w:style w:type="paragraph" w:styleId="ListContinue">
    <w:name w:val="List Continue"/>
    <w:basedOn w:val="List"/>
    <w:rsid w:val="002B20BA"/>
    <w:pPr>
      <w:ind w:firstLine="0"/>
    </w:pPr>
  </w:style>
  <w:style w:type="paragraph" w:customStyle="1" w:styleId="ListNote">
    <w:name w:val="List Note"/>
    <w:basedOn w:val="List"/>
    <w:rsid w:val="002B2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0BA"/>
    <w:rPr>
      <w:rFonts w:ascii="Courier New" w:hAnsi="Courier New"/>
    </w:rPr>
  </w:style>
  <w:style w:type="paragraph" w:customStyle="1" w:styleId="NoteBullet">
    <w:name w:val="Note Bullet"/>
    <w:basedOn w:val="Note"/>
    <w:rsid w:val="002B2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0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2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0BA"/>
    <w:rPr>
      <w:b/>
      <w:smallCaps/>
    </w:rPr>
  </w:style>
  <w:style w:type="paragraph" w:customStyle="1" w:styleId="TableListNumber">
    <w:name w:val="Table List Number"/>
    <w:basedOn w:val="ListNumber"/>
    <w:rsid w:val="002B2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0BA"/>
    <w:pPr>
      <w:numPr>
        <w:numId w:val="9"/>
      </w:numPr>
    </w:pPr>
  </w:style>
  <w:style w:type="paragraph" w:customStyle="1" w:styleId="ListAlpha2">
    <w:name w:val="List Alpha 2"/>
    <w:basedOn w:val="List2"/>
    <w:rsid w:val="002B20BA"/>
    <w:pPr>
      <w:numPr>
        <w:numId w:val="8"/>
      </w:numPr>
    </w:pPr>
  </w:style>
  <w:style w:type="paragraph" w:styleId="List2">
    <w:name w:val="List 2"/>
    <w:basedOn w:val="BodyText"/>
    <w:rsid w:val="002B2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0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0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20BA"/>
    <w:pPr>
      <w:numPr>
        <w:numId w:val="4"/>
      </w:numPr>
    </w:pPr>
  </w:style>
  <w:style w:type="paragraph" w:styleId="ListContinue2">
    <w:name w:val="List Continue 2"/>
    <w:basedOn w:val="List2"/>
    <w:rsid w:val="002B20BA"/>
    <w:pPr>
      <w:ind w:firstLine="0"/>
    </w:pPr>
  </w:style>
  <w:style w:type="paragraph" w:styleId="ListContinue3">
    <w:name w:val="List Continue 3"/>
    <w:basedOn w:val="List3"/>
    <w:rsid w:val="002B20BA"/>
    <w:pPr>
      <w:ind w:left="1021" w:firstLine="0"/>
    </w:pPr>
  </w:style>
  <w:style w:type="paragraph" w:styleId="ListContinue4">
    <w:name w:val="List Continue 4"/>
    <w:basedOn w:val="List4"/>
    <w:rsid w:val="002B20BA"/>
    <w:pPr>
      <w:ind w:firstLine="0"/>
    </w:pPr>
  </w:style>
  <w:style w:type="paragraph" w:styleId="ListContinue5">
    <w:name w:val="List Continue 5"/>
    <w:basedOn w:val="List5"/>
    <w:rsid w:val="002B20BA"/>
    <w:pPr>
      <w:ind w:firstLine="0"/>
    </w:pPr>
  </w:style>
  <w:style w:type="paragraph" w:styleId="ListNumber3">
    <w:name w:val="List Number 3"/>
    <w:basedOn w:val="List3"/>
    <w:rsid w:val="002B20BA"/>
    <w:pPr>
      <w:numPr>
        <w:numId w:val="5"/>
      </w:numPr>
    </w:pPr>
  </w:style>
  <w:style w:type="paragraph" w:styleId="ListNumber4">
    <w:name w:val="List Number 4"/>
    <w:basedOn w:val="List4"/>
    <w:rsid w:val="002B20BA"/>
    <w:pPr>
      <w:numPr>
        <w:numId w:val="6"/>
      </w:numPr>
    </w:pPr>
  </w:style>
  <w:style w:type="paragraph" w:styleId="ListNumber5">
    <w:name w:val="List Number 5"/>
    <w:basedOn w:val="List5"/>
    <w:rsid w:val="002B20BA"/>
    <w:pPr>
      <w:numPr>
        <w:numId w:val="7"/>
      </w:numPr>
    </w:pPr>
  </w:style>
  <w:style w:type="paragraph" w:styleId="BlockText">
    <w:name w:val="Block Text"/>
    <w:basedOn w:val="Normal"/>
    <w:rsid w:val="002B2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0BA"/>
    <w:rPr>
      <w:sz w:val="16"/>
      <w:vertAlign w:val="superscript"/>
    </w:rPr>
  </w:style>
  <w:style w:type="character" w:customStyle="1" w:styleId="Symbols">
    <w:name w:val="Symbols"/>
    <w:basedOn w:val="DefaultParagraphFont"/>
    <w:rsid w:val="002B20BA"/>
    <w:rPr>
      <w:rFonts w:ascii="Symbol" w:hAnsi="Symbol"/>
    </w:rPr>
  </w:style>
  <w:style w:type="character" w:customStyle="1" w:styleId="MenuOptions">
    <w:name w:val="Menu Options"/>
    <w:basedOn w:val="DefaultParagraphFont"/>
    <w:rsid w:val="002B2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0BA"/>
    <w:rPr>
      <w:b/>
    </w:rPr>
  </w:style>
  <w:style w:type="character" w:customStyle="1" w:styleId="Underlined">
    <w:name w:val="Underlined"/>
    <w:basedOn w:val="DefaultParagraphFont"/>
    <w:rsid w:val="002B20BA"/>
    <w:rPr>
      <w:u w:val="single"/>
    </w:rPr>
  </w:style>
  <w:style w:type="paragraph" w:customStyle="1" w:styleId="TableBodyTextRight">
    <w:name w:val="Table Body Text Right"/>
    <w:basedOn w:val="TableBodyText"/>
    <w:rsid w:val="002B2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0BA"/>
    <w:rPr>
      <w:sz w:val="18"/>
    </w:rPr>
  </w:style>
  <w:style w:type="paragraph" w:customStyle="1" w:styleId="BodySmallRight">
    <w:name w:val="Body Small Right"/>
    <w:basedOn w:val="BodyTextRight"/>
    <w:rsid w:val="002B20BA"/>
    <w:rPr>
      <w:sz w:val="18"/>
      <w:szCs w:val="18"/>
    </w:rPr>
  </w:style>
  <w:style w:type="paragraph" w:customStyle="1" w:styleId="MarginEdition">
    <w:name w:val="Margin Edition"/>
    <w:basedOn w:val="MarginNote"/>
    <w:rsid w:val="002B2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0BA"/>
    <w:rPr>
      <w:sz w:val="2"/>
      <w:szCs w:val="2"/>
    </w:rPr>
  </w:style>
  <w:style w:type="character" w:customStyle="1" w:styleId="Small">
    <w:name w:val="Small"/>
    <w:basedOn w:val="DefaultParagraphFont"/>
    <w:rsid w:val="002B20BA"/>
    <w:rPr>
      <w:sz w:val="16"/>
    </w:rPr>
  </w:style>
  <w:style w:type="paragraph" w:customStyle="1" w:styleId="WideTable">
    <w:name w:val="Wide Table"/>
    <w:basedOn w:val="Normal"/>
    <w:rsid w:val="002B2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0BA"/>
  </w:style>
  <w:style w:type="paragraph" w:styleId="Quote">
    <w:name w:val="Quote"/>
    <w:basedOn w:val="Heading1"/>
    <w:link w:val="QuoteChar"/>
    <w:qFormat/>
    <w:rsid w:val="002B2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0BA"/>
    <w:pPr>
      <w:pageBreakBefore/>
    </w:pPr>
  </w:style>
  <w:style w:type="paragraph" w:customStyle="1" w:styleId="Border">
    <w:name w:val="Border"/>
    <w:basedOn w:val="Normal"/>
    <w:qFormat/>
    <w:rsid w:val="002B2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0BA"/>
    <w:rPr>
      <w:u w:val="single"/>
    </w:rPr>
  </w:style>
  <w:style w:type="character" w:customStyle="1" w:styleId="BoldandItalics">
    <w:name w:val="Bold and Italics"/>
    <w:qFormat/>
    <w:rsid w:val="002B20BA"/>
    <w:rPr>
      <w:b/>
      <w:i/>
      <w:u w:val="none"/>
    </w:rPr>
  </w:style>
  <w:style w:type="paragraph" w:styleId="BalloonText">
    <w:name w:val="Balloon Text"/>
    <w:basedOn w:val="Normal"/>
    <w:link w:val="BalloonTextChar"/>
    <w:rsid w:val="002B2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0BA"/>
    <w:pPr>
      <w:spacing w:before="0" w:after="0"/>
    </w:pPr>
  </w:style>
  <w:style w:type="paragraph" w:customStyle="1" w:styleId="BodyTextBold">
    <w:name w:val="Body Text Bold"/>
    <w:basedOn w:val="BodyText"/>
    <w:qFormat/>
    <w:rsid w:val="002B20BA"/>
    <w:rPr>
      <w:b/>
    </w:rPr>
  </w:style>
  <w:style w:type="character" w:styleId="Hyperlink">
    <w:name w:val="Hyperlink"/>
    <w:basedOn w:val="DefaultParagraphFont"/>
    <w:uiPriority w:val="99"/>
    <w:unhideWhenUsed/>
    <w:rsid w:val="00AD7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882</Words>
  <Characters>5633</Characters>
  <Application>Microsoft Office Word</Application>
  <DocSecurity>0</DocSecurity>
  <Lines>144</Lines>
  <Paragraphs>103</Paragraphs>
  <ScaleCrop>false</ScaleCrop>
  <Company>Author-it Software Corporation Ltd.</Company>
  <LinksUpToDate>false</LinksUpToDate>
  <CharactersWithSpaces>6412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RIICFW306D Direct pile driving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2020-09-23T08:51:00Z</dcterms:created>
  <dcterms:modified xsi:type="dcterms:W3CDTF">2020-09-23T08:52:00Z</dcterms:modified>
</cp:coreProperties>
</file>