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4CF" w:rsidP="00BC74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RIICFW302D Install temporary and permanent rock anchors</w:t>
      </w:r>
      <w:r>
        <w:fldChar w:fldCharType="end"/>
      </w:r>
    </w:p>
    <w:p w:rsidR="00BC74CF" w:rsidP="00BC74CF">
      <w:pPr>
        <w:pStyle w:val="Version"/>
        <w:sectPr w:rsidSect="001A61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61DC" w:rsidP="001A61DC">
      <w:pPr>
        <w:pStyle w:val="SuperHeading"/>
      </w:pPr>
      <w:r w:rsidRPr="001A61DC">
        <w:t>RIICFW302D Install temporary and permanent rock anchors</w:t>
      </w:r>
    </w:p>
    <w:p w:rsidR="00000000" w:rsidRPr="001A61DC" w:rsidP="001A61DC">
      <w:pPr>
        <w:pStyle w:val="Heading1"/>
      </w:pPr>
      <w:bookmarkStart w:id="1" w:name="O_681686"/>
      <w:bookmarkEnd w:id="1"/>
      <w:r w:rsidRPr="001A61DC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80"/>
      </w:tblGrid>
      <w:tr w:rsidTr="00BC74CF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DC">
            <w:pPr>
              <w:pStyle w:val="BodyText"/>
              <w:rPr>
                <w:lang w:val="en-NZ"/>
              </w:rPr>
            </w:pPr>
            <w:r w:rsidRPr="001A61DC">
              <w:t>Release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DC">
            <w:pPr>
              <w:pStyle w:val="BodyText"/>
              <w:rPr>
                <w:lang w:val="en-NZ"/>
              </w:rPr>
            </w:pPr>
            <w:r w:rsidRPr="001A61DC">
              <w:t>Comment</w:t>
            </w:r>
          </w:p>
        </w:tc>
      </w:tr>
      <w:tr w:rsidTr="00BC74CF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DC">
            <w:pPr>
              <w:pStyle w:val="BodyText"/>
              <w:rPr>
                <w:lang w:val="en-NZ"/>
              </w:rPr>
            </w:pPr>
            <w:r w:rsidRPr="001A61DC">
              <w:t>1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DC">
            <w:pPr>
              <w:pStyle w:val="BodyText"/>
              <w:rPr>
                <w:lang w:val="en-NZ"/>
              </w:rPr>
            </w:pPr>
            <w:r w:rsidRPr="001A61DC">
              <w:t>This unit replaces RIICFW302A Install temporary and permanent rock anchors</w:t>
            </w:r>
          </w:p>
        </w:tc>
      </w:tr>
      <w:tr w:rsidTr="00BC74CF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DC">
            <w:pPr>
              <w:pStyle w:val="BodyText"/>
              <w:rPr>
                <w:lang w:val="en-NZ"/>
              </w:rPr>
            </w:pPr>
            <w:r w:rsidRPr="001A61DC">
              <w:t>2</w:t>
            </w:r>
          </w:p>
        </w:tc>
        <w:tc>
          <w:tcPr>
            <w:tcW w:w="8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DC" w:rsidP="001A61DC">
            <w:pPr>
              <w:pStyle w:val="BodyText"/>
            </w:pPr>
            <w:r w:rsidRPr="001A61DC">
              <w:t>Required frequency and volume of evidence amended in Performance evidence.</w:t>
            </w:r>
          </w:p>
          <w:p w:rsidR="00000000" w:rsidRPr="001A61DC" w:rsidP="001A61DC">
            <w:pPr>
              <w:pStyle w:val="BodyText"/>
            </w:pPr>
            <w:r w:rsidRPr="001A61DC">
              <w:t>Substantial amendments made in Assessment Condi</w:t>
            </w:r>
            <w:r w:rsidRPr="001A61DC">
              <w:t>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A61DC" w:rsidP="001A61DC">
      <w:pPr>
        <w:pStyle w:val="BodyText"/>
      </w:pPr>
    </w:p>
    <w:p w:rsidR="00000000" w:rsidRPr="001A61DC" w:rsidP="001A61DC">
      <w:pPr>
        <w:pStyle w:val="AllowPageBreak"/>
      </w:pPr>
    </w:p>
    <w:p w:rsidR="00000000" w:rsidRPr="001A61DC" w:rsidP="001A61DC">
      <w:pPr>
        <w:pStyle w:val="Heading1"/>
      </w:pPr>
      <w:bookmarkStart w:id="2" w:name="O_681685"/>
      <w:bookmarkEnd w:id="2"/>
      <w:r w:rsidRPr="001A61DC">
        <w:t>Application</w:t>
      </w:r>
    </w:p>
    <w:p w:rsidR="00000000" w:rsidRPr="001A61DC" w:rsidP="00BC74CF">
      <w:pPr>
        <w:pStyle w:val="BodyText"/>
      </w:pPr>
      <w:r w:rsidRPr="001A61DC">
        <w:t>This unit describes a participant’s skills and</w:t>
      </w:r>
      <w:r w:rsidRPr="001A61DC">
        <w:t xml:space="preserve"> knowledge required to install temporary and permanent rock anchors in Civil Construction.</w:t>
      </w:r>
    </w:p>
    <w:p w:rsidR="00000000" w:rsidRPr="001A61DC" w:rsidP="00BC74CF">
      <w:pPr>
        <w:pStyle w:val="BodyText"/>
      </w:pPr>
      <w:r w:rsidRPr="001A61DC">
        <w:t xml:space="preserve">This unit is appropriate for those working in operational roles. </w:t>
      </w:r>
    </w:p>
    <w:p w:rsidR="00BC74CF" w:rsidP="00BC74CF">
      <w:pPr>
        <w:pStyle w:val="BodyText"/>
      </w:pPr>
      <w:r w:rsidRPr="001A61DC">
        <w:t>No licensing or certification requirements apply to this unit at the time of publication.</w:t>
      </w:r>
    </w:p>
    <w:p w:rsidR="00000000" w:rsidRPr="001A61DC" w:rsidP="001A61DC">
      <w:pPr>
        <w:pStyle w:val="Heading1"/>
      </w:pPr>
      <w:bookmarkStart w:id="3" w:name="O_681684"/>
      <w:bookmarkEnd w:id="3"/>
      <w:r w:rsidRPr="001A61DC">
        <w:t>Unit Sector</w:t>
      </w:r>
    </w:p>
    <w:p w:rsidR="00000000" w:rsidRPr="001A61DC" w:rsidP="00BC74CF">
      <w:pPr>
        <w:pStyle w:val="BodyText"/>
      </w:pPr>
      <w:r w:rsidRPr="001A61DC">
        <w:t>Civil construction</w:t>
      </w:r>
    </w:p>
    <w:p w:rsidR="00000000" w:rsidRPr="001A61DC" w:rsidP="001A61DC">
      <w:pPr>
        <w:pStyle w:val="Heading1"/>
      </w:pPr>
      <w:bookmarkStart w:id="4" w:name="O_681683"/>
      <w:bookmarkEnd w:id="4"/>
      <w:r w:rsidRPr="001A61D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A61D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DC">
            <w:pPr>
              <w:pStyle w:val="BodyText"/>
              <w:rPr>
                <w:lang w:val="en-NZ"/>
              </w:rPr>
            </w:pPr>
            <w:r w:rsidRPr="001A61DC">
              <w:t>1.</w:t>
            </w:r>
            <w:r w:rsidRPr="001A61DC">
              <w:tab/>
              <w:t>Plan and prepare for rock anchor installation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DC" w:rsidP="001A61DC">
            <w:pPr>
              <w:pStyle w:val="BodyText"/>
            </w:pPr>
            <w:r w:rsidRPr="001A61DC">
              <w:t>1.1</w:t>
            </w:r>
            <w:r w:rsidRPr="001A61DC">
              <w:tab/>
              <w:t>Access, interpret and apply rock anchor installation documentation and ensure the work activity is compliant</w:t>
            </w:r>
          </w:p>
          <w:p w:rsidR="00000000" w:rsidRPr="001A61DC" w:rsidP="001A61DC">
            <w:pPr>
              <w:pStyle w:val="BodyText"/>
            </w:pPr>
            <w:r w:rsidRPr="001A61DC">
              <w:t>1.2</w:t>
            </w:r>
            <w:r w:rsidRPr="001A61DC">
              <w:tab/>
              <w:t xml:space="preserve">Obtain, interpret and clarify  work instructions before proceeding </w:t>
            </w:r>
          </w:p>
          <w:p w:rsidR="00000000" w:rsidRPr="001A61DC" w:rsidP="001A61DC">
            <w:pPr>
              <w:pStyle w:val="BodyText"/>
            </w:pPr>
            <w:r w:rsidRPr="001A61DC">
              <w:t>1.3</w:t>
            </w:r>
            <w:r w:rsidRPr="001A61DC">
              <w:tab/>
              <w:t xml:space="preserve">Confirm and apply environmental protection and safety requirements </w:t>
            </w:r>
          </w:p>
          <w:p w:rsidR="00000000" w:rsidRPr="001A61DC" w:rsidP="001A61DC">
            <w:pPr>
              <w:pStyle w:val="BodyText"/>
            </w:pPr>
            <w:r w:rsidRPr="001A61DC">
              <w:t>1.4</w:t>
            </w:r>
            <w:r w:rsidRPr="001A61DC">
              <w:tab/>
              <w:t xml:space="preserve">Obtain, interpret and implement traffic management signage requirements </w:t>
            </w:r>
          </w:p>
          <w:p w:rsidR="00000000" w:rsidRPr="001A61DC" w:rsidP="001A61DC">
            <w:pPr>
              <w:pStyle w:val="BodyText"/>
            </w:pPr>
            <w:r w:rsidRPr="001A61DC">
              <w:t>1.5</w:t>
            </w:r>
            <w:r w:rsidRPr="001A61DC">
              <w:tab/>
              <w:t>Select, and check for faults, plan</w:t>
            </w:r>
            <w:r w:rsidRPr="001A61DC">
              <w:t>t, tools and equipment to carry out tasks</w:t>
            </w:r>
          </w:p>
          <w:p w:rsidR="00000000" w:rsidRPr="001A61DC" w:rsidP="001A61DC">
            <w:pPr>
              <w:pStyle w:val="BodyText"/>
            </w:pPr>
            <w:r w:rsidRPr="001A61DC">
              <w:t>1.6</w:t>
            </w:r>
            <w:r w:rsidRPr="001A61DC">
              <w:tab/>
              <w:t>Select and wear personal protective equipment appropriate for work activities</w:t>
            </w:r>
          </w:p>
          <w:p w:rsidR="00000000" w:rsidRPr="001A61DC" w:rsidP="001A61DC">
            <w:pPr>
              <w:pStyle w:val="BodyText"/>
            </w:pPr>
            <w:r w:rsidRPr="001A61DC">
              <w:t>1.7</w:t>
            </w:r>
            <w:r w:rsidRPr="001A61DC">
              <w:tab/>
              <w:t xml:space="preserve">Identify, address and report potential hazards and risks </w:t>
            </w:r>
          </w:p>
          <w:p w:rsidR="00000000" w:rsidP="001A61DC">
            <w:pPr>
              <w:pStyle w:val="BodyText"/>
              <w:rPr>
                <w:lang w:val="en-NZ"/>
              </w:rPr>
            </w:pPr>
            <w:r w:rsidRPr="001A61DC">
              <w:t>1.8</w:t>
            </w:r>
            <w:r w:rsidRPr="001A61DC">
              <w:tab/>
              <w:t>Obtain and interpret emergency procedures, and be prepared for fir</w:t>
            </w:r>
            <w:r w:rsidRPr="001A61DC">
              <w:t>e/accident/emergency</w:t>
            </w:r>
          </w:p>
        </w:tc>
      </w:tr>
      <w:tr w:rsidTr="001A61D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DC">
            <w:pPr>
              <w:pStyle w:val="BodyText"/>
              <w:rPr>
                <w:lang w:val="en-NZ"/>
              </w:rPr>
            </w:pPr>
            <w:r w:rsidRPr="001A61DC">
              <w:t>2.</w:t>
            </w:r>
            <w:r w:rsidRPr="001A61DC">
              <w:tab/>
              <w:t>Set up and prepare anchor holes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DC" w:rsidP="001A61DC">
            <w:pPr>
              <w:pStyle w:val="BodyText"/>
            </w:pPr>
            <w:r w:rsidRPr="001A61DC">
              <w:t>2.1</w:t>
            </w:r>
            <w:r w:rsidRPr="001A61DC">
              <w:tab/>
              <w:t>Ensure holes are drilled to specified diameter and depth</w:t>
            </w:r>
          </w:p>
          <w:p w:rsidR="00000000" w:rsidRPr="001A61DC" w:rsidP="001A61DC">
            <w:pPr>
              <w:pStyle w:val="BodyText"/>
            </w:pPr>
            <w:r w:rsidRPr="001A61DC">
              <w:t>2.2</w:t>
            </w:r>
            <w:r w:rsidRPr="001A61DC">
              <w:tab/>
              <w:t xml:space="preserve">Ensure holes are cleaned </w:t>
            </w:r>
          </w:p>
          <w:p w:rsidR="00000000" w:rsidRPr="001A61DC" w:rsidP="001A61DC">
            <w:pPr>
              <w:pStyle w:val="BodyText"/>
            </w:pPr>
            <w:r w:rsidRPr="001A61DC">
              <w:t>2.3</w:t>
            </w:r>
            <w:r w:rsidRPr="001A61DC">
              <w:tab/>
              <w:t xml:space="preserve">Ensure bond length of holes for permanent anchors are tested for leakage to specified rate and grouted, </w:t>
            </w:r>
            <w:r w:rsidRPr="001A61DC">
              <w:t>re-drilled and retested</w:t>
            </w:r>
          </w:p>
          <w:p w:rsidR="00000000" w:rsidP="001A61DC">
            <w:pPr>
              <w:pStyle w:val="BodyText"/>
              <w:rPr>
                <w:lang w:val="en-NZ"/>
              </w:rPr>
            </w:pPr>
            <w:r w:rsidRPr="001A61DC">
              <w:t>2.4</w:t>
            </w:r>
            <w:r w:rsidRPr="001A61DC">
              <w:tab/>
              <w:t>Ensure holes are temporarily covered to prevent entry of foreign material</w:t>
            </w:r>
          </w:p>
        </w:tc>
      </w:tr>
      <w:tr w:rsidTr="001A61D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DC">
            <w:pPr>
              <w:pStyle w:val="BodyText"/>
              <w:rPr>
                <w:lang w:val="en-NZ"/>
              </w:rPr>
            </w:pPr>
            <w:r w:rsidRPr="001A61DC">
              <w:t>3.</w:t>
            </w:r>
            <w:r w:rsidRPr="001A61DC">
              <w:tab/>
              <w:t>Install anchors to anchor holes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DC" w:rsidP="001A61DC">
            <w:pPr>
              <w:pStyle w:val="BodyText"/>
            </w:pPr>
            <w:r w:rsidRPr="001A61DC">
              <w:t>3.1</w:t>
            </w:r>
            <w:r w:rsidRPr="001A61DC">
              <w:tab/>
              <w:t>Check components to verify conformity with job requirements</w:t>
            </w:r>
          </w:p>
          <w:p w:rsidR="00000000" w:rsidRPr="001A61DC" w:rsidP="001A61DC">
            <w:pPr>
              <w:pStyle w:val="BodyText"/>
            </w:pPr>
            <w:r w:rsidRPr="001A61DC">
              <w:t>3.2</w:t>
            </w:r>
            <w:r w:rsidRPr="001A61DC">
              <w:tab/>
              <w:t>Grease, sheathe and assemble anchors to specificat</w:t>
            </w:r>
            <w:r w:rsidRPr="001A61DC">
              <w:t>ions</w:t>
            </w:r>
          </w:p>
          <w:p w:rsidR="00000000" w:rsidRPr="001A61DC" w:rsidP="001A61DC">
            <w:pPr>
              <w:pStyle w:val="BodyText"/>
            </w:pPr>
            <w:r w:rsidRPr="001A61DC">
              <w:t>3.3</w:t>
            </w:r>
            <w:r w:rsidRPr="001A61DC">
              <w:tab/>
              <w:t>Prepare temporary anchors with spacers and fit grout tubes</w:t>
            </w:r>
          </w:p>
          <w:p w:rsidR="00000000" w:rsidRPr="001A61DC" w:rsidP="001A61DC">
            <w:pPr>
              <w:pStyle w:val="BodyText"/>
            </w:pPr>
            <w:r w:rsidRPr="001A61DC">
              <w:t>3.4</w:t>
            </w:r>
            <w:r w:rsidRPr="001A61DC">
              <w:tab/>
              <w:t>Prepare permanent anchors with spacers, fit grout tubes and prepare external polyethylene sheath</w:t>
            </w:r>
          </w:p>
          <w:p w:rsidR="00000000" w:rsidRPr="001A61DC" w:rsidP="001A61DC">
            <w:pPr>
              <w:pStyle w:val="BodyText"/>
            </w:pPr>
            <w:r w:rsidRPr="001A61DC">
              <w:t>3.5</w:t>
            </w:r>
            <w:r w:rsidRPr="001A61DC">
              <w:tab/>
              <w:t>Install anchors and sheaths to full depth, without damage and to specifications</w:t>
            </w:r>
          </w:p>
          <w:p w:rsidR="00000000" w:rsidRPr="001A61DC" w:rsidP="001A61DC">
            <w:pPr>
              <w:pStyle w:val="BodyText"/>
            </w:pPr>
            <w:r w:rsidRPr="001A61DC">
              <w:t>3.6</w:t>
            </w:r>
            <w:r w:rsidRPr="001A61DC">
              <w:tab/>
              <w:t>Set up grouting plant and flow monitoring apparatus to design requirements</w:t>
            </w:r>
          </w:p>
          <w:p w:rsidR="00000000" w:rsidP="001A61DC">
            <w:pPr>
              <w:pStyle w:val="BodyText"/>
              <w:rPr>
                <w:lang w:val="en-NZ"/>
              </w:rPr>
            </w:pPr>
            <w:r w:rsidRPr="001A61DC">
              <w:t>3.7</w:t>
            </w:r>
            <w:r w:rsidRPr="001A61DC">
              <w:tab/>
              <w:t>Mix and pump grout into hole</w:t>
            </w:r>
          </w:p>
        </w:tc>
      </w:tr>
      <w:tr w:rsidTr="001A61D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DC">
            <w:pPr>
              <w:pStyle w:val="BodyText"/>
              <w:rPr>
                <w:lang w:val="en-NZ"/>
              </w:rPr>
            </w:pPr>
            <w:r w:rsidRPr="001A61DC">
              <w:t>4.</w:t>
            </w:r>
            <w:r w:rsidRPr="001A61DC">
              <w:tab/>
              <w:t>Set up anchorage assembly and stress anchors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DC" w:rsidP="001A61DC">
            <w:pPr>
              <w:pStyle w:val="BodyText"/>
            </w:pPr>
            <w:r w:rsidRPr="001A61DC">
              <w:t>4.1</w:t>
            </w:r>
            <w:r w:rsidRPr="001A61DC">
              <w:tab/>
              <w:t xml:space="preserve">Position anchorage using packing materials </w:t>
            </w:r>
          </w:p>
          <w:p w:rsidR="00000000" w:rsidRPr="001A61DC" w:rsidP="001A61DC">
            <w:pPr>
              <w:pStyle w:val="BodyText"/>
            </w:pPr>
            <w:r w:rsidRPr="001A61DC">
              <w:t>4.2</w:t>
            </w:r>
            <w:r w:rsidRPr="001A61DC">
              <w:tab/>
              <w:t>Stress anchors to nominated loads</w:t>
            </w:r>
          </w:p>
          <w:p w:rsidR="00000000" w:rsidRPr="001A61DC" w:rsidP="001A61DC">
            <w:pPr>
              <w:pStyle w:val="BodyText"/>
            </w:pPr>
            <w:r w:rsidRPr="001A61DC">
              <w:t>4.3</w:t>
            </w:r>
            <w:r w:rsidRPr="001A61DC">
              <w:tab/>
              <w:t>Lock off</w:t>
            </w:r>
            <w:r w:rsidRPr="001A61DC">
              <w:t xml:space="preserve"> anchors to nominated loads </w:t>
            </w:r>
          </w:p>
          <w:p w:rsidR="00000000" w:rsidRPr="001A61DC" w:rsidP="001A61DC">
            <w:pPr>
              <w:pStyle w:val="BodyText"/>
            </w:pPr>
            <w:r w:rsidRPr="001A61DC">
              <w:t>4.4</w:t>
            </w:r>
            <w:r w:rsidRPr="001A61DC">
              <w:tab/>
              <w:t>Install mesh to job specification</w:t>
            </w:r>
          </w:p>
          <w:p w:rsidR="00000000" w:rsidRPr="001A61DC" w:rsidP="001A61DC">
            <w:pPr>
              <w:pStyle w:val="BodyText"/>
            </w:pPr>
            <w:r w:rsidRPr="001A61DC">
              <w:t>4.5</w:t>
            </w:r>
            <w:r w:rsidRPr="001A61DC">
              <w:tab/>
              <w:t>Apply shotcrete to design depth, tolerance and job specification</w:t>
            </w:r>
          </w:p>
          <w:p w:rsidR="00000000" w:rsidRPr="001A61DC" w:rsidP="001A61DC">
            <w:pPr>
              <w:pStyle w:val="BodyText"/>
            </w:pPr>
            <w:r w:rsidRPr="001A61DC">
              <w:t>4.6</w:t>
            </w:r>
            <w:r w:rsidRPr="001A61DC">
              <w:tab/>
              <w:t>Monitor permanent anchors at scheduled intervals, and  determine and record anchor’s residual load</w:t>
            </w:r>
          </w:p>
          <w:p w:rsidR="00000000" w:rsidP="001A61DC">
            <w:pPr>
              <w:pStyle w:val="BodyText"/>
              <w:rPr>
                <w:lang w:val="en-NZ"/>
              </w:rPr>
            </w:pPr>
            <w:r w:rsidRPr="001A61DC">
              <w:t>4.7</w:t>
            </w:r>
            <w:r w:rsidRPr="001A61DC">
              <w:tab/>
              <w:t>Cut anchors w</w:t>
            </w:r>
            <w:r w:rsidRPr="001A61DC">
              <w:t>here required and seal</w:t>
            </w:r>
          </w:p>
        </w:tc>
      </w:tr>
      <w:tr w:rsidTr="001A61D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DC">
            <w:pPr>
              <w:pStyle w:val="BodyText"/>
              <w:rPr>
                <w:lang w:val="en-NZ"/>
              </w:rPr>
            </w:pPr>
            <w:r w:rsidRPr="001A61DC">
              <w:t>5.</w:t>
            </w:r>
            <w:r w:rsidRPr="001A61DC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DC" w:rsidP="001A61DC">
            <w:pPr>
              <w:pStyle w:val="BodyText"/>
            </w:pPr>
            <w:r w:rsidRPr="001A61DC">
              <w:t>5.1</w:t>
            </w:r>
            <w:r w:rsidRPr="001A61DC">
              <w:tab/>
              <w:t xml:space="preserve">Clear work area and dispose of/or recycle materials </w:t>
            </w:r>
          </w:p>
          <w:p w:rsidR="00000000" w:rsidRPr="001A61DC" w:rsidP="001A61DC">
            <w:pPr>
              <w:pStyle w:val="BodyText"/>
            </w:pPr>
            <w:r w:rsidRPr="001A61DC">
              <w:t>5.2</w:t>
            </w:r>
            <w:r w:rsidRPr="001A61DC">
              <w:tab/>
              <w:t>Clean, check, maintain and store plant, tools and equipment</w:t>
            </w:r>
          </w:p>
        </w:tc>
      </w:tr>
    </w:tbl>
    <w:p w:rsidR="00BC74CF" w:rsidP="001A61DC">
      <w:pPr>
        <w:pStyle w:val="BodyText"/>
      </w:pPr>
    </w:p>
    <w:p w:rsidR="00BC74CF" w:rsidP="001A61DC">
      <w:pPr>
        <w:pStyle w:val="BodyText"/>
      </w:pPr>
    </w:p>
    <w:p w:rsidR="00000000" w:rsidRPr="001A61DC" w:rsidP="001A61DC">
      <w:pPr>
        <w:pStyle w:val="Heading1"/>
      </w:pPr>
      <w:bookmarkStart w:id="5" w:name="O_681682"/>
      <w:bookmarkEnd w:id="5"/>
      <w:r w:rsidRPr="001A61DC">
        <w:t>Foundation Skills</w:t>
      </w:r>
    </w:p>
    <w:p w:rsidR="00BC74CF" w:rsidP="00BC74CF">
      <w:pPr>
        <w:pStyle w:val="BodyText"/>
      </w:pPr>
      <w:r w:rsidRPr="001A61D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1A61DC" w:rsidP="001A61DC">
      <w:pPr>
        <w:pStyle w:val="Heading1"/>
      </w:pPr>
      <w:bookmarkStart w:id="6" w:name="O_681681"/>
      <w:bookmarkEnd w:id="6"/>
      <w:r w:rsidRPr="001A61DC">
        <w:t>Unit Mapping Information</w:t>
      </w:r>
    </w:p>
    <w:p w:rsidR="00000000" w:rsidRPr="001A61DC" w:rsidP="00BC74CF">
      <w:pPr>
        <w:pStyle w:val="BodyText"/>
      </w:pPr>
      <w:r w:rsidRPr="001A61DC">
        <w:t>RI</w:t>
      </w:r>
      <w:r w:rsidRPr="001A61DC">
        <w:t>ICFW302A Install temporary and permanent rock anchors</w:t>
      </w:r>
    </w:p>
    <w:p w:rsidR="00000000" w:rsidRPr="001A61DC" w:rsidP="001A61DC">
      <w:pPr>
        <w:pStyle w:val="Heading1"/>
      </w:pPr>
      <w:bookmarkStart w:id="7" w:name="O_681687"/>
      <w:bookmarkEnd w:id="7"/>
      <w:r w:rsidRPr="001A61DC">
        <w:t>Links</w:t>
      </w:r>
    </w:p>
    <w:p w:rsidR="00000000" w:rsidRPr="001A61DC" w:rsidP="00BC74CF">
      <w:pPr>
        <w:pStyle w:val="BodyText"/>
      </w:pPr>
      <w:r w:rsidRPr="001A61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83AB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A61DC" w:rsidP="001A61DC"/>
    <w:sectPr w:rsidSect="001A61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DC" w:rsidRPr="00BC74CF" w:rsidP="00BC74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4CF" w:rsidP="001A61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74CF" w:rsidP="001A61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74CF" w:rsidP="001A61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4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1DC" w:rsidRPr="00BC74CF" w:rsidP="00BC74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4CF" w:rsidRPr="002D2AF8" w:rsidP="001A61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RIICFW302D Install temporary and permanent rock anchors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February 2021</w:t>
    </w:r>
    <w:r>
      <w:fldChar w:fldCharType="end"/>
    </w:r>
  </w:p>
  <w:p w:rsidR="00BC74CF" w:rsidP="001A61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1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1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1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1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1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1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1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1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1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1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1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1DC"/>
  </w:style>
  <w:style w:type="character" w:customStyle="1" w:styleId="Heading1Char">
    <w:name w:val="Heading 1 Char"/>
    <w:basedOn w:val="DefaultParagraphFont"/>
    <w:link w:val="Heading1"/>
    <w:rsid w:val="001A61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1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1D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A61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1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61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1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1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1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1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1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1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1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1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1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1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1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1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1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1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61D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61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61DC"/>
    <w:rPr>
      <w:b/>
      <w:spacing w:val="0"/>
    </w:rPr>
  </w:style>
  <w:style w:type="paragraph" w:customStyle="1" w:styleId="SuperTitle">
    <w:name w:val="SuperTitle"/>
    <w:basedOn w:val="Title"/>
    <w:rsid w:val="001A61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1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1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61D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61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1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1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1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1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1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1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1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1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61DC"/>
    <w:rPr>
      <w:i/>
    </w:rPr>
  </w:style>
  <w:style w:type="paragraph" w:styleId="Caption">
    <w:name w:val="caption"/>
    <w:basedOn w:val="BodyText"/>
    <w:next w:val="Normal"/>
    <w:qFormat/>
    <w:rsid w:val="001A61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1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1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1DC"/>
  </w:style>
  <w:style w:type="paragraph" w:styleId="TableofFigures">
    <w:name w:val="table of figures"/>
    <w:basedOn w:val="Normal"/>
    <w:next w:val="Normal"/>
    <w:semiHidden/>
    <w:rsid w:val="001A61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1D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61DC"/>
    <w:rPr>
      <w:rFonts w:ascii="Wingdings" w:hAnsi="Wingdings"/>
    </w:rPr>
  </w:style>
  <w:style w:type="paragraph" w:customStyle="1" w:styleId="TableHeading">
    <w:name w:val="Table Heading"/>
    <w:basedOn w:val="HeadingBase"/>
    <w:rsid w:val="001A61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1DC"/>
    <w:rPr>
      <w:color w:val="0033CC"/>
      <w:u w:val="none"/>
    </w:rPr>
  </w:style>
  <w:style w:type="paragraph" w:customStyle="1" w:styleId="BodyTextRight">
    <w:name w:val="Body Text Right"/>
    <w:basedOn w:val="BodyText"/>
    <w:rsid w:val="001A61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1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1D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1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1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1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1DC"/>
    <w:rPr>
      <w:sz w:val="32"/>
    </w:rPr>
  </w:style>
  <w:style w:type="paragraph" w:customStyle="1" w:styleId="HeadingProcedure">
    <w:name w:val="Heading Procedure"/>
    <w:basedOn w:val="HeadingBase"/>
    <w:next w:val="Normal"/>
    <w:rsid w:val="001A61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1DC"/>
    <w:pPr>
      <w:spacing w:before="60" w:after="60"/>
    </w:pPr>
  </w:style>
  <w:style w:type="paragraph" w:styleId="ListContinue">
    <w:name w:val="List Continue"/>
    <w:basedOn w:val="List"/>
    <w:rsid w:val="001A61DC"/>
    <w:pPr>
      <w:ind w:firstLine="0"/>
    </w:pPr>
  </w:style>
  <w:style w:type="paragraph" w:customStyle="1" w:styleId="ListNote">
    <w:name w:val="List Note"/>
    <w:basedOn w:val="List"/>
    <w:rsid w:val="001A61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1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1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1DC"/>
    <w:rPr>
      <w:rFonts w:ascii="Courier New" w:hAnsi="Courier New"/>
    </w:rPr>
  </w:style>
  <w:style w:type="paragraph" w:customStyle="1" w:styleId="NoteBullet">
    <w:name w:val="Note Bullet"/>
    <w:basedOn w:val="Note"/>
    <w:rsid w:val="001A61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1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1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1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1D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61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1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1DC"/>
    <w:rPr>
      <w:b/>
      <w:smallCaps/>
    </w:rPr>
  </w:style>
  <w:style w:type="paragraph" w:customStyle="1" w:styleId="TableListNumber">
    <w:name w:val="Table List Number"/>
    <w:basedOn w:val="ListNumber"/>
    <w:rsid w:val="001A61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1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1DC"/>
    <w:pPr>
      <w:numPr>
        <w:numId w:val="7"/>
      </w:numPr>
    </w:pPr>
  </w:style>
  <w:style w:type="paragraph" w:customStyle="1" w:styleId="ListAlpha2">
    <w:name w:val="List Alpha 2"/>
    <w:basedOn w:val="List2"/>
    <w:rsid w:val="001A61DC"/>
    <w:pPr>
      <w:numPr>
        <w:numId w:val="6"/>
      </w:numPr>
    </w:pPr>
  </w:style>
  <w:style w:type="paragraph" w:styleId="List2">
    <w:name w:val="List 2"/>
    <w:basedOn w:val="BodyText"/>
    <w:rsid w:val="001A61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1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1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1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1D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1D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61DC"/>
    <w:pPr>
      <w:numPr>
        <w:numId w:val="2"/>
      </w:numPr>
    </w:pPr>
  </w:style>
  <w:style w:type="paragraph" w:styleId="ListContinue2">
    <w:name w:val="List Continue 2"/>
    <w:basedOn w:val="List2"/>
    <w:rsid w:val="001A61DC"/>
    <w:pPr>
      <w:ind w:firstLine="0"/>
    </w:pPr>
  </w:style>
  <w:style w:type="paragraph" w:styleId="ListContinue3">
    <w:name w:val="List Continue 3"/>
    <w:basedOn w:val="List3"/>
    <w:rsid w:val="001A61DC"/>
    <w:pPr>
      <w:ind w:left="1021" w:firstLine="0"/>
    </w:pPr>
  </w:style>
  <w:style w:type="paragraph" w:styleId="ListContinue4">
    <w:name w:val="List Continue 4"/>
    <w:basedOn w:val="List4"/>
    <w:rsid w:val="001A61DC"/>
    <w:pPr>
      <w:ind w:firstLine="0"/>
    </w:pPr>
  </w:style>
  <w:style w:type="paragraph" w:styleId="ListContinue5">
    <w:name w:val="List Continue 5"/>
    <w:basedOn w:val="List5"/>
    <w:rsid w:val="001A61DC"/>
    <w:pPr>
      <w:ind w:firstLine="0"/>
    </w:pPr>
  </w:style>
  <w:style w:type="paragraph" w:styleId="ListNumber3">
    <w:name w:val="List Number 3"/>
    <w:basedOn w:val="List3"/>
    <w:rsid w:val="001A61DC"/>
    <w:pPr>
      <w:numPr>
        <w:numId w:val="3"/>
      </w:numPr>
    </w:pPr>
  </w:style>
  <w:style w:type="paragraph" w:styleId="ListNumber4">
    <w:name w:val="List Number 4"/>
    <w:basedOn w:val="List4"/>
    <w:rsid w:val="001A61DC"/>
    <w:pPr>
      <w:numPr>
        <w:numId w:val="4"/>
      </w:numPr>
    </w:pPr>
  </w:style>
  <w:style w:type="paragraph" w:styleId="ListNumber5">
    <w:name w:val="List Number 5"/>
    <w:basedOn w:val="List5"/>
    <w:rsid w:val="001A61DC"/>
    <w:pPr>
      <w:numPr>
        <w:numId w:val="5"/>
      </w:numPr>
    </w:pPr>
  </w:style>
  <w:style w:type="paragraph" w:styleId="BlockText">
    <w:name w:val="Block Text"/>
    <w:basedOn w:val="Normal"/>
    <w:rsid w:val="001A61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1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1DC"/>
    <w:rPr>
      <w:sz w:val="16"/>
      <w:vertAlign w:val="superscript"/>
    </w:rPr>
  </w:style>
  <w:style w:type="character" w:customStyle="1" w:styleId="Symbols">
    <w:name w:val="Symbols"/>
    <w:basedOn w:val="DefaultParagraphFont"/>
    <w:rsid w:val="001A61DC"/>
    <w:rPr>
      <w:rFonts w:ascii="Symbol" w:hAnsi="Symbol"/>
    </w:rPr>
  </w:style>
  <w:style w:type="character" w:customStyle="1" w:styleId="MenuOptions">
    <w:name w:val="Menu Options"/>
    <w:basedOn w:val="DefaultParagraphFont"/>
    <w:rsid w:val="001A61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1DC"/>
    <w:rPr>
      <w:b/>
    </w:rPr>
  </w:style>
  <w:style w:type="character" w:customStyle="1" w:styleId="Underlined">
    <w:name w:val="Underlined"/>
    <w:basedOn w:val="DefaultParagraphFont"/>
    <w:rsid w:val="001A61DC"/>
    <w:rPr>
      <w:u w:val="single"/>
    </w:rPr>
  </w:style>
  <w:style w:type="paragraph" w:customStyle="1" w:styleId="TableBodyTextRight">
    <w:name w:val="Table Body Text Right"/>
    <w:basedOn w:val="TableBodyText"/>
    <w:rsid w:val="001A61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1DC"/>
    <w:rPr>
      <w:sz w:val="18"/>
    </w:rPr>
  </w:style>
  <w:style w:type="paragraph" w:customStyle="1" w:styleId="BodySmallRight">
    <w:name w:val="Body Small Right"/>
    <w:basedOn w:val="BodyTextRight"/>
    <w:rsid w:val="001A61DC"/>
    <w:rPr>
      <w:sz w:val="18"/>
      <w:szCs w:val="18"/>
    </w:rPr>
  </w:style>
  <w:style w:type="paragraph" w:customStyle="1" w:styleId="MarginEdition">
    <w:name w:val="Margin Edition"/>
    <w:basedOn w:val="MarginNote"/>
    <w:rsid w:val="001A61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1DC"/>
    <w:rPr>
      <w:sz w:val="2"/>
      <w:szCs w:val="2"/>
    </w:rPr>
  </w:style>
  <w:style w:type="character" w:customStyle="1" w:styleId="Small">
    <w:name w:val="Small"/>
    <w:basedOn w:val="DefaultParagraphFont"/>
    <w:rsid w:val="001A61DC"/>
    <w:rPr>
      <w:sz w:val="16"/>
    </w:rPr>
  </w:style>
  <w:style w:type="paragraph" w:customStyle="1" w:styleId="WideTable">
    <w:name w:val="Wide Table"/>
    <w:basedOn w:val="Normal"/>
    <w:rsid w:val="001A61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1DC"/>
  </w:style>
  <w:style w:type="paragraph" w:styleId="Quote">
    <w:name w:val="Quote"/>
    <w:basedOn w:val="Heading1"/>
    <w:link w:val="QuoteChar"/>
    <w:qFormat/>
    <w:rsid w:val="001A61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1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1DC"/>
    <w:pPr>
      <w:pageBreakBefore/>
    </w:pPr>
  </w:style>
  <w:style w:type="paragraph" w:customStyle="1" w:styleId="Border">
    <w:name w:val="Border"/>
    <w:basedOn w:val="Normal"/>
    <w:qFormat/>
    <w:rsid w:val="001A61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1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1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1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1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1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1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1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1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1DC"/>
    <w:rPr>
      <w:u w:val="single"/>
    </w:rPr>
  </w:style>
  <w:style w:type="character" w:customStyle="1" w:styleId="BoldandItalics">
    <w:name w:val="Bold and Italics"/>
    <w:qFormat/>
    <w:rsid w:val="001A61DC"/>
    <w:rPr>
      <w:b/>
      <w:i/>
      <w:u w:val="none"/>
    </w:rPr>
  </w:style>
  <w:style w:type="paragraph" w:styleId="BalloonText">
    <w:name w:val="Balloon Text"/>
    <w:basedOn w:val="Normal"/>
    <w:link w:val="BalloonTextChar"/>
    <w:rsid w:val="001A61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1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1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1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1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1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1DC"/>
    <w:pPr>
      <w:spacing w:before="0" w:after="0"/>
    </w:pPr>
  </w:style>
  <w:style w:type="paragraph" w:customStyle="1" w:styleId="BodyTextBold">
    <w:name w:val="Body Text Bold"/>
    <w:basedOn w:val="BodyText"/>
    <w:qFormat/>
    <w:rsid w:val="001A61DC"/>
    <w:rPr>
      <w:b/>
    </w:rPr>
  </w:style>
  <w:style w:type="character" w:styleId="Hyperlink">
    <w:name w:val="Hyperlink"/>
    <w:basedOn w:val="DefaultParagraphFont"/>
    <w:uiPriority w:val="99"/>
    <w:unhideWhenUsed/>
    <w:rsid w:val="00BC74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3148</Characters>
  <Application>Microsoft Office Word</Application>
  <DocSecurity>0</DocSecurity>
  <Lines>98</Lines>
  <Paragraphs>69</Paragraphs>
  <ScaleCrop>false</ScaleCrop>
  <Company>Author-it Software Corporation Ltd.</Company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RIICFW302D Install temporary and permanent rock anchors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2021-02-16T01:31:00Z</dcterms:created>
  <dcterms:modified xsi:type="dcterms:W3CDTF">2021-02-16T01:31:00Z</dcterms:modified>
</cp:coreProperties>
</file>