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678" w:rsidP="00FE3678">
      <w:pPr>
        <w:pStyle w:val="Title"/>
      </w:pPr>
      <w:r>
        <w:fldChar w:fldCharType="begin"/>
      </w:r>
      <w:r>
        <w:instrText xml:space="preserve"> TITLE   \* MERGEFORMAT </w:instrText>
      </w:r>
      <w:r>
        <w:fldChar w:fldCharType="separate"/>
      </w:r>
      <w:r>
        <w:t>RIICFW302D Install temporary and permanent rock anchors</w:t>
      </w:r>
      <w:r>
        <w:fldChar w:fldCharType="end"/>
      </w:r>
    </w:p>
    <w:p w:rsidR="00FE3678" w:rsidP="00FE3678">
      <w:pPr>
        <w:pStyle w:val="Version"/>
        <w:sectPr w:rsidSect="00E812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12D3" w:rsidP="00E812D3">
      <w:pPr>
        <w:pStyle w:val="SuperHeading"/>
      </w:pPr>
      <w:r w:rsidRPr="00E812D3">
        <w:t>RIICFW302D Install temporary and permanent rock anchors</w:t>
      </w:r>
    </w:p>
    <w:p w:rsidR="00000000" w:rsidRPr="00E812D3" w:rsidP="00E812D3">
      <w:pPr>
        <w:pStyle w:val="Heading1"/>
      </w:pPr>
      <w:bookmarkStart w:id="1" w:name="O_681686"/>
      <w:bookmarkEnd w:id="1"/>
      <w:r w:rsidRPr="00E812D3">
        <w:t>Modification History</w:t>
      </w:r>
    </w:p>
    <w:tbl>
      <w:tblPr>
        <w:tblW w:w="9450" w:type="dxa"/>
        <w:tblLayout w:type="fixed"/>
        <w:tblCellMar>
          <w:left w:w="62" w:type="dxa"/>
          <w:right w:w="62" w:type="dxa"/>
        </w:tblCellMar>
        <w:tblLook w:val="0000"/>
      </w:tblPr>
      <w:tblGrid>
        <w:gridCol w:w="1170"/>
        <w:gridCol w:w="8280"/>
      </w:tblGrid>
      <w:tr w:rsidTr="00FE367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Comment</w:t>
            </w:r>
          </w:p>
        </w:tc>
      </w:tr>
      <w:tr w:rsidTr="00FE367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This unit replaces RIICFW302A Install temporary and permanent rock anchors</w:t>
            </w:r>
          </w:p>
        </w:tc>
      </w:tr>
      <w:tr w:rsidTr="00FE367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2D3" w:rsidP="00E812D3">
            <w:pPr>
              <w:pStyle w:val="BodyText"/>
            </w:pPr>
            <w:r w:rsidRPr="00E812D3">
              <w:t>Required frequency and volume of evidence amended in Performance evidence.</w:t>
            </w:r>
          </w:p>
          <w:p w:rsidR="00000000" w:rsidRPr="00E812D3" w:rsidP="00E812D3">
            <w:pPr>
              <w:pStyle w:val="BodyText"/>
            </w:pPr>
            <w:r w:rsidRPr="00E812D3">
              <w:t>Substantial amendments made in Assessment Condi</w:t>
            </w:r>
            <w:r w:rsidRPr="00E812D3">
              <w:t>tions field, including: references to Industry Sectors, assessor and subject matter expert experience requirements, how assessment should be conducted and what it should confirm.</w:t>
            </w:r>
          </w:p>
        </w:tc>
      </w:tr>
    </w:tbl>
    <w:p w:rsidR="00000000" w:rsidRPr="00E812D3" w:rsidP="00E812D3">
      <w:pPr>
        <w:pStyle w:val="BodyText"/>
      </w:pPr>
    </w:p>
    <w:p w:rsidR="00000000" w:rsidRPr="00E812D3" w:rsidP="00E812D3">
      <w:pPr>
        <w:pStyle w:val="AllowPageBreak"/>
      </w:pPr>
    </w:p>
    <w:p w:rsidR="00000000" w:rsidRPr="00E812D3" w:rsidP="00E812D3">
      <w:pPr>
        <w:pStyle w:val="Heading1"/>
      </w:pPr>
      <w:bookmarkStart w:id="2" w:name="O_681685"/>
      <w:bookmarkEnd w:id="2"/>
      <w:r w:rsidRPr="00E812D3">
        <w:t>Application</w:t>
      </w:r>
    </w:p>
    <w:p w:rsidR="00000000" w:rsidRPr="00E812D3" w:rsidP="00FE3678">
      <w:pPr>
        <w:pStyle w:val="BodyText"/>
      </w:pPr>
      <w:r w:rsidRPr="00E812D3">
        <w:t>This unit describes a participant’s skills and</w:t>
      </w:r>
      <w:r w:rsidRPr="00E812D3">
        <w:t xml:space="preserve"> knowledge required to install temporary and permanent rock anchors in Civil Construction.</w:t>
      </w:r>
    </w:p>
    <w:p w:rsidR="00000000" w:rsidRPr="00E812D3" w:rsidP="00FE3678">
      <w:pPr>
        <w:pStyle w:val="BodyText"/>
      </w:pPr>
      <w:r w:rsidRPr="00E812D3">
        <w:t xml:space="preserve">This unit is appropriate for those working in operational roles. </w:t>
      </w:r>
    </w:p>
    <w:p w:rsidR="00FE3678" w:rsidP="00FE3678">
      <w:pPr>
        <w:pStyle w:val="BodyText"/>
      </w:pPr>
      <w:r w:rsidRPr="00E812D3">
        <w:t>No licensing or certification requirements apply to this unit at the time of publication.</w:t>
      </w:r>
    </w:p>
    <w:p w:rsidR="00000000" w:rsidRPr="00E812D3" w:rsidP="00E812D3">
      <w:pPr>
        <w:pStyle w:val="Heading1"/>
      </w:pPr>
      <w:bookmarkStart w:id="3" w:name="O_681684"/>
      <w:bookmarkEnd w:id="3"/>
      <w:r w:rsidRPr="00E812D3">
        <w:t>Unit Sector</w:t>
      </w:r>
    </w:p>
    <w:p w:rsidR="00000000" w:rsidRPr="00E812D3" w:rsidP="00FE3678">
      <w:pPr>
        <w:pStyle w:val="BodyText"/>
      </w:pPr>
      <w:r w:rsidRPr="00E812D3">
        <w:t>Civil construction</w:t>
      </w:r>
    </w:p>
    <w:p w:rsidR="00000000" w:rsidRPr="00E812D3" w:rsidP="00E812D3">
      <w:pPr>
        <w:pStyle w:val="Heading1"/>
      </w:pPr>
      <w:bookmarkStart w:id="4" w:name="O_681683"/>
      <w:bookmarkEnd w:id="4"/>
      <w:r w:rsidRPr="00E812D3">
        <w:t>Elements and Performance Criteria</w:t>
      </w:r>
    </w:p>
    <w:tbl>
      <w:tblPr>
        <w:tblW w:w="9322" w:type="dxa"/>
        <w:tblLayout w:type="fixed"/>
        <w:tblCellMar>
          <w:left w:w="62" w:type="dxa"/>
          <w:right w:w="62" w:type="dxa"/>
        </w:tblCellMar>
        <w:tblLook w:val="0000"/>
      </w:tblPr>
      <w:tblGrid>
        <w:gridCol w:w="2438"/>
        <w:gridCol w:w="6884"/>
      </w:tblGrid>
      <w:tr w:rsidTr="00E812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2D3">
            <w:pPr>
              <w:pStyle w:val="BodyText"/>
              <w:rPr>
                <w:lang w:val="en-NZ"/>
              </w:rPr>
            </w:pPr>
            <w:r w:rsidRPr="00E812D3">
              <w:t>1.</w:t>
            </w:r>
            <w:r w:rsidRPr="00E812D3">
              <w:tab/>
              <w:t>Plan and prepare for rock anchor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2D3" w:rsidP="00E812D3">
            <w:pPr>
              <w:pStyle w:val="BodyText"/>
            </w:pPr>
            <w:r w:rsidRPr="00E812D3">
              <w:t>1.1</w:t>
            </w:r>
            <w:r w:rsidRPr="00E812D3">
              <w:tab/>
              <w:t>Access, interpret and apply rock anchor installation documentation and ensure the work activity is compliant</w:t>
            </w:r>
          </w:p>
          <w:p w:rsidR="00000000" w:rsidRPr="00E812D3" w:rsidP="00E812D3">
            <w:pPr>
              <w:pStyle w:val="BodyText"/>
            </w:pPr>
            <w:r w:rsidRPr="00E812D3">
              <w:t>1.2</w:t>
            </w:r>
            <w:r w:rsidRPr="00E812D3">
              <w:tab/>
              <w:t xml:space="preserve">Obtain, interpret and clarify  work instructions before proceeding </w:t>
            </w:r>
          </w:p>
          <w:p w:rsidR="00000000" w:rsidRPr="00E812D3" w:rsidP="00E812D3">
            <w:pPr>
              <w:pStyle w:val="BodyText"/>
            </w:pPr>
            <w:r w:rsidRPr="00E812D3">
              <w:t>1.3</w:t>
            </w:r>
            <w:r w:rsidRPr="00E812D3">
              <w:tab/>
              <w:t xml:space="preserve">Confirm and apply environmental protection and safety requirements </w:t>
            </w:r>
          </w:p>
          <w:p w:rsidR="00000000" w:rsidRPr="00E812D3" w:rsidP="00E812D3">
            <w:pPr>
              <w:pStyle w:val="BodyText"/>
            </w:pPr>
            <w:r w:rsidRPr="00E812D3">
              <w:t>1.4</w:t>
            </w:r>
            <w:r w:rsidRPr="00E812D3">
              <w:tab/>
              <w:t xml:space="preserve">Obtain, interpret and implement traffic management signage requirements </w:t>
            </w:r>
          </w:p>
          <w:p w:rsidR="00000000" w:rsidRPr="00E812D3" w:rsidP="00E812D3">
            <w:pPr>
              <w:pStyle w:val="BodyText"/>
            </w:pPr>
            <w:r w:rsidRPr="00E812D3">
              <w:t>1.5</w:t>
            </w:r>
            <w:r w:rsidRPr="00E812D3">
              <w:tab/>
              <w:t>Select, and check for faults, plan</w:t>
            </w:r>
            <w:r w:rsidRPr="00E812D3">
              <w:t>t, tools and equipment to carry out tasks</w:t>
            </w:r>
          </w:p>
          <w:p w:rsidR="00000000" w:rsidRPr="00E812D3" w:rsidP="00E812D3">
            <w:pPr>
              <w:pStyle w:val="BodyText"/>
            </w:pPr>
            <w:r w:rsidRPr="00E812D3">
              <w:t>1.6</w:t>
            </w:r>
            <w:r w:rsidRPr="00E812D3">
              <w:tab/>
              <w:t>Select and wear personal protective equipment appropriate for work activities</w:t>
            </w:r>
          </w:p>
          <w:p w:rsidR="00000000" w:rsidRPr="00E812D3" w:rsidP="00E812D3">
            <w:pPr>
              <w:pStyle w:val="BodyText"/>
            </w:pPr>
            <w:r w:rsidRPr="00E812D3">
              <w:t>1.7</w:t>
            </w:r>
            <w:r w:rsidRPr="00E812D3">
              <w:tab/>
              <w:t xml:space="preserve">Identify, address and report potential hazards and risks </w:t>
            </w:r>
          </w:p>
          <w:p w:rsidR="00000000" w:rsidP="00E812D3">
            <w:pPr>
              <w:pStyle w:val="BodyText"/>
              <w:rPr>
                <w:lang w:val="en-NZ"/>
              </w:rPr>
            </w:pPr>
            <w:r w:rsidRPr="00E812D3">
              <w:t>1.8</w:t>
            </w:r>
            <w:r w:rsidRPr="00E812D3">
              <w:tab/>
              <w:t>Obtain and interpret emergency procedures, and be prepared for fir</w:t>
            </w:r>
            <w:r w:rsidRPr="00E812D3">
              <w:t>e/accident/emergency</w:t>
            </w:r>
          </w:p>
        </w:tc>
      </w:tr>
      <w:tr w:rsidTr="00E812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2D3">
            <w:pPr>
              <w:pStyle w:val="BodyText"/>
              <w:rPr>
                <w:lang w:val="en-NZ"/>
              </w:rPr>
            </w:pPr>
            <w:r w:rsidRPr="00E812D3">
              <w:t>2.</w:t>
            </w:r>
            <w:r w:rsidRPr="00E812D3">
              <w:tab/>
              <w:t>Set up and prepare anchor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2D3" w:rsidP="00E812D3">
            <w:pPr>
              <w:pStyle w:val="BodyText"/>
            </w:pPr>
            <w:r w:rsidRPr="00E812D3">
              <w:t>2.1</w:t>
            </w:r>
            <w:r w:rsidRPr="00E812D3">
              <w:tab/>
              <w:t>Ensure holes are drilled to specified diameter and depth</w:t>
            </w:r>
          </w:p>
          <w:p w:rsidR="00000000" w:rsidRPr="00E812D3" w:rsidP="00E812D3">
            <w:pPr>
              <w:pStyle w:val="BodyText"/>
            </w:pPr>
            <w:r w:rsidRPr="00E812D3">
              <w:t>2.2</w:t>
            </w:r>
            <w:r w:rsidRPr="00E812D3">
              <w:tab/>
              <w:t xml:space="preserve">Ensure holes are cleaned </w:t>
            </w:r>
          </w:p>
          <w:p w:rsidR="00000000" w:rsidRPr="00E812D3" w:rsidP="00E812D3">
            <w:pPr>
              <w:pStyle w:val="BodyText"/>
            </w:pPr>
            <w:r w:rsidRPr="00E812D3">
              <w:t>2.3</w:t>
            </w:r>
            <w:r w:rsidRPr="00E812D3">
              <w:tab/>
              <w:t xml:space="preserve">Ensure bond length of holes for permanent anchors are tested for leakage to specified rate and grouted, </w:t>
            </w:r>
            <w:r w:rsidRPr="00E812D3">
              <w:t>re-drilled and retested</w:t>
            </w:r>
          </w:p>
          <w:p w:rsidR="00000000" w:rsidP="00E812D3">
            <w:pPr>
              <w:pStyle w:val="BodyText"/>
              <w:rPr>
                <w:lang w:val="en-NZ"/>
              </w:rPr>
            </w:pPr>
            <w:r w:rsidRPr="00E812D3">
              <w:t>2.4</w:t>
            </w:r>
            <w:r w:rsidRPr="00E812D3">
              <w:tab/>
              <w:t>Ensure holes are temporarily covered to prevent entry of foreign material</w:t>
            </w:r>
          </w:p>
        </w:tc>
      </w:tr>
      <w:tr w:rsidTr="00E812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2D3">
            <w:pPr>
              <w:pStyle w:val="BodyText"/>
              <w:rPr>
                <w:lang w:val="en-NZ"/>
              </w:rPr>
            </w:pPr>
            <w:r w:rsidRPr="00E812D3">
              <w:t>3.</w:t>
            </w:r>
            <w:r w:rsidRPr="00E812D3">
              <w:tab/>
              <w:t>Install anchors to anchor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2D3" w:rsidP="00E812D3">
            <w:pPr>
              <w:pStyle w:val="BodyText"/>
            </w:pPr>
            <w:r w:rsidRPr="00E812D3">
              <w:t>3.1</w:t>
            </w:r>
            <w:r w:rsidRPr="00E812D3">
              <w:tab/>
              <w:t>Check components to verify conformity with job requirements</w:t>
            </w:r>
          </w:p>
          <w:p w:rsidR="00000000" w:rsidRPr="00E812D3" w:rsidP="00E812D3">
            <w:pPr>
              <w:pStyle w:val="BodyText"/>
            </w:pPr>
            <w:r w:rsidRPr="00E812D3">
              <w:t>3.2</w:t>
            </w:r>
            <w:r w:rsidRPr="00E812D3">
              <w:tab/>
            </w:r>
            <w:r w:rsidRPr="00E812D3">
              <w:t>Grease, sheathe and assemble anchors to specifications</w:t>
            </w:r>
          </w:p>
          <w:p w:rsidR="00000000" w:rsidRPr="00E812D3" w:rsidP="00E812D3">
            <w:pPr>
              <w:pStyle w:val="BodyText"/>
            </w:pPr>
            <w:r w:rsidRPr="00E812D3">
              <w:t>3.3</w:t>
            </w:r>
            <w:r w:rsidRPr="00E812D3">
              <w:tab/>
              <w:t>Prepare temporary anchors with spacers and fit grout tubes</w:t>
            </w:r>
          </w:p>
          <w:p w:rsidR="00000000" w:rsidRPr="00E812D3" w:rsidP="00E812D3">
            <w:pPr>
              <w:pStyle w:val="BodyText"/>
            </w:pPr>
            <w:r w:rsidRPr="00E812D3">
              <w:t>3.4</w:t>
            </w:r>
            <w:r w:rsidRPr="00E812D3">
              <w:tab/>
              <w:t>Prepare permanent anchors with spacers, fit grout tubes and prepare external polyethylene sheath</w:t>
            </w:r>
          </w:p>
          <w:p w:rsidR="00000000" w:rsidRPr="00E812D3" w:rsidP="00E812D3">
            <w:pPr>
              <w:pStyle w:val="BodyText"/>
            </w:pPr>
            <w:r w:rsidRPr="00E812D3">
              <w:t>3.5</w:t>
            </w:r>
            <w:r w:rsidRPr="00E812D3">
              <w:tab/>
              <w:t>Install anchors and sheaths to fu</w:t>
            </w:r>
            <w:r w:rsidRPr="00E812D3">
              <w:t>ll depth, without damage and to specifications</w:t>
            </w:r>
          </w:p>
          <w:p w:rsidR="00000000" w:rsidRPr="00E812D3" w:rsidP="00E812D3">
            <w:pPr>
              <w:pStyle w:val="BodyText"/>
            </w:pPr>
            <w:r w:rsidRPr="00E812D3">
              <w:t>3.6</w:t>
            </w:r>
            <w:r w:rsidRPr="00E812D3">
              <w:tab/>
              <w:t>Set up grouting plant and flow monitoring apparatus to design requirements</w:t>
            </w:r>
          </w:p>
          <w:p w:rsidR="00000000" w:rsidP="00E812D3">
            <w:pPr>
              <w:pStyle w:val="BodyText"/>
              <w:rPr>
                <w:lang w:val="en-NZ"/>
              </w:rPr>
            </w:pPr>
            <w:r w:rsidRPr="00E812D3">
              <w:t>3.7</w:t>
            </w:r>
            <w:r w:rsidRPr="00E812D3">
              <w:tab/>
              <w:t>Mix and pump grout into hole</w:t>
            </w:r>
          </w:p>
        </w:tc>
      </w:tr>
      <w:tr w:rsidTr="00E812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2D3">
            <w:pPr>
              <w:pStyle w:val="BodyText"/>
              <w:rPr>
                <w:lang w:val="en-NZ"/>
              </w:rPr>
            </w:pPr>
            <w:r w:rsidRPr="00E812D3">
              <w:t>4.</w:t>
            </w:r>
            <w:r w:rsidRPr="00E812D3">
              <w:tab/>
              <w:t>Set up anchorage assembly and stress anchors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2D3" w:rsidP="00E812D3">
            <w:pPr>
              <w:pStyle w:val="BodyText"/>
            </w:pPr>
            <w:r w:rsidRPr="00E812D3">
              <w:t>4.1</w:t>
            </w:r>
            <w:r w:rsidRPr="00E812D3">
              <w:tab/>
              <w:t xml:space="preserve">Position anchorage using packing materials </w:t>
            </w:r>
          </w:p>
          <w:p w:rsidR="00000000" w:rsidRPr="00E812D3" w:rsidP="00E812D3">
            <w:pPr>
              <w:pStyle w:val="BodyText"/>
            </w:pPr>
            <w:r w:rsidRPr="00E812D3">
              <w:t>4.2</w:t>
            </w:r>
            <w:r w:rsidRPr="00E812D3">
              <w:tab/>
              <w:t>Stress anchors to nominated loads</w:t>
            </w:r>
          </w:p>
          <w:p w:rsidR="00000000" w:rsidRPr="00E812D3" w:rsidP="00E812D3">
            <w:pPr>
              <w:pStyle w:val="BodyText"/>
            </w:pPr>
            <w:r w:rsidRPr="00E812D3">
              <w:t>4.3</w:t>
            </w:r>
            <w:r w:rsidRPr="00E812D3">
              <w:tab/>
              <w:t xml:space="preserve">Lock off anchors to nominated loads </w:t>
            </w:r>
          </w:p>
          <w:p w:rsidR="00000000" w:rsidRPr="00E812D3" w:rsidP="00E812D3">
            <w:pPr>
              <w:pStyle w:val="BodyText"/>
            </w:pPr>
            <w:r w:rsidRPr="00E812D3">
              <w:t>4.4</w:t>
            </w:r>
            <w:r w:rsidRPr="00E812D3">
              <w:tab/>
              <w:t>Install mesh to job specification</w:t>
            </w:r>
          </w:p>
          <w:p w:rsidR="00000000" w:rsidRPr="00E812D3" w:rsidP="00E812D3">
            <w:pPr>
              <w:pStyle w:val="BodyText"/>
            </w:pPr>
            <w:r w:rsidRPr="00E812D3">
              <w:t>4.5</w:t>
            </w:r>
            <w:r w:rsidRPr="00E812D3">
              <w:tab/>
              <w:t>Apply shotcrete to design depth, tolerance and job specification</w:t>
            </w:r>
          </w:p>
          <w:p w:rsidR="00000000" w:rsidRPr="00E812D3" w:rsidP="00E812D3">
            <w:pPr>
              <w:pStyle w:val="BodyText"/>
            </w:pPr>
            <w:r w:rsidRPr="00E812D3">
              <w:t>4.6</w:t>
            </w:r>
            <w:r w:rsidRPr="00E812D3">
              <w:tab/>
              <w:t>Monitor permanent anchors at scheduled intervals, and  determine a</w:t>
            </w:r>
            <w:r w:rsidRPr="00E812D3">
              <w:t>nd record anchor’s residual load</w:t>
            </w:r>
          </w:p>
          <w:p w:rsidR="00000000" w:rsidP="00E812D3">
            <w:pPr>
              <w:pStyle w:val="BodyText"/>
              <w:rPr>
                <w:lang w:val="en-NZ"/>
              </w:rPr>
            </w:pPr>
            <w:r w:rsidRPr="00E812D3">
              <w:t>4.7</w:t>
            </w:r>
            <w:r w:rsidRPr="00E812D3">
              <w:tab/>
              <w:t>Cut anchors where required and seal</w:t>
            </w:r>
          </w:p>
        </w:tc>
      </w:tr>
      <w:tr w:rsidTr="00E812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2D3">
            <w:pPr>
              <w:pStyle w:val="BodyText"/>
              <w:rPr>
                <w:lang w:val="en-NZ"/>
              </w:rPr>
            </w:pPr>
            <w:r w:rsidRPr="00E812D3">
              <w:t>5.</w:t>
            </w:r>
            <w:r w:rsidRPr="00E812D3">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2D3" w:rsidP="00E812D3">
            <w:pPr>
              <w:pStyle w:val="BodyText"/>
            </w:pPr>
            <w:r w:rsidRPr="00E812D3">
              <w:t>5.1</w:t>
            </w:r>
            <w:r w:rsidRPr="00E812D3">
              <w:tab/>
              <w:t xml:space="preserve">Clear work area and dispose of/or recycle materials </w:t>
            </w:r>
          </w:p>
          <w:p w:rsidR="00000000" w:rsidRPr="00E812D3" w:rsidP="00E812D3">
            <w:pPr>
              <w:pStyle w:val="BodyText"/>
            </w:pPr>
            <w:r w:rsidRPr="00E812D3">
              <w:t>5.2</w:t>
            </w:r>
            <w:r w:rsidRPr="00E812D3">
              <w:tab/>
              <w:t>Clean, check, maintain and store plant, tools and equipment</w:t>
            </w:r>
          </w:p>
        </w:tc>
      </w:tr>
    </w:tbl>
    <w:p w:rsidR="00FE3678" w:rsidP="00E812D3">
      <w:pPr>
        <w:pStyle w:val="BodyText"/>
      </w:pPr>
    </w:p>
    <w:p w:rsidR="00FE3678" w:rsidP="00E812D3">
      <w:pPr>
        <w:pStyle w:val="BodyText"/>
      </w:pPr>
    </w:p>
    <w:p w:rsidR="00000000" w:rsidRPr="00E812D3" w:rsidP="00E812D3">
      <w:pPr>
        <w:pStyle w:val="Heading1"/>
      </w:pPr>
      <w:bookmarkStart w:id="5" w:name="O_681682"/>
      <w:bookmarkEnd w:id="5"/>
      <w:r w:rsidRPr="00E812D3">
        <w:t>Foundation Skills</w:t>
      </w:r>
    </w:p>
    <w:p w:rsidR="00FE3678" w:rsidP="00FE3678">
      <w:pPr>
        <w:pStyle w:val="BodyText"/>
      </w:pPr>
      <w:r w:rsidRPr="00E812D3">
        <w:t>Foundation skills essential to performance are explicit in the performance criteria of this unit. Further information is available in the Resources and Infrastructure Industry Training Package Companion Volume.</w:t>
      </w:r>
    </w:p>
    <w:p w:rsidR="00000000" w:rsidRPr="00E812D3" w:rsidP="00E812D3">
      <w:pPr>
        <w:pStyle w:val="Heading1"/>
      </w:pPr>
      <w:bookmarkStart w:id="6" w:name="O_681681"/>
      <w:bookmarkEnd w:id="6"/>
      <w:r w:rsidRPr="00E812D3">
        <w:t>Unit Mapping Information</w:t>
      </w:r>
    </w:p>
    <w:p w:rsidR="00000000" w:rsidRPr="00E812D3" w:rsidP="00FE3678">
      <w:pPr>
        <w:pStyle w:val="BodyText"/>
      </w:pPr>
      <w:r w:rsidRPr="00E812D3">
        <w:t>RI</w:t>
      </w:r>
      <w:r w:rsidRPr="00E812D3">
        <w:t>ICFW302A Install temporary and permanent rock anchors</w:t>
      </w:r>
    </w:p>
    <w:p w:rsidR="00000000" w:rsidRPr="00E812D3" w:rsidP="00E812D3">
      <w:pPr>
        <w:pStyle w:val="Heading1"/>
      </w:pPr>
      <w:bookmarkStart w:id="7" w:name="O_681687"/>
      <w:bookmarkEnd w:id="7"/>
      <w:r w:rsidRPr="00E812D3">
        <w:t>Links</w:t>
      </w:r>
    </w:p>
    <w:p w:rsidR="00000000" w:rsidRPr="00E812D3" w:rsidP="00FE3678">
      <w:pPr>
        <w:pStyle w:val="BodyText"/>
      </w:pPr>
      <w:r w:rsidRPr="00E812D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7838">
        <w:rPr>
          <w:rStyle w:val="Hyperlink"/>
        </w:rPr>
        <w:t>https://vetnet.gov.au/Pages/TrainingDocs.aspx?q=88a61002-9a21-4386-aaf8-69c76e675272</w:t>
      </w:r>
      <w:r>
        <w:fldChar w:fldCharType="end"/>
      </w:r>
    </w:p>
    <w:p w:rsidR="00000000" w:rsidRPr="00E812D3" w:rsidP="00FE3678">
      <w:pPr>
        <w:pStyle w:val="BodyText"/>
        <w:sectPr w:rsidSect="00E812D3">
          <w:headerReference w:type="default" r:id="rId10"/>
          <w:footerReference w:type="default" r:id="rId11"/>
          <w:pgSz w:w="11908" w:h="16833"/>
          <w:pgMar w:top="1702" w:right="1418" w:bottom="1702" w:left="1418" w:header="992" w:footer="992" w:gutter="0"/>
          <w:cols w:space="720"/>
          <w:noEndnote/>
          <w:docGrid w:linePitch="299"/>
        </w:sectPr>
      </w:pPr>
    </w:p>
    <w:p w:rsidR="00000000" w:rsidRPr="00E812D3" w:rsidP="00E812D3">
      <w:pPr>
        <w:pStyle w:val="SuperHeading"/>
      </w:pPr>
      <w:r w:rsidRPr="00E812D3">
        <w:t>Assessment Requirements for RIICFW302D Install temporary and permanent rock anchors</w:t>
      </w:r>
    </w:p>
    <w:p w:rsidR="00000000" w:rsidRPr="00E812D3" w:rsidP="00E812D3">
      <w:pPr>
        <w:pStyle w:val="Heading1"/>
      </w:pPr>
      <w:bookmarkStart w:id="8" w:name="O_681679"/>
      <w:bookmarkEnd w:id="8"/>
      <w:r w:rsidRPr="00E812D3">
        <w:t>Modification History</w:t>
      </w:r>
    </w:p>
    <w:tbl>
      <w:tblPr>
        <w:tblW w:w="9450" w:type="dxa"/>
        <w:tblLayout w:type="fixed"/>
        <w:tblCellMar>
          <w:left w:w="62" w:type="dxa"/>
          <w:right w:w="62" w:type="dxa"/>
        </w:tblCellMar>
        <w:tblLook w:val="0000"/>
      </w:tblPr>
      <w:tblGrid>
        <w:gridCol w:w="1170"/>
        <w:gridCol w:w="8280"/>
      </w:tblGrid>
      <w:tr w:rsidTr="00FE367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Comment</w:t>
            </w:r>
          </w:p>
        </w:tc>
      </w:tr>
      <w:tr w:rsidTr="00FE367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This unit replaces RIICFW302A Install temporary and permanent rock anchors</w:t>
            </w:r>
          </w:p>
        </w:tc>
      </w:tr>
      <w:tr w:rsidTr="00FE367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2D3">
            <w:pPr>
              <w:pStyle w:val="BodyText"/>
              <w:rPr>
                <w:lang w:val="en-NZ"/>
              </w:rPr>
            </w:pPr>
            <w:r w:rsidRPr="00E812D3">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2D3" w:rsidP="00E812D3">
            <w:pPr>
              <w:pStyle w:val="BodyText"/>
            </w:pPr>
            <w:r w:rsidRPr="00E812D3">
              <w:t>Required frequency and volume of evidence amended in Performance evidence.</w:t>
            </w:r>
          </w:p>
          <w:p w:rsidR="00000000" w:rsidRPr="00E812D3" w:rsidP="00E812D3">
            <w:pPr>
              <w:pStyle w:val="BodyText"/>
            </w:pPr>
            <w:r w:rsidRPr="00E812D3">
              <w:t>Substantial amendments made in Assessment Conditions field, including: references to Industry Sectors, assessor and subject matter expert experience requirements, how assessment sho</w:t>
            </w:r>
            <w:r w:rsidRPr="00E812D3">
              <w:t>uld be conducted and what it should confirm.</w:t>
            </w:r>
          </w:p>
        </w:tc>
      </w:tr>
    </w:tbl>
    <w:p w:rsidR="00000000" w:rsidRPr="00E812D3" w:rsidP="00E812D3">
      <w:pPr>
        <w:pStyle w:val="BodyText"/>
      </w:pPr>
    </w:p>
    <w:p w:rsidR="00000000" w:rsidRPr="00E812D3" w:rsidP="00E812D3">
      <w:pPr>
        <w:pStyle w:val="AllowPageBreak"/>
      </w:pPr>
    </w:p>
    <w:p w:rsidR="00000000" w:rsidRPr="00E812D3" w:rsidP="00E812D3">
      <w:pPr>
        <w:pStyle w:val="Heading1"/>
      </w:pPr>
      <w:bookmarkStart w:id="9" w:name="O_681678"/>
      <w:bookmarkEnd w:id="9"/>
      <w:r w:rsidRPr="00E812D3">
        <w:t>Performance Evidence</w:t>
      </w:r>
    </w:p>
    <w:p w:rsidR="00000000" w:rsidRPr="00E812D3" w:rsidP="00FE3678">
      <w:pPr>
        <w:pStyle w:val="BodyText"/>
      </w:pPr>
      <w:r w:rsidRPr="00E812D3">
        <w:t>Evidence is required to be collected that demonstrates a candidate’s competency in this unit. Evidence must be relevant to the roles within this sector’s work operations a</w:t>
      </w:r>
      <w:r w:rsidRPr="00E812D3">
        <w:t>nd satisfy all of the requirements of the performance criteria of this unit and include evidence that the candidate:</w:t>
      </w:r>
    </w:p>
    <w:p w:rsidR="00000000" w:rsidRPr="00E812D3" w:rsidP="00E812D3">
      <w:pPr>
        <w:pStyle w:val="ListBullet"/>
      </w:pPr>
      <w:r w:rsidRPr="00E812D3">
        <w:t>locates and applies applicable legislation, documentation, policies and procedures</w:t>
      </w:r>
    </w:p>
    <w:p w:rsidR="00000000" w:rsidRPr="00E812D3" w:rsidP="00E812D3">
      <w:pPr>
        <w:pStyle w:val="ListBullet"/>
      </w:pPr>
      <w:r w:rsidRPr="00E812D3">
        <w:t xml:space="preserve">implements the requirements, procedures and techniques </w:t>
      </w:r>
      <w:r w:rsidRPr="00E812D3">
        <w:t>for the safe, effective and efficient installation of temporary and permanent rock anchors including:</w:t>
      </w:r>
    </w:p>
    <w:p w:rsidR="00000000" w:rsidRPr="00E812D3" w:rsidP="00E812D3">
      <w:pPr>
        <w:pStyle w:val="ListBullet2"/>
      </w:pPr>
      <w:r w:rsidRPr="00E812D3">
        <w:t>using installation techniques to install both temporary and permanent rock anchors</w:t>
      </w:r>
    </w:p>
    <w:p w:rsidR="00000000" w:rsidRPr="00E812D3" w:rsidP="00E812D3">
      <w:pPr>
        <w:pStyle w:val="ListBullet"/>
      </w:pPr>
      <w:r w:rsidRPr="00E812D3">
        <w:t>works effectively with others to undertake and complete the installation of temporary and permanent rock anchors tasks that meets all the required outcomes including:</w:t>
      </w:r>
    </w:p>
    <w:p w:rsidR="00000000" w:rsidRPr="00E812D3" w:rsidP="00E812D3">
      <w:pPr>
        <w:pStyle w:val="ListBullet2"/>
      </w:pPr>
      <w:r w:rsidRPr="00E812D3">
        <w:t>communicating clearly and concisely with others to receive and clarify work instructions</w:t>
      </w:r>
    </w:p>
    <w:p w:rsidR="00000000" w:rsidRPr="00E812D3" w:rsidP="00E812D3">
      <w:pPr>
        <w:pStyle w:val="ListBullet2"/>
      </w:pPr>
      <w:r w:rsidRPr="00E812D3">
        <w:t xml:space="preserve">using a range of communication technique and systems such as signage to advise others of work activity and exclusion zones </w:t>
      </w:r>
    </w:p>
    <w:p w:rsidR="00000000" w:rsidRPr="00E812D3" w:rsidP="00E812D3">
      <w:pPr>
        <w:pStyle w:val="ListBullet"/>
      </w:pPr>
      <w:r w:rsidRPr="00E812D3">
        <w:t>demonstrates completion of installing temporary and permanent rock anchors that safely, effectively and efficiently meets all of t</w:t>
      </w:r>
      <w:r w:rsidRPr="00E812D3">
        <w:t>he required outcomes on more than one (1) occasion including:</w:t>
      </w:r>
    </w:p>
    <w:p w:rsidR="00000000" w:rsidRPr="00E812D3" w:rsidP="00E812D3">
      <w:pPr>
        <w:pStyle w:val="ListBullet2"/>
      </w:pPr>
      <w:r w:rsidRPr="00E812D3">
        <w:t>setting up and ensuring anchor holes are drilled, cleaned, tested for leakage and covered to prevent entry of foreign material</w:t>
      </w:r>
    </w:p>
    <w:p w:rsidR="00000000" w:rsidRPr="00E812D3" w:rsidP="00E812D3">
      <w:pPr>
        <w:pStyle w:val="ListBullet2"/>
      </w:pPr>
      <w:r w:rsidRPr="00E812D3">
        <w:t xml:space="preserve">installing a minimum of ten (10) permanent anchor bolts, finished </w:t>
      </w:r>
      <w:r w:rsidRPr="00E812D3">
        <w:t>with mesh and shotcrete</w:t>
      </w:r>
    </w:p>
    <w:p w:rsidR="00000000" w:rsidRPr="00E812D3" w:rsidP="00E812D3">
      <w:pPr>
        <w:pStyle w:val="ListBullet2"/>
      </w:pPr>
      <w:r w:rsidRPr="00E812D3">
        <w:t>installing a minimum of ten (10) temporary anchor bolts</w:t>
      </w:r>
    </w:p>
    <w:p w:rsidR="00000000" w:rsidRPr="00E812D3" w:rsidP="00E812D3">
      <w:pPr>
        <w:pStyle w:val="ListBullet2"/>
      </w:pPr>
      <w:r w:rsidRPr="00E812D3">
        <w:t>stressing, locking off, cutting and sealing anchors</w:t>
      </w:r>
    </w:p>
    <w:p w:rsidR="00000000" w:rsidRPr="00E812D3" w:rsidP="00E812D3">
      <w:pPr>
        <w:pStyle w:val="AllowPageBreak"/>
      </w:pPr>
    </w:p>
    <w:p w:rsidR="00000000" w:rsidRPr="00E812D3" w:rsidP="00E812D3">
      <w:pPr>
        <w:pStyle w:val="Heading1"/>
      </w:pPr>
      <w:bookmarkStart w:id="10" w:name="O_681677"/>
      <w:bookmarkEnd w:id="10"/>
      <w:r w:rsidRPr="00E812D3">
        <w:t>Knowledge Evidence</w:t>
      </w:r>
    </w:p>
    <w:p w:rsidR="00000000" w:rsidRPr="00E812D3" w:rsidP="00FE3678">
      <w:pPr>
        <w:pStyle w:val="BodyText"/>
      </w:pPr>
      <w:r w:rsidRPr="00E812D3">
        <w:t>The candidate must demonstrate knowledge of installing temporary and permanent rock anch</w:t>
      </w:r>
      <w:r w:rsidRPr="00E812D3">
        <w:t>ors through:</w:t>
      </w:r>
    </w:p>
    <w:p w:rsidR="00000000" w:rsidRPr="00E812D3" w:rsidP="00E812D3">
      <w:pPr>
        <w:pStyle w:val="ListBullet"/>
      </w:pPr>
      <w:r w:rsidRPr="00E812D3">
        <w:t>applying organisation, site requirements and procedures for:</w:t>
      </w:r>
    </w:p>
    <w:p w:rsidR="00000000" w:rsidRPr="00E812D3" w:rsidP="00E812D3">
      <w:pPr>
        <w:pStyle w:val="ListBullet2"/>
      </w:pPr>
      <w:r w:rsidRPr="00E812D3">
        <w:t>installing temporary and permanent rock anchors</w:t>
      </w:r>
    </w:p>
    <w:p w:rsidR="00000000" w:rsidRPr="00E812D3" w:rsidP="00E812D3">
      <w:pPr>
        <w:pStyle w:val="ListBullet2"/>
      </w:pPr>
      <w:r w:rsidRPr="00E812D3">
        <w:t>conducting earthworks</w:t>
      </w:r>
    </w:p>
    <w:p w:rsidR="00000000" w:rsidRPr="00E812D3" w:rsidP="00E812D3">
      <w:pPr>
        <w:pStyle w:val="ListBullet2"/>
      </w:pPr>
      <w:r w:rsidRPr="00E812D3">
        <w:t>carrying out foundation work</w:t>
      </w:r>
    </w:p>
    <w:p w:rsidR="00000000" w:rsidRPr="00E812D3" w:rsidP="00E812D3">
      <w:pPr>
        <w:pStyle w:val="ListBullet2"/>
      </w:pPr>
      <w:r w:rsidRPr="00E812D3">
        <w:t>scaffolding and work platform installation</w:t>
      </w:r>
    </w:p>
    <w:p w:rsidR="00000000" w:rsidRPr="00E812D3" w:rsidP="00E812D3">
      <w:pPr>
        <w:pStyle w:val="ListBullet2"/>
      </w:pPr>
      <w:r w:rsidRPr="00E812D3">
        <w:t>site isolation and traffic control responsibilities and authorities</w:t>
      </w:r>
    </w:p>
    <w:p w:rsidR="00000000" w:rsidRPr="00E812D3" w:rsidP="00E812D3">
      <w:pPr>
        <w:pStyle w:val="ListBullet2"/>
      </w:pPr>
      <w:r w:rsidRPr="00E812D3">
        <w:t>water erosion</w:t>
      </w:r>
    </w:p>
    <w:p w:rsidR="00000000" w:rsidRPr="00E812D3" w:rsidP="00E812D3">
      <w:pPr>
        <w:pStyle w:val="ListBullet2"/>
      </w:pPr>
      <w:r w:rsidRPr="00E812D3">
        <w:t>site and equipment safety requirements</w:t>
      </w:r>
    </w:p>
    <w:p w:rsidR="00000000" w:rsidRPr="00E812D3" w:rsidP="00E812D3">
      <w:pPr>
        <w:pStyle w:val="ListBullet"/>
      </w:pPr>
      <w:r w:rsidRPr="00E812D3">
        <w:t>using construction principles</w:t>
      </w:r>
    </w:p>
    <w:p w:rsidR="00000000" w:rsidRPr="00E812D3" w:rsidP="00E812D3">
      <w:pPr>
        <w:pStyle w:val="ListBullet"/>
      </w:pPr>
      <w:r w:rsidRPr="00E812D3">
        <w:t>interpreting engineering drawings</w:t>
      </w:r>
    </w:p>
    <w:p w:rsidR="00000000" w:rsidRPr="00E812D3" w:rsidP="00E812D3">
      <w:pPr>
        <w:pStyle w:val="ListBullet"/>
      </w:pPr>
      <w:r w:rsidRPr="00E812D3">
        <w:t>identifying soil, sand, rock, clay, shale, gravel and silt types and c</w:t>
      </w:r>
      <w:r w:rsidRPr="00E812D3">
        <w:t>haracteristics</w:t>
      </w:r>
    </w:p>
    <w:p w:rsidR="00000000" w:rsidRPr="00E812D3" w:rsidP="00E812D3">
      <w:pPr>
        <w:pStyle w:val="ListBullet"/>
      </w:pPr>
      <w:r w:rsidRPr="00E812D3">
        <w:t>identifying equipment types, characteristics, technical capabilities and limitations</w:t>
      </w:r>
    </w:p>
    <w:p w:rsidR="00000000" w:rsidRPr="00E812D3" w:rsidP="00E812D3">
      <w:pPr>
        <w:pStyle w:val="ListBullet"/>
      </w:pPr>
      <w:r w:rsidRPr="00E812D3">
        <w:t>applying and monitoring operational, maintenance and basic diagnostic procedures</w:t>
      </w:r>
    </w:p>
    <w:p w:rsidR="00000000" w:rsidRPr="00E812D3" w:rsidP="00E812D3">
      <w:pPr>
        <w:pStyle w:val="ListBullet"/>
      </w:pPr>
      <w:r w:rsidRPr="00E812D3">
        <w:t>interpreting and complying with safety data sheets and materials handling m</w:t>
      </w:r>
      <w:r w:rsidRPr="00E812D3">
        <w:t>ethods</w:t>
      </w:r>
    </w:p>
    <w:p w:rsidR="00000000" w:rsidRPr="00E812D3" w:rsidP="00E812D3">
      <w:pPr>
        <w:pStyle w:val="ListBullet"/>
      </w:pPr>
      <w:r w:rsidRPr="00E812D3">
        <w:t>monitoring project quality requirements</w:t>
      </w:r>
    </w:p>
    <w:p w:rsidR="00000000" w:rsidRPr="00E812D3" w:rsidP="00E812D3">
      <w:pPr>
        <w:pStyle w:val="ListBullet"/>
      </w:pPr>
      <w:r w:rsidRPr="00E812D3">
        <w:t>using civil construction terminology</w:t>
      </w:r>
    </w:p>
    <w:p w:rsidR="00000000" w:rsidRPr="00E812D3" w:rsidP="00E812D3">
      <w:pPr>
        <w:pStyle w:val="ListBullet"/>
      </w:pPr>
      <w:r w:rsidRPr="00E812D3">
        <w:t>preparing and/or implementing JSA/JSEA/safe work method statements</w:t>
      </w:r>
    </w:p>
    <w:p w:rsidR="00000000" w:rsidRPr="00E812D3" w:rsidP="00E812D3">
      <w:pPr>
        <w:pStyle w:val="AllowPageBreak"/>
      </w:pPr>
    </w:p>
    <w:p w:rsidR="00000000" w:rsidRPr="00E812D3" w:rsidP="00E812D3">
      <w:pPr>
        <w:pStyle w:val="Heading1"/>
      </w:pPr>
      <w:bookmarkStart w:id="11" w:name="O_681676"/>
      <w:bookmarkEnd w:id="11"/>
      <w:r w:rsidRPr="00E812D3">
        <w:t>Assessment Conditions</w:t>
      </w:r>
    </w:p>
    <w:p w:rsidR="00000000" w:rsidRPr="00E812D3" w:rsidP="00E812D3">
      <w:pPr>
        <w:pStyle w:val="ListBullet"/>
      </w:pPr>
      <w:r w:rsidRPr="00E812D3">
        <w:t>An assessor of this unit must satisfy the requirements of the NVR/AQTF or their successors; and Industry regulations for certification and licensing; and,</w:t>
      </w:r>
    </w:p>
    <w:p w:rsidR="00000000" w:rsidRPr="00E812D3" w:rsidP="00E812D3">
      <w:pPr>
        <w:pStyle w:val="ListBullet"/>
      </w:pPr>
      <w:r w:rsidRPr="00E812D3">
        <w:t>this unit must be assessed in the context of this sector’s work environment; and,</w:t>
      </w:r>
    </w:p>
    <w:p w:rsidR="00000000" w:rsidRPr="00E812D3" w:rsidP="00E812D3">
      <w:pPr>
        <w:pStyle w:val="ListBullet"/>
      </w:pPr>
      <w:r w:rsidRPr="00E812D3">
        <w:t>this unit must be a</w:t>
      </w:r>
      <w:r w:rsidRPr="00E812D3">
        <w:t>ssessed in compliance with relevant legislation/regulation and using policies, procedures, processes and operational manuals directly related to the industry sector for which it is being assessed; and,</w:t>
      </w:r>
    </w:p>
    <w:p w:rsidR="00000000" w:rsidRPr="00E812D3" w:rsidP="00E812D3">
      <w:pPr>
        <w:pStyle w:val="ListBullet"/>
      </w:pPr>
      <w:r w:rsidRPr="00E812D3">
        <w:t>assessment may be conducted in conjunction with the as</w:t>
      </w:r>
      <w:r w:rsidRPr="00E812D3">
        <w:t>sessment of other Units of Competency; and,</w:t>
      </w:r>
    </w:p>
    <w:p w:rsidR="00000000" w:rsidRPr="00E812D3" w:rsidP="00E812D3">
      <w:pPr>
        <w:pStyle w:val="ListBullet"/>
      </w:pPr>
      <w:r w:rsidRPr="00E812D3">
        <w:t>assessment must confirm consistent performance can be applied in a range of relevant workplace circumstances; and,</w:t>
      </w:r>
    </w:p>
    <w:p w:rsidR="00000000" w:rsidRPr="00E812D3" w:rsidP="00E812D3">
      <w:pPr>
        <w:pStyle w:val="ListBullet"/>
      </w:pPr>
      <w:r w:rsidRPr="00E812D3">
        <w:t>assessors must demonstrate the performance evidence, and knowledge evidence as outlined in this U</w:t>
      </w:r>
      <w:r w:rsidRPr="00E812D3">
        <w:t>nit of Competency, and through the minimum years of current* work experience specified below in an Industry sector relevant to the outcomes of the unit; or,</w:t>
      </w:r>
    </w:p>
    <w:p w:rsidR="00000000" w:rsidRPr="00E812D3" w:rsidP="00E812D3">
      <w:pPr>
        <w:pStyle w:val="ListBullet"/>
      </w:pPr>
      <w:r w:rsidRPr="00E812D3">
        <w:t>where the assessor does not meet experience requirements a co-assessment or partnership arrangement</w:t>
      </w:r>
      <w:r w:rsidRPr="00E812D3">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E812D3">
        <w:t>dustry technical expert must also demonstrate skills and knowledge from the minimum years of current work experience specified below in the Industry sector, including time spent in roles related to the unit being assessed; and,</w:t>
      </w:r>
    </w:p>
    <w:p w:rsidR="00000000" w:rsidRPr="00E812D3" w:rsidP="00E812D3">
      <w:pPr>
        <w:pStyle w:val="ListBullet"/>
      </w:pPr>
      <w:r w:rsidRPr="00E812D3">
        <w:t>assessor and Industry subjec</w:t>
      </w:r>
      <w:r w:rsidRPr="00E812D3">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812D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Required assessor or Industry subject matter expert expe</w:t>
            </w:r>
            <w:r w:rsidRPr="00E812D3">
              <w:t>rience</w:t>
            </w:r>
          </w:p>
        </w:tc>
      </w:tr>
      <w:tr w:rsidTr="00E812D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1 Year</w:t>
            </w:r>
          </w:p>
        </w:tc>
      </w:tr>
      <w:tr w:rsidTr="00E812D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2 Years</w:t>
            </w:r>
          </w:p>
        </w:tc>
      </w:tr>
      <w:tr w:rsidTr="00E812D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3 Years</w:t>
            </w:r>
          </w:p>
        </w:tc>
      </w:tr>
      <w:tr w:rsidTr="00E812D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5 Years</w:t>
            </w:r>
          </w:p>
        </w:tc>
      </w:tr>
      <w:tr w:rsidTr="00E812D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2D3">
            <w:pPr>
              <w:pStyle w:val="BodyText"/>
              <w:rPr>
                <w:lang w:val="en-NZ"/>
              </w:rPr>
            </w:pPr>
            <w:r w:rsidRPr="00E812D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12D3" w:rsidP="00E812D3">
            <w:pPr>
              <w:pStyle w:val="BodyText"/>
            </w:pPr>
            <w:r w:rsidRPr="00E812D3">
              <w:t>Where this Unit is being assessed outside of the Resources and Infrastructure Sectors assessor and/or Industry subject matter expert experience should be in-line with industry standards for the sector in which it is being assessed and where no Industry sta</w:t>
            </w:r>
            <w:r w:rsidRPr="00E812D3">
              <w:t>ndard is specified should comply with any relevant regulation.</w:t>
            </w:r>
          </w:p>
        </w:tc>
      </w:tr>
    </w:tbl>
    <w:p w:rsidR="00000000" w:rsidRPr="00E812D3" w:rsidP="00FE3678">
      <w:pPr>
        <w:pStyle w:val="BodyText"/>
      </w:pPr>
      <w:r w:rsidRPr="00E812D3">
        <w:t>*Assessors can demonstrate current work experience through employment within Industry in a role relevant to the outcomes of the Unit; or, for external assessors this can be demonstrated throu</w:t>
      </w:r>
      <w:r w:rsidRPr="00E812D3">
        <w:t>gh exposure to Industry by conducting frequent site assessments across various locations.</w:t>
      </w:r>
    </w:p>
    <w:p w:rsidR="00000000" w:rsidRPr="00E812D3" w:rsidP="00FE3678">
      <w:pPr>
        <w:pStyle w:val="BodyText"/>
      </w:pPr>
      <w:r w:rsidRPr="00E812D3">
        <w:t>**Where a unit is being delivered outside of a Qualification the first numeric character in the Unit code should be considered to indicate the AQF level</w:t>
      </w:r>
    </w:p>
    <w:p w:rsidR="00000000" w:rsidRPr="00E812D3" w:rsidP="00E812D3">
      <w:pPr>
        <w:pStyle w:val="Heading1"/>
      </w:pPr>
      <w:bookmarkStart w:id="12" w:name="O_681688"/>
      <w:bookmarkEnd w:id="12"/>
      <w:r w:rsidRPr="00E812D3">
        <w:t>Links</w:t>
      </w:r>
    </w:p>
    <w:p w:rsidR="00000000" w:rsidRPr="00E812D3" w:rsidP="00FE3678">
      <w:pPr>
        <w:pStyle w:val="BodyText"/>
      </w:pPr>
      <w:r w:rsidRPr="00E812D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7838">
        <w:rPr>
          <w:rStyle w:val="Hyperlink"/>
        </w:rPr>
        <w:t>https://vetnet.gov.au/Pages/TrainingDocs.aspx?q=88a61002-9a21-4386-aaf8-69c76e675272</w:t>
      </w:r>
      <w:r>
        <w:fldChar w:fldCharType="end"/>
      </w:r>
    </w:p>
    <w:p w:rsidR="00000000" w:rsidRPr="00E812D3" w:rsidP="00E812D3"/>
    <w:sectPr w:rsidSect="00E812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3" w:rsidRPr="00FE3678" w:rsidP="00FE3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78" w:rsidP="00E81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3678" w:rsidP="00E812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3678" w:rsidP="00E812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3" w:rsidP="00E812D3">
    <w:pPr>
      <w:pStyle w:val="Footer"/>
      <w:framePr w:wrap="around"/>
    </w:pPr>
    <w:r>
      <w:fldChar w:fldCharType="begin"/>
    </w:r>
    <w:r>
      <w:instrText xml:space="preserve"> DOCPROPERTY  Subject  \* MERGEFORMAT </w:instrText>
    </w:r>
    <w:r>
      <w:fldChar w:fldCharType="separate"/>
    </w:r>
    <w:r w:rsidR="00FE3678">
      <w:t>Approved</w:t>
    </w:r>
    <w:r w:rsidR="00FE3678">
      <w:fldChar w:fldCharType="end"/>
    </w:r>
    <w:r>
      <w:tab/>
      <w:t xml:space="preserve">Page </w:t>
    </w:r>
    <w:r>
      <w:fldChar w:fldCharType="begin"/>
    </w:r>
    <w:r>
      <w:instrText xml:space="preserve"> PAGE  \* Arabic  \* MERGEFORMAT </w:instrText>
    </w:r>
    <w:r>
      <w:fldChar w:fldCharType="separate"/>
    </w:r>
    <w:r w:rsidR="00FE36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3678">
      <w:rPr>
        <w:noProof/>
      </w:rPr>
      <w:t>5</w:t>
    </w:r>
    <w:r>
      <w:rPr>
        <w:noProof/>
      </w:rPr>
      <w:fldChar w:fldCharType="end"/>
    </w:r>
  </w:p>
  <w:p w:rsidR="00E812D3" w:rsidP="00E812D3">
    <w:pPr>
      <w:pStyle w:val="Footer"/>
      <w:framePr w:wrap="around"/>
    </w:pPr>
    <w:r>
      <w:t xml:space="preserve">© Commonwealth of Australia, </w:t>
    </w:r>
    <w:r>
      <w:fldChar w:fldCharType="begin"/>
    </w:r>
    <w:r>
      <w:instrText xml:space="preserve"> DATE  \@ "yyyy"  \* MERGEFORMAT </w:instrText>
    </w:r>
    <w:r>
      <w:fldChar w:fldCharType="separate"/>
    </w:r>
    <w:r w:rsidR="00FE3678">
      <w:rPr>
        <w:noProof/>
      </w:rPr>
      <w:t>2025</w:t>
    </w:r>
    <w:r>
      <w:fldChar w:fldCharType="end"/>
    </w:r>
    <w:r>
      <w:tab/>
    </w:r>
    <w:r>
      <w:fldChar w:fldCharType="begin"/>
    </w:r>
    <w:r>
      <w:instrText xml:space="preserve"> DOCPROPERTY  Author  \* MERGEFORMAT </w:instrText>
    </w:r>
    <w:r>
      <w:fldChar w:fldCharType="separate"/>
    </w:r>
    <w:r w:rsidR="00FE3678">
      <w:t>Mining and Automotive Skills Alliance</w:t>
    </w:r>
    <w:r w:rsidR="00FE3678">
      <w:fldChar w:fldCharType="end"/>
    </w:r>
  </w:p>
  <w:p w:rsidR="00E812D3" w:rsidP="00E81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2D3" w:rsidRPr="00FE3678" w:rsidP="00FE36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78" w:rsidRPr="002D2AF8" w:rsidP="00E812D3">
    <w:pPr>
      <w:pStyle w:val="Header"/>
      <w:framePr w:wrap="around"/>
    </w:pPr>
    <w:r>
      <w:fldChar w:fldCharType="begin"/>
    </w:r>
    <w:r>
      <w:instrText xml:space="preserve"> TITLE   \* MERGEFORMAT </w:instrText>
    </w:r>
    <w:r>
      <w:fldChar w:fldCharType="separate"/>
    </w:r>
    <w:r>
      <w:t>RIICFW302D Install temporary and permanent rock anchors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3678" w:rsidP="00E812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3" w:rsidRPr="002D2AF8" w:rsidP="00E812D3">
    <w:pPr>
      <w:pStyle w:val="Header"/>
      <w:framePr w:wrap="around"/>
    </w:pPr>
    <w:r>
      <w:fldChar w:fldCharType="begin"/>
    </w:r>
    <w:r>
      <w:instrText xml:space="preserve"> TITLE   \* MERGEFORMAT </w:instrText>
    </w:r>
    <w:r>
      <w:fldChar w:fldCharType="separate"/>
    </w:r>
    <w:r w:rsidR="00FE3678">
      <w:t>RIICFW302D Install temporary and permanent rock anchors</w:t>
    </w:r>
    <w:r w:rsidR="00FE3678">
      <w:fldChar w:fldCharType="end"/>
    </w:r>
    <w:r>
      <w:tab/>
      <w:t xml:space="preserve">Date this document was generated: </w:t>
    </w:r>
    <w:r>
      <w:fldChar w:fldCharType="begin"/>
    </w:r>
    <w:r>
      <w:instrText xml:space="preserve"> CREATEDATE  \@ "d MMMM yyyy"  \* MERGEFORMAT </w:instrText>
    </w:r>
    <w:r>
      <w:fldChar w:fldCharType="separate"/>
    </w:r>
    <w:r w:rsidR="00FE3678">
      <w:rPr>
        <w:noProof/>
      </w:rPr>
      <w:t>2 March 2025</w:t>
    </w:r>
    <w:r>
      <w:fldChar w:fldCharType="end"/>
    </w:r>
  </w:p>
  <w:p w:rsidR="00E812D3" w:rsidP="00E81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C0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01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0C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2D3"/>
    <w:pPr>
      <w:spacing w:before="360" w:after="60"/>
      <w:outlineLvl w:val="0"/>
    </w:pPr>
    <w:rPr>
      <w:sz w:val="32"/>
    </w:rPr>
  </w:style>
  <w:style w:type="paragraph" w:styleId="Heading2">
    <w:name w:val="heading 2"/>
    <w:basedOn w:val="HeadingBase"/>
    <w:next w:val="BodyText"/>
    <w:link w:val="Heading2Char"/>
    <w:qFormat/>
    <w:rsid w:val="00E812D3"/>
    <w:pPr>
      <w:keepLines/>
      <w:spacing w:before="240" w:after="120"/>
      <w:outlineLvl w:val="1"/>
    </w:pPr>
    <w:rPr>
      <w:sz w:val="28"/>
      <w:szCs w:val="40"/>
    </w:rPr>
  </w:style>
  <w:style w:type="paragraph" w:styleId="Heading3">
    <w:name w:val="heading 3"/>
    <w:basedOn w:val="HeadingBase"/>
    <w:next w:val="BodyText"/>
    <w:link w:val="Heading3Char"/>
    <w:qFormat/>
    <w:rsid w:val="00E812D3"/>
    <w:pPr>
      <w:spacing w:before="180" w:after="120"/>
      <w:outlineLvl w:val="2"/>
    </w:pPr>
    <w:rPr>
      <w:spacing w:val="-10"/>
      <w:kern w:val="32"/>
    </w:rPr>
  </w:style>
  <w:style w:type="paragraph" w:styleId="Heading4">
    <w:name w:val="heading 4"/>
    <w:basedOn w:val="HeadingBase"/>
    <w:next w:val="BodyText"/>
    <w:link w:val="Heading4Char"/>
    <w:qFormat/>
    <w:rsid w:val="00E812D3"/>
    <w:pPr>
      <w:spacing w:before="160" w:after="120"/>
      <w:outlineLvl w:val="3"/>
    </w:pPr>
    <w:rPr>
      <w:sz w:val="22"/>
    </w:rPr>
  </w:style>
  <w:style w:type="paragraph" w:styleId="Heading5">
    <w:name w:val="heading 5"/>
    <w:basedOn w:val="HeadingBase"/>
    <w:next w:val="Normal"/>
    <w:link w:val="Heading5Char"/>
    <w:qFormat/>
    <w:rsid w:val="00E812D3"/>
    <w:pPr>
      <w:spacing w:before="80"/>
      <w:outlineLvl w:val="4"/>
    </w:pPr>
    <w:rPr>
      <w:color w:val="918585"/>
      <w:sz w:val="20"/>
    </w:rPr>
  </w:style>
  <w:style w:type="paragraph" w:styleId="Heading6">
    <w:name w:val="heading 6"/>
    <w:basedOn w:val="HeadingBase"/>
    <w:next w:val="Normal"/>
    <w:link w:val="Heading6Char"/>
    <w:qFormat/>
    <w:rsid w:val="00E812D3"/>
    <w:pPr>
      <w:spacing w:before="60"/>
      <w:outlineLvl w:val="5"/>
    </w:pPr>
    <w:rPr>
      <w:color w:val="918585"/>
      <w:sz w:val="20"/>
    </w:rPr>
  </w:style>
  <w:style w:type="paragraph" w:styleId="Heading7">
    <w:name w:val="heading 7"/>
    <w:basedOn w:val="Normal"/>
    <w:next w:val="Normal"/>
    <w:link w:val="Heading7Char"/>
    <w:qFormat/>
    <w:rsid w:val="00E812D3"/>
    <w:pPr>
      <w:ind w:left="720"/>
      <w:outlineLvl w:val="6"/>
    </w:pPr>
    <w:rPr>
      <w:i/>
    </w:rPr>
  </w:style>
  <w:style w:type="paragraph" w:styleId="Heading8">
    <w:name w:val="heading 8"/>
    <w:basedOn w:val="Normal"/>
    <w:next w:val="Normal"/>
    <w:link w:val="Heading8Char"/>
    <w:qFormat/>
    <w:rsid w:val="00E812D3"/>
    <w:pPr>
      <w:ind w:left="720"/>
      <w:outlineLvl w:val="7"/>
    </w:pPr>
    <w:rPr>
      <w:i/>
    </w:rPr>
  </w:style>
  <w:style w:type="paragraph" w:styleId="Heading9">
    <w:name w:val="heading 9"/>
    <w:basedOn w:val="Normal"/>
    <w:next w:val="Normal"/>
    <w:link w:val="Heading9Char"/>
    <w:qFormat/>
    <w:rsid w:val="00E812D3"/>
    <w:pPr>
      <w:ind w:left="720"/>
      <w:outlineLvl w:val="8"/>
    </w:pPr>
    <w:rPr>
      <w:i/>
    </w:rPr>
  </w:style>
  <w:style w:type="character" w:default="1" w:styleId="DefaultParagraphFont">
    <w:name w:val="Default Paragraph Font"/>
    <w:uiPriority w:val="1"/>
    <w:unhideWhenUsed/>
    <w:rsid w:val="00E81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2D3"/>
  </w:style>
  <w:style w:type="character" w:customStyle="1" w:styleId="Heading1Char">
    <w:name w:val="Heading 1 Char"/>
    <w:basedOn w:val="DefaultParagraphFont"/>
    <w:link w:val="Heading1"/>
    <w:rsid w:val="00E812D3"/>
    <w:rPr>
      <w:rFonts w:ascii="Times New Roman" w:eastAsia="Times New Roman" w:hAnsi="Times New Roman" w:cs="Times New Roman"/>
      <w:b/>
      <w:sz w:val="32"/>
      <w:szCs w:val="20"/>
      <w:lang w:eastAsia="en-US"/>
    </w:rPr>
  </w:style>
  <w:style w:type="paragraph" w:styleId="BodyText">
    <w:name w:val="Body Text"/>
    <w:basedOn w:val="Normal"/>
    <w:link w:val="BodyTextChar"/>
    <w:rsid w:val="00E81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2D3"/>
    <w:rPr>
      <w:rFonts w:ascii="Times New Roman" w:eastAsia="Times New Roman" w:hAnsi="Times New Roman" w:cs="Times New Roman"/>
      <w:sz w:val="24"/>
      <w:lang w:eastAsia="en-US"/>
    </w:rPr>
  </w:style>
  <w:style w:type="paragraph" w:styleId="ListBullet">
    <w:name w:val="List Bullet"/>
    <w:basedOn w:val="List"/>
    <w:rsid w:val="00E812D3"/>
    <w:pPr>
      <w:numPr>
        <w:numId w:val="12"/>
      </w:numPr>
      <w:tabs>
        <w:tab w:val="clear" w:pos="340"/>
      </w:tabs>
      <w:spacing w:before="40" w:after="40"/>
    </w:pPr>
  </w:style>
  <w:style w:type="paragraph" w:styleId="ListBullet2">
    <w:name w:val="List Bullet 2"/>
    <w:basedOn w:val="List2"/>
    <w:rsid w:val="00E812D3"/>
    <w:pPr>
      <w:numPr>
        <w:numId w:val="13"/>
      </w:numPr>
      <w:tabs>
        <w:tab w:val="clear" w:pos="680"/>
      </w:tabs>
    </w:pPr>
  </w:style>
  <w:style w:type="paragraph" w:customStyle="1" w:styleId="SuperHeading">
    <w:name w:val="SuperHeading"/>
    <w:basedOn w:val="Normal"/>
    <w:rsid w:val="00E812D3"/>
    <w:pPr>
      <w:spacing w:before="240" w:after="120"/>
      <w:outlineLvl w:val="0"/>
    </w:pPr>
    <w:rPr>
      <w:rFonts w:ascii="Times New Roman" w:hAnsi="Times New Roman"/>
      <w:b/>
      <w:sz w:val="32"/>
    </w:rPr>
  </w:style>
  <w:style w:type="paragraph" w:customStyle="1" w:styleId="AllowPageBreak">
    <w:name w:val="AllowPageBreak"/>
    <w:rsid w:val="00E812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2D3"/>
    <w:rPr>
      <w:rFonts w:ascii="Courier New" w:eastAsia="Times New Roman" w:hAnsi="Courier New" w:cs="Times New Roman"/>
      <w:i/>
      <w:szCs w:val="20"/>
      <w:lang w:eastAsia="en-US"/>
    </w:rPr>
  </w:style>
  <w:style w:type="paragraph" w:customStyle="1" w:styleId="HeadingBase">
    <w:name w:val="Heading Base"/>
    <w:rsid w:val="00E81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2D3"/>
    <w:pPr>
      <w:tabs>
        <w:tab w:val="right" w:leader="dot" w:pos="9072"/>
      </w:tabs>
      <w:ind w:left="567"/>
    </w:pPr>
    <w:rPr>
      <w:szCs w:val="22"/>
    </w:rPr>
  </w:style>
  <w:style w:type="paragraph" w:customStyle="1" w:styleId="TOCBase">
    <w:name w:val="TOC Base"/>
    <w:rsid w:val="00E81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2D3"/>
    <w:pPr>
      <w:tabs>
        <w:tab w:val="right" w:leader="dot" w:pos="9072"/>
      </w:tabs>
      <w:spacing w:before="40" w:after="40"/>
      <w:ind w:left="284"/>
    </w:pPr>
    <w:rPr>
      <w:rFonts w:ascii="Times New Roman" w:hAnsi="Times New Roman"/>
    </w:rPr>
  </w:style>
  <w:style w:type="paragraph" w:styleId="TOC1">
    <w:name w:val="toc 1"/>
    <w:basedOn w:val="TOCBase"/>
    <w:next w:val="Normal"/>
    <w:rsid w:val="00E81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2D3"/>
    <w:rPr>
      <w:rFonts w:ascii="Times New Roman" w:eastAsia="Times New Roman" w:hAnsi="Times New Roman" w:cs="Times New Roman"/>
      <w:sz w:val="16"/>
      <w:lang w:eastAsia="en-US"/>
    </w:rPr>
  </w:style>
  <w:style w:type="paragraph" w:styleId="Title">
    <w:name w:val="Title"/>
    <w:basedOn w:val="HeadingBase"/>
    <w:link w:val="TitleChar"/>
    <w:qFormat/>
    <w:rsid w:val="00E812D3"/>
    <w:pPr>
      <w:spacing w:before="5040"/>
      <w:jc w:val="center"/>
    </w:pPr>
    <w:rPr>
      <w:sz w:val="48"/>
      <w:szCs w:val="72"/>
      <w:lang w:val="en-US"/>
    </w:rPr>
  </w:style>
  <w:style w:type="character" w:customStyle="1" w:styleId="TitleChar">
    <w:name w:val="Title Char"/>
    <w:basedOn w:val="DefaultParagraphFont"/>
    <w:link w:val="Title"/>
    <w:rsid w:val="00E81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2D3"/>
    <w:pPr>
      <w:tabs>
        <w:tab w:val="left" w:pos="3600"/>
        <w:tab w:val="left" w:pos="3958"/>
      </w:tabs>
    </w:pPr>
  </w:style>
  <w:style w:type="paragraph" w:styleId="List">
    <w:name w:val="List"/>
    <w:basedOn w:val="BodyText"/>
    <w:next w:val="BodyText"/>
    <w:rsid w:val="00E812D3"/>
    <w:pPr>
      <w:tabs>
        <w:tab w:val="left" w:pos="340"/>
      </w:tabs>
      <w:spacing w:before="60" w:after="60"/>
      <w:ind w:left="340" w:hanging="340"/>
    </w:pPr>
  </w:style>
  <w:style w:type="paragraph" w:customStyle="1" w:styleId="Note">
    <w:name w:val="Note"/>
    <w:basedOn w:val="BodyText"/>
    <w:rsid w:val="00E812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12D3"/>
    <w:rPr>
      <w:b/>
      <w:spacing w:val="0"/>
    </w:rPr>
  </w:style>
  <w:style w:type="paragraph" w:customStyle="1" w:styleId="SuperTitle">
    <w:name w:val="SuperTitle"/>
    <w:basedOn w:val="Title"/>
    <w:rsid w:val="00E812D3"/>
    <w:pPr>
      <w:framePr w:wrap="auto" w:hAnchor="text" w:y="6049"/>
    </w:pPr>
    <w:rPr>
      <w:color w:val="000000"/>
      <w:sz w:val="40"/>
    </w:rPr>
  </w:style>
  <w:style w:type="paragraph" w:customStyle="1" w:styleId="TOCTitle">
    <w:name w:val="TOCTitle"/>
    <w:basedOn w:val="Heading1"/>
    <w:rsid w:val="00E812D3"/>
    <w:pPr>
      <w:spacing w:after="240"/>
      <w:jc w:val="center"/>
      <w:outlineLvl w:val="9"/>
    </w:pPr>
    <w:rPr>
      <w:caps/>
    </w:rPr>
  </w:style>
  <w:style w:type="paragraph" w:customStyle="1" w:styleId="Version">
    <w:name w:val="Version"/>
    <w:rsid w:val="00E81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2D3"/>
    <w:pPr>
      <w:keepNext w:val="0"/>
      <w:tabs>
        <w:tab w:val="right" w:pos="4176"/>
      </w:tabs>
      <w:ind w:left="198" w:hanging="198"/>
    </w:pPr>
    <w:rPr>
      <w:rFonts w:ascii="Garamond" w:hAnsi="Garamond"/>
    </w:rPr>
  </w:style>
  <w:style w:type="paragraph" w:styleId="IndexHeading">
    <w:name w:val="index heading"/>
    <w:basedOn w:val="Normal"/>
    <w:next w:val="Index1"/>
    <w:semiHidden/>
    <w:rsid w:val="00E812D3"/>
    <w:pPr>
      <w:spacing w:before="120" w:after="120"/>
    </w:pPr>
    <w:rPr>
      <w:rFonts w:ascii="Arial" w:hAnsi="Arial"/>
      <w:b/>
      <w:color w:val="918585"/>
      <w:sz w:val="24"/>
    </w:rPr>
  </w:style>
  <w:style w:type="paragraph" w:styleId="Header">
    <w:name w:val="header"/>
    <w:basedOn w:val="Normal"/>
    <w:link w:val="HeaderChar"/>
    <w:rsid w:val="00E81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2D3"/>
    <w:rPr>
      <w:rFonts w:ascii="Times New Roman" w:eastAsia="Times New Roman" w:hAnsi="Times New Roman" w:cs="Times New Roman"/>
      <w:sz w:val="16"/>
      <w:szCs w:val="20"/>
      <w:lang w:val="en-GB" w:eastAsia="en-US"/>
    </w:rPr>
  </w:style>
  <w:style w:type="paragraph" w:customStyle="1" w:styleId="Chapter">
    <w:name w:val="Chapter"/>
    <w:basedOn w:val="Normal"/>
    <w:rsid w:val="00E812D3"/>
    <w:pPr>
      <w:spacing w:before="240"/>
    </w:pPr>
    <w:rPr>
      <w:rFonts w:ascii="Times New Roman" w:hAnsi="Times New Roman"/>
      <w:smallCaps/>
      <w:spacing w:val="80"/>
      <w:sz w:val="28"/>
    </w:rPr>
  </w:style>
  <w:style w:type="paragraph" w:customStyle="1" w:styleId="InChapter">
    <w:name w:val="InChapter"/>
    <w:basedOn w:val="Heading3"/>
    <w:rsid w:val="00E812D3"/>
    <w:pPr>
      <w:spacing w:after="240"/>
      <w:outlineLvl w:val="9"/>
    </w:pPr>
    <w:rPr>
      <w:noProof/>
    </w:rPr>
  </w:style>
  <w:style w:type="paragraph" w:styleId="Index2">
    <w:name w:val="index 2"/>
    <w:basedOn w:val="Normal"/>
    <w:next w:val="Normal"/>
    <w:semiHidden/>
    <w:rsid w:val="00E812D3"/>
    <w:pPr>
      <w:tabs>
        <w:tab w:val="right" w:pos="4176"/>
      </w:tabs>
      <w:ind w:left="568" w:hanging="284"/>
    </w:pPr>
    <w:rPr>
      <w:rFonts w:ascii="Garamond" w:hAnsi="Garamond"/>
    </w:rPr>
  </w:style>
  <w:style w:type="paragraph" w:customStyle="1" w:styleId="Byline">
    <w:name w:val="Byline"/>
    <w:rsid w:val="00E81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2D3"/>
    <w:pPr>
      <w:tabs>
        <w:tab w:val="clear" w:pos="3600"/>
        <w:tab w:val="clear" w:pos="3958"/>
      </w:tabs>
      <w:jc w:val="right"/>
    </w:pPr>
  </w:style>
  <w:style w:type="character" w:styleId="Emphasis">
    <w:name w:val="Emphasis"/>
    <w:basedOn w:val="DefaultParagraphFont"/>
    <w:qFormat/>
    <w:rsid w:val="00E812D3"/>
    <w:rPr>
      <w:i/>
    </w:rPr>
  </w:style>
  <w:style w:type="paragraph" w:styleId="Caption">
    <w:name w:val="caption"/>
    <w:basedOn w:val="BodyText"/>
    <w:next w:val="Normal"/>
    <w:qFormat/>
    <w:rsid w:val="00E812D3"/>
    <w:pPr>
      <w:framePr w:w="2268" w:hSpace="181" w:vSpace="181" w:wrap="around" w:vAnchor="text" w:hAnchor="page" w:x="1135" w:y="285" w:anchorLock="1"/>
    </w:pPr>
    <w:rPr>
      <w:i/>
    </w:rPr>
  </w:style>
  <w:style w:type="paragraph" w:customStyle="1" w:styleId="MiniTOCTitle">
    <w:name w:val="MiniTOCTitle"/>
    <w:basedOn w:val="Heading4"/>
    <w:rsid w:val="00E812D3"/>
    <w:pPr>
      <w:spacing w:before="240"/>
      <w:outlineLvl w:val="9"/>
    </w:pPr>
    <w:rPr>
      <w:noProof/>
      <w:sz w:val="24"/>
    </w:rPr>
  </w:style>
  <w:style w:type="paragraph" w:customStyle="1" w:styleId="MiniTOCItem">
    <w:name w:val="MiniTOCItem"/>
    <w:basedOn w:val="ListBullet"/>
    <w:rsid w:val="00E812D3"/>
    <w:pPr>
      <w:numPr>
        <w:numId w:val="0"/>
      </w:numPr>
      <w:tabs>
        <w:tab w:val="right" w:leader="dot" w:pos="6521"/>
      </w:tabs>
      <w:spacing w:before="0" w:after="0"/>
    </w:pPr>
  </w:style>
  <w:style w:type="paragraph" w:customStyle="1" w:styleId="TOFTitle">
    <w:name w:val="TOFTitle"/>
    <w:basedOn w:val="TOCTitle"/>
    <w:rsid w:val="00E812D3"/>
  </w:style>
  <w:style w:type="paragraph" w:styleId="TableofFigures">
    <w:name w:val="table of figures"/>
    <w:basedOn w:val="Normal"/>
    <w:next w:val="Normal"/>
    <w:semiHidden/>
    <w:rsid w:val="00E812D3"/>
    <w:pPr>
      <w:tabs>
        <w:tab w:val="right" w:leader="dot" w:pos="9072"/>
      </w:tabs>
      <w:ind w:left="970" w:hanging="403"/>
    </w:pPr>
    <w:rPr>
      <w:rFonts w:ascii="Times New Roman" w:hAnsi="Times New Roman"/>
      <w:b/>
    </w:rPr>
  </w:style>
  <w:style w:type="paragraph" w:styleId="ListNumber">
    <w:name w:val="List Number"/>
    <w:basedOn w:val="List"/>
    <w:rsid w:val="00E812D3"/>
    <w:pPr>
      <w:numPr>
        <w:numId w:val="15"/>
      </w:numPr>
      <w:tabs>
        <w:tab w:val="clear" w:pos="340"/>
      </w:tabs>
    </w:pPr>
  </w:style>
  <w:style w:type="character" w:customStyle="1" w:styleId="WingdingSymbols">
    <w:name w:val="Wingding Symbols"/>
    <w:rsid w:val="00E812D3"/>
    <w:rPr>
      <w:rFonts w:ascii="Wingdings" w:hAnsi="Wingdings"/>
    </w:rPr>
  </w:style>
  <w:style w:type="paragraph" w:customStyle="1" w:styleId="TableHeading">
    <w:name w:val="Table Heading"/>
    <w:basedOn w:val="HeadingBase"/>
    <w:rsid w:val="00E812D3"/>
    <w:pPr>
      <w:keepLines/>
      <w:pBdr>
        <w:bottom w:val="single" w:sz="6" w:space="1" w:color="918585"/>
      </w:pBdr>
      <w:spacing w:before="240"/>
    </w:pPr>
  </w:style>
  <w:style w:type="character" w:customStyle="1" w:styleId="HotSpot">
    <w:name w:val="HotSpot"/>
    <w:rsid w:val="00E812D3"/>
    <w:rPr>
      <w:color w:val="0033CC"/>
      <w:u w:val="none"/>
    </w:rPr>
  </w:style>
  <w:style w:type="paragraph" w:customStyle="1" w:styleId="BodyTextRight">
    <w:name w:val="Body Text Right"/>
    <w:basedOn w:val="BodyText"/>
    <w:rsid w:val="00E812D3"/>
    <w:pPr>
      <w:spacing w:before="0" w:after="0"/>
      <w:jc w:val="right"/>
    </w:pPr>
  </w:style>
  <w:style w:type="paragraph" w:styleId="Index3">
    <w:name w:val="index 3"/>
    <w:basedOn w:val="ListNumber2"/>
    <w:next w:val="Normal"/>
    <w:semiHidden/>
    <w:rsid w:val="00E812D3"/>
    <w:pPr>
      <w:numPr>
        <w:numId w:val="0"/>
      </w:numPr>
      <w:tabs>
        <w:tab w:val="right" w:leader="dot" w:pos="4176"/>
      </w:tabs>
    </w:pPr>
  </w:style>
  <w:style w:type="paragraph" w:styleId="ListNumber2">
    <w:name w:val="List Number 2"/>
    <w:basedOn w:val="List2"/>
    <w:rsid w:val="00E812D3"/>
    <w:pPr>
      <w:numPr>
        <w:numId w:val="10"/>
      </w:numPr>
      <w:tabs>
        <w:tab w:val="clear" w:pos="1060"/>
      </w:tabs>
    </w:pPr>
  </w:style>
  <w:style w:type="paragraph" w:customStyle="1" w:styleId="MarginNote">
    <w:name w:val="Margin Note"/>
    <w:basedOn w:val="BodyText"/>
    <w:rsid w:val="00E81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2D3"/>
    <w:rPr>
      <w:sz w:val="32"/>
    </w:rPr>
  </w:style>
  <w:style w:type="paragraph" w:customStyle="1" w:styleId="HeadingProcedure">
    <w:name w:val="Heading Procedure"/>
    <w:basedOn w:val="HeadingBase"/>
    <w:next w:val="Normal"/>
    <w:rsid w:val="00E812D3"/>
    <w:pPr>
      <w:tabs>
        <w:tab w:val="left" w:pos="0"/>
      </w:tabs>
      <w:spacing w:before="120" w:after="60"/>
    </w:pPr>
    <w:rPr>
      <w:i/>
      <w:color w:val="918585"/>
      <w:sz w:val="22"/>
    </w:rPr>
  </w:style>
  <w:style w:type="paragraph" w:customStyle="1" w:styleId="TableBodyText">
    <w:name w:val="Table Body Text"/>
    <w:basedOn w:val="BodyText"/>
    <w:rsid w:val="00E812D3"/>
    <w:pPr>
      <w:spacing w:before="60" w:after="60"/>
    </w:pPr>
  </w:style>
  <w:style w:type="paragraph" w:styleId="ListContinue">
    <w:name w:val="List Continue"/>
    <w:basedOn w:val="List"/>
    <w:rsid w:val="00E812D3"/>
    <w:pPr>
      <w:ind w:firstLine="0"/>
    </w:pPr>
  </w:style>
  <w:style w:type="paragraph" w:customStyle="1" w:styleId="ListNote">
    <w:name w:val="List Note"/>
    <w:basedOn w:val="List"/>
    <w:rsid w:val="00E812D3"/>
    <w:pPr>
      <w:pBdr>
        <w:top w:val="single" w:sz="6" w:space="2" w:color="918585"/>
        <w:bottom w:val="single" w:sz="6" w:space="2" w:color="918585"/>
      </w:pBdr>
      <w:tabs>
        <w:tab w:val="left" w:pos="1021"/>
      </w:tabs>
      <w:ind w:firstLine="0"/>
    </w:pPr>
  </w:style>
  <w:style w:type="paragraph" w:customStyle="1" w:styleId="Warning">
    <w:name w:val="Warning"/>
    <w:basedOn w:val="BodyText"/>
    <w:rsid w:val="00E812D3"/>
    <w:pPr>
      <w:shd w:val="clear" w:color="auto" w:fill="D9D9D9"/>
      <w:tabs>
        <w:tab w:val="left" w:pos="992"/>
      </w:tabs>
      <w:ind w:left="119" w:right="119"/>
    </w:pPr>
    <w:rPr>
      <w:sz w:val="20"/>
    </w:rPr>
  </w:style>
  <w:style w:type="paragraph" w:customStyle="1" w:styleId="MarginIcons">
    <w:name w:val="Margin Icons"/>
    <w:basedOn w:val="BodyText"/>
    <w:rsid w:val="00E81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2D3"/>
    <w:rPr>
      <w:rFonts w:ascii="Courier New" w:hAnsi="Courier New"/>
    </w:rPr>
  </w:style>
  <w:style w:type="paragraph" w:customStyle="1" w:styleId="NoteBullet">
    <w:name w:val="Note Bullet"/>
    <w:basedOn w:val="Note"/>
    <w:rsid w:val="00E812D3"/>
    <w:pPr>
      <w:tabs>
        <w:tab w:val="clear" w:pos="680"/>
      </w:tabs>
      <w:spacing w:before="60" w:after="60"/>
    </w:pPr>
  </w:style>
  <w:style w:type="paragraph" w:customStyle="1" w:styleId="SubHeading2">
    <w:name w:val="SubHeading2"/>
    <w:basedOn w:val="HeadingBase"/>
    <w:rsid w:val="00E812D3"/>
    <w:pPr>
      <w:spacing w:before="240" w:after="60"/>
    </w:pPr>
    <w:rPr>
      <w:sz w:val="20"/>
    </w:rPr>
  </w:style>
  <w:style w:type="paragraph" w:customStyle="1" w:styleId="SubHeading1">
    <w:name w:val="SubHeading1"/>
    <w:basedOn w:val="HeadingBase"/>
    <w:rsid w:val="00E812D3"/>
    <w:pPr>
      <w:spacing w:before="240" w:after="60"/>
    </w:pPr>
    <w:rPr>
      <w:color w:val="918585"/>
      <w:sz w:val="22"/>
    </w:rPr>
  </w:style>
  <w:style w:type="paragraph" w:customStyle="1" w:styleId="SideHeading">
    <w:name w:val="Side Heading"/>
    <w:basedOn w:val="HeadingBase"/>
    <w:rsid w:val="00E81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2D3"/>
    <w:pPr>
      <w:tabs>
        <w:tab w:val="num" w:pos="360"/>
      </w:tabs>
    </w:pPr>
  </w:style>
  <w:style w:type="paragraph" w:styleId="PlainText">
    <w:name w:val="Plain Text"/>
    <w:basedOn w:val="Normal"/>
    <w:link w:val="PlainTextChar"/>
    <w:rsid w:val="00E812D3"/>
    <w:rPr>
      <w:sz w:val="20"/>
    </w:rPr>
  </w:style>
  <w:style w:type="character" w:customStyle="1" w:styleId="PlainTextChar">
    <w:name w:val="Plain Text Char"/>
    <w:basedOn w:val="DefaultParagraphFont"/>
    <w:link w:val="PlainText"/>
    <w:rsid w:val="00E812D3"/>
    <w:rPr>
      <w:rFonts w:ascii="Courier New" w:eastAsia="Times New Roman" w:hAnsi="Courier New" w:cs="Times New Roman"/>
      <w:sz w:val="20"/>
      <w:szCs w:val="20"/>
      <w:lang w:eastAsia="en-US"/>
    </w:rPr>
  </w:style>
  <w:style w:type="character" w:customStyle="1" w:styleId="MenuOption">
    <w:name w:val="Menu Option"/>
    <w:basedOn w:val="DefaultParagraphFont"/>
    <w:rsid w:val="00E812D3"/>
    <w:rPr>
      <w:b/>
      <w:smallCaps/>
    </w:rPr>
  </w:style>
  <w:style w:type="paragraph" w:customStyle="1" w:styleId="TableListNumber">
    <w:name w:val="Table List Number"/>
    <w:basedOn w:val="ListNumber"/>
    <w:rsid w:val="00E812D3"/>
    <w:pPr>
      <w:numPr>
        <w:numId w:val="0"/>
      </w:numPr>
    </w:pPr>
  </w:style>
  <w:style w:type="paragraph" w:styleId="TOC4">
    <w:name w:val="toc 4"/>
    <w:basedOn w:val="TOCBase"/>
    <w:next w:val="Normal"/>
    <w:semiHidden/>
    <w:rsid w:val="00E812D3"/>
    <w:pPr>
      <w:tabs>
        <w:tab w:val="right" w:leader="dot" w:pos="9071"/>
      </w:tabs>
      <w:ind w:left="1701"/>
    </w:pPr>
  </w:style>
  <w:style w:type="paragraph" w:customStyle="1" w:styleId="ListAlpha">
    <w:name w:val="List Alpha"/>
    <w:basedOn w:val="List"/>
    <w:rsid w:val="00E812D3"/>
    <w:pPr>
      <w:numPr>
        <w:numId w:val="9"/>
      </w:numPr>
    </w:pPr>
  </w:style>
  <w:style w:type="paragraph" w:customStyle="1" w:styleId="ListAlpha2">
    <w:name w:val="List Alpha 2"/>
    <w:basedOn w:val="List2"/>
    <w:rsid w:val="00E812D3"/>
    <w:pPr>
      <w:numPr>
        <w:numId w:val="8"/>
      </w:numPr>
    </w:pPr>
  </w:style>
  <w:style w:type="paragraph" w:styleId="List2">
    <w:name w:val="List 2"/>
    <w:basedOn w:val="BodyText"/>
    <w:rsid w:val="00E812D3"/>
    <w:pPr>
      <w:tabs>
        <w:tab w:val="left" w:pos="680"/>
      </w:tabs>
      <w:spacing w:before="60" w:after="60"/>
      <w:ind w:left="680" w:hanging="340"/>
    </w:pPr>
  </w:style>
  <w:style w:type="paragraph" w:styleId="List3">
    <w:name w:val="List 3"/>
    <w:basedOn w:val="BodyText"/>
    <w:rsid w:val="00E812D3"/>
    <w:pPr>
      <w:tabs>
        <w:tab w:val="left" w:pos="1021"/>
      </w:tabs>
      <w:spacing w:before="60" w:after="60"/>
      <w:ind w:left="1020" w:hanging="340"/>
    </w:pPr>
  </w:style>
  <w:style w:type="paragraph" w:styleId="List4">
    <w:name w:val="List 4"/>
    <w:basedOn w:val="BodyText"/>
    <w:rsid w:val="00E812D3"/>
    <w:pPr>
      <w:tabs>
        <w:tab w:val="left" w:pos="1361"/>
      </w:tabs>
      <w:spacing w:before="60" w:after="60"/>
      <w:ind w:left="1361" w:hanging="340"/>
    </w:pPr>
  </w:style>
  <w:style w:type="paragraph" w:styleId="List5">
    <w:name w:val="List 5"/>
    <w:basedOn w:val="BodyText"/>
    <w:rsid w:val="00E812D3"/>
    <w:pPr>
      <w:tabs>
        <w:tab w:val="left" w:pos="1701"/>
      </w:tabs>
      <w:spacing w:before="60" w:after="60"/>
      <w:ind w:left="1701" w:hanging="340"/>
    </w:pPr>
  </w:style>
  <w:style w:type="paragraph" w:styleId="ListBullet3">
    <w:name w:val="List Bullet 3"/>
    <w:basedOn w:val="List3"/>
    <w:rsid w:val="00E812D3"/>
    <w:pPr>
      <w:numPr>
        <w:numId w:val="14"/>
      </w:numPr>
      <w:tabs>
        <w:tab w:val="clear" w:pos="1021"/>
      </w:tabs>
      <w:ind w:left="1037" w:hanging="357"/>
    </w:pPr>
  </w:style>
  <w:style w:type="paragraph" w:styleId="ListBullet4">
    <w:name w:val="List Bullet 4"/>
    <w:basedOn w:val="List4"/>
    <w:rsid w:val="00E812D3"/>
    <w:pPr>
      <w:numPr>
        <w:numId w:val="3"/>
      </w:numPr>
      <w:tabs>
        <w:tab w:val="clear" w:pos="1361"/>
      </w:tabs>
    </w:pPr>
  </w:style>
  <w:style w:type="paragraph" w:styleId="ListBullet5">
    <w:name w:val="List Bullet 5"/>
    <w:basedOn w:val="List5"/>
    <w:rsid w:val="00E812D3"/>
    <w:pPr>
      <w:numPr>
        <w:numId w:val="4"/>
      </w:numPr>
    </w:pPr>
  </w:style>
  <w:style w:type="paragraph" w:styleId="ListContinue2">
    <w:name w:val="List Continue 2"/>
    <w:basedOn w:val="List2"/>
    <w:rsid w:val="00E812D3"/>
    <w:pPr>
      <w:ind w:firstLine="0"/>
    </w:pPr>
  </w:style>
  <w:style w:type="paragraph" w:styleId="ListContinue3">
    <w:name w:val="List Continue 3"/>
    <w:basedOn w:val="List3"/>
    <w:rsid w:val="00E812D3"/>
    <w:pPr>
      <w:ind w:left="1021" w:firstLine="0"/>
    </w:pPr>
  </w:style>
  <w:style w:type="paragraph" w:styleId="ListContinue4">
    <w:name w:val="List Continue 4"/>
    <w:basedOn w:val="List4"/>
    <w:rsid w:val="00E812D3"/>
    <w:pPr>
      <w:ind w:firstLine="0"/>
    </w:pPr>
  </w:style>
  <w:style w:type="paragraph" w:styleId="ListContinue5">
    <w:name w:val="List Continue 5"/>
    <w:basedOn w:val="List5"/>
    <w:rsid w:val="00E812D3"/>
    <w:pPr>
      <w:ind w:firstLine="0"/>
    </w:pPr>
  </w:style>
  <w:style w:type="paragraph" w:styleId="ListNumber3">
    <w:name w:val="List Number 3"/>
    <w:basedOn w:val="List3"/>
    <w:rsid w:val="00E812D3"/>
    <w:pPr>
      <w:numPr>
        <w:numId w:val="5"/>
      </w:numPr>
    </w:pPr>
  </w:style>
  <w:style w:type="paragraph" w:styleId="ListNumber4">
    <w:name w:val="List Number 4"/>
    <w:basedOn w:val="List4"/>
    <w:rsid w:val="00E812D3"/>
    <w:pPr>
      <w:numPr>
        <w:numId w:val="6"/>
      </w:numPr>
    </w:pPr>
  </w:style>
  <w:style w:type="paragraph" w:styleId="ListNumber5">
    <w:name w:val="List Number 5"/>
    <w:basedOn w:val="List5"/>
    <w:rsid w:val="00E812D3"/>
    <w:pPr>
      <w:numPr>
        <w:numId w:val="7"/>
      </w:numPr>
    </w:pPr>
  </w:style>
  <w:style w:type="paragraph" w:styleId="BlockText">
    <w:name w:val="Block Text"/>
    <w:basedOn w:val="Normal"/>
    <w:rsid w:val="00E812D3"/>
    <w:pPr>
      <w:spacing w:after="120"/>
      <w:ind w:left="1440" w:right="1440"/>
    </w:pPr>
  </w:style>
  <w:style w:type="character" w:customStyle="1" w:styleId="Subscript">
    <w:name w:val="Subscript"/>
    <w:basedOn w:val="DefaultParagraphFont"/>
    <w:rsid w:val="00E812D3"/>
    <w:rPr>
      <w:sz w:val="16"/>
      <w:vertAlign w:val="subscript"/>
    </w:rPr>
  </w:style>
  <w:style w:type="character" w:customStyle="1" w:styleId="Superscript">
    <w:name w:val="Superscript"/>
    <w:basedOn w:val="DefaultParagraphFont"/>
    <w:rsid w:val="00E812D3"/>
    <w:rPr>
      <w:sz w:val="16"/>
      <w:vertAlign w:val="superscript"/>
    </w:rPr>
  </w:style>
  <w:style w:type="character" w:customStyle="1" w:styleId="Symbols">
    <w:name w:val="Symbols"/>
    <w:basedOn w:val="DefaultParagraphFont"/>
    <w:rsid w:val="00E812D3"/>
    <w:rPr>
      <w:rFonts w:ascii="Symbol" w:hAnsi="Symbol"/>
    </w:rPr>
  </w:style>
  <w:style w:type="character" w:customStyle="1" w:styleId="MenuOptions">
    <w:name w:val="Menu Options"/>
    <w:basedOn w:val="DefaultParagraphFont"/>
    <w:rsid w:val="00E812D3"/>
    <w:rPr>
      <w:rFonts w:ascii="Arial Narrow" w:hAnsi="Arial Narrow"/>
      <w:smallCaps/>
    </w:rPr>
  </w:style>
  <w:style w:type="character" w:customStyle="1" w:styleId="Buttons">
    <w:name w:val="Buttons"/>
    <w:basedOn w:val="DefaultParagraphFont"/>
    <w:rsid w:val="00E812D3"/>
    <w:rPr>
      <w:b/>
    </w:rPr>
  </w:style>
  <w:style w:type="character" w:customStyle="1" w:styleId="Underlined">
    <w:name w:val="Underlined"/>
    <w:basedOn w:val="DefaultParagraphFont"/>
    <w:rsid w:val="00E812D3"/>
    <w:rPr>
      <w:u w:val="single"/>
    </w:rPr>
  </w:style>
  <w:style w:type="paragraph" w:customStyle="1" w:styleId="TableBodyTextRight">
    <w:name w:val="Table Body Text Right"/>
    <w:basedOn w:val="TableBodyText"/>
    <w:rsid w:val="00E812D3"/>
    <w:pPr>
      <w:widowControl w:val="0"/>
      <w:autoSpaceDE w:val="0"/>
      <w:autoSpaceDN w:val="0"/>
      <w:adjustRightInd w:val="0"/>
      <w:jc w:val="right"/>
    </w:pPr>
    <w:rPr>
      <w:rFonts w:cs="Arial"/>
      <w:szCs w:val="18"/>
    </w:rPr>
  </w:style>
  <w:style w:type="paragraph" w:customStyle="1" w:styleId="CopyrightText">
    <w:name w:val="Copyright Text"/>
    <w:basedOn w:val="BodyText"/>
    <w:rsid w:val="00E812D3"/>
    <w:rPr>
      <w:sz w:val="18"/>
    </w:rPr>
  </w:style>
  <w:style w:type="paragraph" w:customStyle="1" w:styleId="BodySmallRight">
    <w:name w:val="Body Small Right"/>
    <w:basedOn w:val="BodyTextRight"/>
    <w:rsid w:val="00E812D3"/>
    <w:rPr>
      <w:sz w:val="18"/>
      <w:szCs w:val="18"/>
    </w:rPr>
  </w:style>
  <w:style w:type="paragraph" w:customStyle="1" w:styleId="MarginEdition">
    <w:name w:val="Margin Edition"/>
    <w:basedOn w:val="MarginNote"/>
    <w:rsid w:val="00E812D3"/>
    <w:pPr>
      <w:spacing w:before="0" w:after="0"/>
    </w:pPr>
    <w:rPr>
      <w:rFonts w:ascii="Times New Roman" w:hAnsi="Times New Roman"/>
      <w:color w:val="999999"/>
    </w:rPr>
  </w:style>
  <w:style w:type="paragraph" w:customStyle="1" w:styleId="Spacer">
    <w:name w:val="Spacer"/>
    <w:basedOn w:val="Normal"/>
    <w:rsid w:val="00E812D3"/>
    <w:rPr>
      <w:sz w:val="2"/>
      <w:szCs w:val="2"/>
    </w:rPr>
  </w:style>
  <w:style w:type="character" w:customStyle="1" w:styleId="Small">
    <w:name w:val="Small"/>
    <w:basedOn w:val="DefaultParagraphFont"/>
    <w:rsid w:val="00E812D3"/>
    <w:rPr>
      <w:sz w:val="16"/>
    </w:rPr>
  </w:style>
  <w:style w:type="paragraph" w:customStyle="1" w:styleId="WideTable">
    <w:name w:val="Wide Table"/>
    <w:basedOn w:val="Normal"/>
    <w:rsid w:val="00E812D3"/>
    <w:pPr>
      <w:ind w:left="-1418"/>
    </w:pPr>
    <w:rPr>
      <w:sz w:val="2"/>
      <w:szCs w:val="2"/>
    </w:rPr>
  </w:style>
  <w:style w:type="character" w:styleId="PageNumber">
    <w:name w:val="page number"/>
    <w:basedOn w:val="DefaultParagraphFont"/>
    <w:rsid w:val="00E812D3"/>
  </w:style>
  <w:style w:type="paragraph" w:styleId="Quote">
    <w:name w:val="Quote"/>
    <w:basedOn w:val="Heading1"/>
    <w:link w:val="QuoteChar"/>
    <w:qFormat/>
    <w:rsid w:val="00E812D3"/>
    <w:rPr>
      <w:b w:val="0"/>
      <w:sz w:val="72"/>
      <w:szCs w:val="72"/>
      <w:lang w:val="en-NZ"/>
    </w:rPr>
  </w:style>
  <w:style w:type="character" w:customStyle="1" w:styleId="QuoteChar">
    <w:name w:val="Quote Char"/>
    <w:basedOn w:val="DefaultParagraphFont"/>
    <w:link w:val="Quote"/>
    <w:rsid w:val="00E81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2D3"/>
    <w:pPr>
      <w:pageBreakBefore/>
    </w:pPr>
  </w:style>
  <w:style w:type="paragraph" w:customStyle="1" w:styleId="Border">
    <w:name w:val="Border"/>
    <w:basedOn w:val="Normal"/>
    <w:qFormat/>
    <w:rsid w:val="00E81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2D3"/>
    <w:rPr>
      <w:b/>
      <w:bCs/>
      <w:i/>
      <w:iCs/>
      <w:color w:val="auto"/>
    </w:rPr>
  </w:style>
  <w:style w:type="paragraph" w:styleId="IntenseQuote">
    <w:name w:val="Intense Quote"/>
    <w:basedOn w:val="Normal"/>
    <w:next w:val="Normal"/>
    <w:link w:val="IntenseQuoteChar"/>
    <w:uiPriority w:val="30"/>
    <w:qFormat/>
    <w:rsid w:val="00E81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2D3"/>
    <w:rPr>
      <w:smallCaps/>
      <w:color w:val="auto"/>
      <w:u w:val="single"/>
    </w:rPr>
  </w:style>
  <w:style w:type="character" w:styleId="IntenseReference">
    <w:name w:val="Intense Reference"/>
    <w:basedOn w:val="DefaultParagraphFont"/>
    <w:uiPriority w:val="32"/>
    <w:qFormat/>
    <w:rsid w:val="00E812D3"/>
    <w:rPr>
      <w:b/>
      <w:bCs/>
      <w:smallCaps/>
      <w:color w:val="auto"/>
      <w:spacing w:val="5"/>
      <w:u w:val="single"/>
    </w:rPr>
  </w:style>
  <w:style w:type="paragraph" w:customStyle="1" w:styleId="2ColumnHeading">
    <w:name w:val="2Column Heading"/>
    <w:basedOn w:val="BodyText"/>
    <w:qFormat/>
    <w:rsid w:val="00E812D3"/>
    <w:pPr>
      <w:spacing w:after="60"/>
      <w:ind w:left="-2268"/>
    </w:pPr>
    <w:rPr>
      <w:b/>
    </w:rPr>
  </w:style>
  <w:style w:type="paragraph" w:customStyle="1" w:styleId="Heading1TOC">
    <w:name w:val="Heading1 TOC"/>
    <w:basedOn w:val="Normal"/>
    <w:qFormat/>
    <w:rsid w:val="00E812D3"/>
    <w:pPr>
      <w:spacing w:before="240" w:after="120"/>
    </w:pPr>
    <w:rPr>
      <w:rFonts w:ascii="Times New Roman" w:hAnsi="Times New Roman"/>
      <w:b/>
      <w:sz w:val="32"/>
    </w:rPr>
  </w:style>
  <w:style w:type="paragraph" w:customStyle="1" w:styleId="Heading2TOC">
    <w:name w:val="Heading2 TOC"/>
    <w:basedOn w:val="Normal"/>
    <w:qFormat/>
    <w:rsid w:val="00E812D3"/>
    <w:pPr>
      <w:spacing w:before="240" w:after="60"/>
    </w:pPr>
    <w:rPr>
      <w:rFonts w:ascii="Times New Roman" w:hAnsi="Times New Roman"/>
      <w:b/>
      <w:sz w:val="28"/>
    </w:rPr>
  </w:style>
  <w:style w:type="character" w:customStyle="1" w:styleId="Underline">
    <w:name w:val="Underline"/>
    <w:basedOn w:val="DefaultParagraphFont"/>
    <w:qFormat/>
    <w:rsid w:val="00E812D3"/>
    <w:rPr>
      <w:u w:val="single"/>
    </w:rPr>
  </w:style>
  <w:style w:type="character" w:customStyle="1" w:styleId="BoldandItalics">
    <w:name w:val="Bold and Italics"/>
    <w:qFormat/>
    <w:rsid w:val="00E812D3"/>
    <w:rPr>
      <w:b/>
      <w:i/>
      <w:u w:val="none"/>
    </w:rPr>
  </w:style>
  <w:style w:type="paragraph" w:styleId="BalloonText">
    <w:name w:val="Balloon Text"/>
    <w:basedOn w:val="Normal"/>
    <w:link w:val="BalloonTextChar"/>
    <w:rsid w:val="00E812D3"/>
    <w:rPr>
      <w:rFonts w:ascii="Tahoma" w:hAnsi="Tahoma" w:cs="Tahoma"/>
      <w:sz w:val="16"/>
      <w:szCs w:val="16"/>
    </w:rPr>
  </w:style>
  <w:style w:type="character" w:customStyle="1" w:styleId="BalloonTextChar">
    <w:name w:val="Balloon Text Char"/>
    <w:basedOn w:val="DefaultParagraphFont"/>
    <w:link w:val="BalloonText"/>
    <w:rsid w:val="00E81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2D3"/>
    <w:rPr>
      <w:b/>
      <w:color w:val="660033"/>
      <w:spacing w:val="0"/>
    </w:rPr>
  </w:style>
  <w:style w:type="paragraph" w:customStyle="1" w:styleId="Nameditemlist">
    <w:name w:val="Named item list"/>
    <w:basedOn w:val="BodyText"/>
    <w:qFormat/>
    <w:rsid w:val="00E812D3"/>
    <w:pPr>
      <w:tabs>
        <w:tab w:val="left" w:pos="2835"/>
      </w:tabs>
      <w:ind w:left="2835" w:hanging="2835"/>
    </w:pPr>
  </w:style>
  <w:style w:type="paragraph" w:customStyle="1" w:styleId="BodyTextnopadding">
    <w:name w:val="Body Text no padding"/>
    <w:basedOn w:val="BodyText"/>
    <w:qFormat/>
    <w:rsid w:val="00E812D3"/>
    <w:pPr>
      <w:spacing w:before="0" w:after="0"/>
    </w:pPr>
  </w:style>
  <w:style w:type="paragraph" w:customStyle="1" w:styleId="BodyTextBold">
    <w:name w:val="Body Text Bold"/>
    <w:basedOn w:val="BodyText"/>
    <w:qFormat/>
    <w:rsid w:val="00E812D3"/>
    <w:rPr>
      <w:b/>
    </w:rPr>
  </w:style>
  <w:style w:type="character" w:styleId="Hyperlink">
    <w:name w:val="Hyperlink"/>
    <w:basedOn w:val="DefaultParagraphFont"/>
    <w:uiPriority w:val="99"/>
    <w:unhideWhenUsed/>
    <w:rsid w:val="00FE36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8410</Characters>
  <Application>Microsoft Office Word</Application>
  <DocSecurity>0</DocSecurity>
  <Lines>227</Lines>
  <Paragraphs>150</Paragraphs>
  <ScaleCrop>false</ScaleCrop>
  <Company>Author-it Software Corporation Ltd.</Company>
  <LinksUpToDate>false</LinksUpToDate>
  <CharactersWithSpaces>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RIICFW302D Install temporary and permanent rock anchors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