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72092" w:rsidP="0077209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RIICFW302D Install temporary and permanent rock anchors</w:t>
      </w:r>
      <w:r>
        <w:fldChar w:fldCharType="end"/>
      </w:r>
    </w:p>
    <w:p w:rsidR="00772092" w:rsidP="00772092">
      <w:pPr>
        <w:pStyle w:val="Version"/>
        <w:sectPr w:rsidSect="00AD7EA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AD7EA5" w:rsidP="00AD7EA5">
      <w:pPr>
        <w:pStyle w:val="SuperHeading"/>
      </w:pPr>
      <w:r w:rsidRPr="00AD7EA5">
        <w:t>Assessment Requirements for RIICFW302D Install temporary and permanent rock anchors</w:t>
      </w:r>
    </w:p>
    <w:p w:rsidR="00000000" w:rsidRPr="00AD7EA5" w:rsidP="00AD7EA5">
      <w:pPr>
        <w:pStyle w:val="Heading1"/>
      </w:pPr>
      <w:bookmarkStart w:id="1" w:name="O_681679"/>
      <w:bookmarkEnd w:id="1"/>
      <w:r w:rsidRPr="00AD7EA5">
        <w:t>Modification History</w:t>
      </w:r>
    </w:p>
    <w:tbl>
      <w:tblPr>
        <w:tblW w:w="945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170"/>
        <w:gridCol w:w="8280"/>
      </w:tblGrid>
      <w:tr w:rsidTr="00772092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7EA5">
            <w:pPr>
              <w:pStyle w:val="BodyText"/>
              <w:rPr>
                <w:lang w:val="en-NZ"/>
              </w:rPr>
            </w:pPr>
            <w:r w:rsidRPr="00AD7EA5">
              <w:t>Release</w:t>
            </w:r>
          </w:p>
        </w:tc>
        <w:tc>
          <w:tcPr>
            <w:tcW w:w="8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7EA5">
            <w:pPr>
              <w:pStyle w:val="BodyText"/>
              <w:rPr>
                <w:lang w:val="en-NZ"/>
              </w:rPr>
            </w:pPr>
            <w:r w:rsidRPr="00AD7EA5">
              <w:t>Comment</w:t>
            </w:r>
          </w:p>
        </w:tc>
      </w:tr>
      <w:tr w:rsidTr="00772092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7EA5">
            <w:pPr>
              <w:pStyle w:val="BodyText"/>
              <w:rPr>
                <w:lang w:val="en-NZ"/>
              </w:rPr>
            </w:pPr>
            <w:r w:rsidRPr="00AD7EA5">
              <w:t>1</w:t>
            </w:r>
          </w:p>
        </w:tc>
        <w:tc>
          <w:tcPr>
            <w:tcW w:w="8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7EA5">
            <w:pPr>
              <w:pStyle w:val="BodyText"/>
              <w:rPr>
                <w:lang w:val="en-NZ"/>
              </w:rPr>
            </w:pPr>
            <w:r w:rsidRPr="00AD7EA5">
              <w:t>This unit replaces RIICFW302A Install temporary and permanent rock anchors</w:t>
            </w:r>
          </w:p>
        </w:tc>
      </w:tr>
      <w:tr w:rsidTr="00772092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7EA5">
            <w:pPr>
              <w:pStyle w:val="BodyText"/>
              <w:rPr>
                <w:lang w:val="en-NZ"/>
              </w:rPr>
            </w:pPr>
            <w:r w:rsidRPr="00AD7EA5">
              <w:t>2</w:t>
            </w:r>
          </w:p>
        </w:tc>
        <w:tc>
          <w:tcPr>
            <w:tcW w:w="8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7EA5" w:rsidP="00AD7EA5">
            <w:pPr>
              <w:pStyle w:val="BodyText"/>
            </w:pPr>
            <w:r w:rsidRPr="00AD7EA5">
              <w:t>Required frequency and volume of evidence amended in Performance evidence.</w:t>
            </w:r>
          </w:p>
          <w:p w:rsidR="00000000" w:rsidRPr="00AD7EA5" w:rsidP="00AD7EA5">
            <w:pPr>
              <w:pStyle w:val="BodyText"/>
            </w:pPr>
            <w:r w:rsidRPr="00AD7EA5">
              <w:t>Substantial amendments made in Assessment Conditions field, including: references to Industry Sectors, assessor and subject matter expert experience requirements, how assessment sho</w:t>
            </w:r>
            <w:r w:rsidRPr="00AD7EA5">
              <w:t>uld be conducted and what it should confirm.</w:t>
            </w:r>
          </w:p>
        </w:tc>
      </w:tr>
    </w:tbl>
    <w:p w:rsidR="00000000" w:rsidRPr="00AD7EA5" w:rsidP="00AD7EA5">
      <w:pPr>
        <w:pStyle w:val="BodyText"/>
      </w:pPr>
    </w:p>
    <w:p w:rsidR="00000000" w:rsidRPr="00AD7EA5" w:rsidP="00AD7EA5">
      <w:pPr>
        <w:pStyle w:val="AllowPageBreak"/>
      </w:pPr>
    </w:p>
    <w:p w:rsidR="00000000" w:rsidRPr="00AD7EA5" w:rsidP="00AD7EA5">
      <w:pPr>
        <w:pStyle w:val="Heading1"/>
      </w:pPr>
      <w:bookmarkStart w:id="2" w:name="O_681678"/>
      <w:bookmarkEnd w:id="2"/>
      <w:r w:rsidRPr="00AD7EA5">
        <w:t>Performance Evidence</w:t>
      </w:r>
    </w:p>
    <w:p w:rsidR="00000000" w:rsidRPr="00AD7EA5" w:rsidP="00772092">
      <w:pPr>
        <w:pStyle w:val="BodyText"/>
      </w:pPr>
      <w:r w:rsidRPr="00AD7EA5">
        <w:t>Evidence is required to be collected that demonstrates a candidate’s competency in this unit. Evidence must be relevant to the roles within this sector’s work operations a</w:t>
      </w:r>
      <w:r w:rsidRPr="00AD7EA5">
        <w:t>nd satisfy all of the requirements of the performance criteria of this unit and include evidence that the candidate:</w:t>
      </w:r>
    </w:p>
    <w:p w:rsidR="00000000" w:rsidRPr="00AD7EA5" w:rsidP="00AD7EA5">
      <w:pPr>
        <w:pStyle w:val="ListBullet"/>
      </w:pPr>
      <w:r w:rsidRPr="00AD7EA5">
        <w:t>locates and applies applicable legislation, documentation, policies and procedures</w:t>
      </w:r>
    </w:p>
    <w:p w:rsidR="00000000" w:rsidRPr="00AD7EA5" w:rsidP="00AD7EA5">
      <w:pPr>
        <w:pStyle w:val="ListBullet"/>
      </w:pPr>
      <w:r w:rsidRPr="00AD7EA5">
        <w:t xml:space="preserve">implements the requirements, procedures </w:t>
      </w:r>
      <w:r w:rsidRPr="00AD7EA5">
        <w:t>and techniques for the safe, effective and efficient installation of temporary and permanent rock anchors including:</w:t>
      </w:r>
    </w:p>
    <w:p w:rsidR="00000000" w:rsidRPr="00AD7EA5" w:rsidP="00AD7EA5">
      <w:pPr>
        <w:pStyle w:val="ListBullet2"/>
      </w:pPr>
      <w:r w:rsidRPr="00AD7EA5">
        <w:t>using installation techniques to install both temporary and permanent rock anchors</w:t>
      </w:r>
    </w:p>
    <w:p w:rsidR="00000000" w:rsidRPr="00AD7EA5" w:rsidP="00AD7EA5">
      <w:pPr>
        <w:pStyle w:val="ListBullet"/>
      </w:pPr>
      <w:r w:rsidRPr="00AD7EA5">
        <w:t>works effectively with others to undertake and complet</w:t>
      </w:r>
      <w:r w:rsidRPr="00AD7EA5">
        <w:t>e the installation of temporary and permanent rock anchors tasks that meets all the required outcomes including:</w:t>
      </w:r>
    </w:p>
    <w:p w:rsidR="00000000" w:rsidRPr="00AD7EA5" w:rsidP="00AD7EA5">
      <w:pPr>
        <w:pStyle w:val="ListBullet2"/>
      </w:pPr>
      <w:r w:rsidRPr="00AD7EA5">
        <w:t>communicating clearly and concisely with others to receive and clarify work instructions</w:t>
      </w:r>
    </w:p>
    <w:p w:rsidR="00000000" w:rsidRPr="00AD7EA5" w:rsidP="00AD7EA5">
      <w:pPr>
        <w:pStyle w:val="ListBullet2"/>
      </w:pPr>
      <w:r w:rsidRPr="00AD7EA5">
        <w:t xml:space="preserve">using a range of communication technique and systems </w:t>
      </w:r>
      <w:r w:rsidRPr="00AD7EA5">
        <w:t xml:space="preserve">such as signage to advise others of work activity and exclusion zones </w:t>
      </w:r>
    </w:p>
    <w:p w:rsidR="00000000" w:rsidRPr="00AD7EA5" w:rsidP="00AD7EA5">
      <w:pPr>
        <w:pStyle w:val="ListBullet"/>
      </w:pPr>
      <w:r w:rsidRPr="00AD7EA5">
        <w:t>demonstrates completion of installing temporary and permanent rock anchors that safely, effectively and efficiently meets all of the required outcomes on more than one (1) occasion inc</w:t>
      </w:r>
      <w:r w:rsidRPr="00AD7EA5">
        <w:t>luding:</w:t>
      </w:r>
    </w:p>
    <w:p w:rsidR="00000000" w:rsidRPr="00AD7EA5" w:rsidP="00AD7EA5">
      <w:pPr>
        <w:pStyle w:val="ListBullet2"/>
      </w:pPr>
      <w:r w:rsidRPr="00AD7EA5">
        <w:t>setting up and ensuring anchor holes are drilled, cleaned, tested for leakage and covered to prevent entry of foreign material</w:t>
      </w:r>
    </w:p>
    <w:p w:rsidR="00000000" w:rsidRPr="00AD7EA5" w:rsidP="00AD7EA5">
      <w:pPr>
        <w:pStyle w:val="ListBullet2"/>
      </w:pPr>
      <w:r w:rsidRPr="00AD7EA5">
        <w:t>installing a minimum of ten (10) permanent anchor bolts, finished with mesh and shotcrete</w:t>
      </w:r>
    </w:p>
    <w:p w:rsidR="00000000" w:rsidRPr="00AD7EA5" w:rsidP="00AD7EA5">
      <w:pPr>
        <w:pStyle w:val="ListBullet2"/>
      </w:pPr>
      <w:r w:rsidRPr="00AD7EA5">
        <w:t>installing a minimum of ten (1</w:t>
      </w:r>
      <w:r w:rsidRPr="00AD7EA5">
        <w:t>0) temporary anchor bolts</w:t>
      </w:r>
    </w:p>
    <w:p w:rsidR="00000000" w:rsidRPr="00AD7EA5" w:rsidP="00AD7EA5">
      <w:pPr>
        <w:pStyle w:val="ListBullet2"/>
      </w:pPr>
      <w:r w:rsidRPr="00AD7EA5">
        <w:t>stressing, locking off, cutting and sealing anchors</w:t>
      </w:r>
    </w:p>
    <w:p w:rsidR="00000000" w:rsidRPr="00AD7EA5" w:rsidP="00AD7EA5">
      <w:pPr>
        <w:pStyle w:val="AllowPageBreak"/>
      </w:pPr>
    </w:p>
    <w:p w:rsidR="00000000" w:rsidRPr="00AD7EA5" w:rsidP="00AD7EA5">
      <w:pPr>
        <w:pStyle w:val="Heading1"/>
      </w:pPr>
      <w:bookmarkStart w:id="3" w:name="O_681677"/>
      <w:bookmarkEnd w:id="3"/>
      <w:r w:rsidRPr="00AD7EA5">
        <w:t>Knowledge Evidence</w:t>
      </w:r>
    </w:p>
    <w:p w:rsidR="00000000" w:rsidRPr="00AD7EA5" w:rsidP="00772092">
      <w:pPr>
        <w:pStyle w:val="BodyText"/>
      </w:pPr>
      <w:r w:rsidRPr="00AD7EA5">
        <w:t>The candidate must demonstrate knowledge of installing temporary and permanent rock anchors through:</w:t>
      </w:r>
    </w:p>
    <w:p w:rsidR="00000000" w:rsidRPr="00AD7EA5" w:rsidP="00AD7EA5">
      <w:pPr>
        <w:pStyle w:val="ListBullet"/>
      </w:pPr>
      <w:r w:rsidRPr="00AD7EA5">
        <w:t>applying organisation, site requirements</w:t>
      </w:r>
      <w:r w:rsidRPr="00AD7EA5">
        <w:t xml:space="preserve"> and procedures for:</w:t>
      </w:r>
    </w:p>
    <w:p w:rsidR="00000000" w:rsidRPr="00AD7EA5" w:rsidP="00AD7EA5">
      <w:pPr>
        <w:pStyle w:val="ListBullet2"/>
      </w:pPr>
      <w:r w:rsidRPr="00AD7EA5">
        <w:t>installing temporary and permanent rock anchors</w:t>
      </w:r>
    </w:p>
    <w:p w:rsidR="00000000" w:rsidRPr="00AD7EA5" w:rsidP="00AD7EA5">
      <w:pPr>
        <w:pStyle w:val="ListBullet2"/>
      </w:pPr>
      <w:r w:rsidRPr="00AD7EA5">
        <w:t>conducting earthworks</w:t>
      </w:r>
    </w:p>
    <w:p w:rsidR="00000000" w:rsidRPr="00AD7EA5" w:rsidP="00AD7EA5">
      <w:pPr>
        <w:pStyle w:val="ListBullet2"/>
      </w:pPr>
      <w:r w:rsidRPr="00AD7EA5">
        <w:t>carrying out foundation work</w:t>
      </w:r>
    </w:p>
    <w:p w:rsidR="00000000" w:rsidRPr="00AD7EA5" w:rsidP="00AD7EA5">
      <w:pPr>
        <w:pStyle w:val="ListBullet2"/>
      </w:pPr>
      <w:r w:rsidRPr="00AD7EA5">
        <w:t>scaffolding and work platform installation</w:t>
      </w:r>
    </w:p>
    <w:p w:rsidR="00000000" w:rsidRPr="00AD7EA5" w:rsidP="00AD7EA5">
      <w:pPr>
        <w:pStyle w:val="ListBullet2"/>
      </w:pPr>
      <w:r w:rsidRPr="00AD7EA5">
        <w:t>site isolation and traffic control responsibilities and authorities</w:t>
      </w:r>
    </w:p>
    <w:p w:rsidR="00000000" w:rsidRPr="00AD7EA5" w:rsidP="00AD7EA5">
      <w:pPr>
        <w:pStyle w:val="ListBullet2"/>
      </w:pPr>
      <w:r w:rsidRPr="00AD7EA5">
        <w:t>water erosion</w:t>
      </w:r>
    </w:p>
    <w:p w:rsidR="00000000" w:rsidRPr="00AD7EA5" w:rsidP="00AD7EA5">
      <w:pPr>
        <w:pStyle w:val="ListBullet2"/>
      </w:pPr>
      <w:r w:rsidRPr="00AD7EA5">
        <w:t>site and equipment safety requirements</w:t>
      </w:r>
    </w:p>
    <w:p w:rsidR="00000000" w:rsidRPr="00AD7EA5" w:rsidP="00AD7EA5">
      <w:pPr>
        <w:pStyle w:val="ListBullet"/>
      </w:pPr>
      <w:r w:rsidRPr="00AD7EA5">
        <w:t>using construction principles</w:t>
      </w:r>
    </w:p>
    <w:p w:rsidR="00000000" w:rsidRPr="00AD7EA5" w:rsidP="00AD7EA5">
      <w:pPr>
        <w:pStyle w:val="ListBullet"/>
      </w:pPr>
      <w:r w:rsidRPr="00AD7EA5">
        <w:t>interpreting engineering drawings</w:t>
      </w:r>
    </w:p>
    <w:p w:rsidR="00000000" w:rsidRPr="00AD7EA5" w:rsidP="00AD7EA5">
      <w:pPr>
        <w:pStyle w:val="ListBullet"/>
      </w:pPr>
      <w:r w:rsidRPr="00AD7EA5">
        <w:t>identifying soil, sand, rock, clay, shale, gravel and silt types and characteristics</w:t>
      </w:r>
    </w:p>
    <w:p w:rsidR="00000000" w:rsidRPr="00AD7EA5" w:rsidP="00AD7EA5">
      <w:pPr>
        <w:pStyle w:val="ListBullet"/>
      </w:pPr>
      <w:r w:rsidRPr="00AD7EA5">
        <w:t>identifying equipment types, characteristics, technical capabilitie</w:t>
      </w:r>
      <w:r w:rsidRPr="00AD7EA5">
        <w:t>s and limitations</w:t>
      </w:r>
    </w:p>
    <w:p w:rsidR="00000000" w:rsidRPr="00AD7EA5" w:rsidP="00AD7EA5">
      <w:pPr>
        <w:pStyle w:val="ListBullet"/>
      </w:pPr>
      <w:r w:rsidRPr="00AD7EA5">
        <w:t>applying and monitoring operational, maintenance and basic diagnostic procedures</w:t>
      </w:r>
    </w:p>
    <w:p w:rsidR="00000000" w:rsidRPr="00AD7EA5" w:rsidP="00AD7EA5">
      <w:pPr>
        <w:pStyle w:val="ListBullet"/>
      </w:pPr>
      <w:r w:rsidRPr="00AD7EA5">
        <w:t>interpreting and complying with safety data sheets and materials handling methods</w:t>
      </w:r>
    </w:p>
    <w:p w:rsidR="00000000" w:rsidRPr="00AD7EA5" w:rsidP="00AD7EA5">
      <w:pPr>
        <w:pStyle w:val="ListBullet"/>
      </w:pPr>
      <w:r w:rsidRPr="00AD7EA5">
        <w:t>monitoring project quality requirements</w:t>
      </w:r>
    </w:p>
    <w:p w:rsidR="00000000" w:rsidRPr="00AD7EA5" w:rsidP="00AD7EA5">
      <w:pPr>
        <w:pStyle w:val="ListBullet"/>
      </w:pPr>
      <w:r w:rsidRPr="00AD7EA5">
        <w:t>using civil construction terminolog</w:t>
      </w:r>
      <w:r w:rsidRPr="00AD7EA5">
        <w:t>y</w:t>
      </w:r>
    </w:p>
    <w:p w:rsidR="00000000" w:rsidRPr="00AD7EA5" w:rsidP="00AD7EA5">
      <w:pPr>
        <w:pStyle w:val="ListBullet"/>
      </w:pPr>
      <w:r w:rsidRPr="00AD7EA5">
        <w:t>preparing and/or implementing JSA/JSEA/safe work method statements</w:t>
      </w:r>
    </w:p>
    <w:p w:rsidR="00000000" w:rsidRPr="00AD7EA5" w:rsidP="00AD7EA5">
      <w:pPr>
        <w:pStyle w:val="AllowPageBreak"/>
      </w:pPr>
    </w:p>
    <w:p w:rsidR="00000000" w:rsidRPr="00AD7EA5" w:rsidP="00AD7EA5">
      <w:pPr>
        <w:pStyle w:val="Heading1"/>
      </w:pPr>
      <w:bookmarkStart w:id="4" w:name="O_681676"/>
      <w:bookmarkEnd w:id="4"/>
      <w:r w:rsidRPr="00AD7EA5">
        <w:t>Assessment Conditions</w:t>
      </w:r>
    </w:p>
    <w:p w:rsidR="00000000" w:rsidRPr="00AD7EA5" w:rsidP="00AD7EA5">
      <w:pPr>
        <w:pStyle w:val="ListBullet"/>
      </w:pPr>
      <w:r w:rsidRPr="00AD7EA5">
        <w:t xml:space="preserve">An assessor of this unit must satisfy the requirements of the NVR/AQTF or their successors; </w:t>
      </w:r>
      <w:r w:rsidRPr="00AD7EA5">
        <w:t>and Industry regulations for certification and licensing; and,</w:t>
      </w:r>
    </w:p>
    <w:p w:rsidR="00000000" w:rsidRPr="00AD7EA5" w:rsidP="00AD7EA5">
      <w:pPr>
        <w:pStyle w:val="ListBullet"/>
      </w:pPr>
      <w:r w:rsidRPr="00AD7EA5">
        <w:t>this unit must be assessed in the context of this sector’s work environment; and,</w:t>
      </w:r>
    </w:p>
    <w:p w:rsidR="00000000" w:rsidRPr="00AD7EA5" w:rsidP="00AD7EA5">
      <w:pPr>
        <w:pStyle w:val="ListBullet"/>
      </w:pPr>
      <w:r w:rsidRPr="00AD7EA5">
        <w:t>this unit must be assessed in compliance with relevant legislation/regulation and using policies, procedures, p</w:t>
      </w:r>
      <w:r w:rsidRPr="00AD7EA5">
        <w:t>rocesses and operational manuals directly related to the industry sector for which it is being assessed; and,</w:t>
      </w:r>
    </w:p>
    <w:p w:rsidR="00000000" w:rsidRPr="00AD7EA5" w:rsidP="00AD7EA5">
      <w:pPr>
        <w:pStyle w:val="ListBullet"/>
      </w:pPr>
      <w:r w:rsidRPr="00AD7EA5">
        <w:t>assessment may be conducted in conjunction with the assessment of other Units of Competency; and,</w:t>
      </w:r>
    </w:p>
    <w:p w:rsidR="00000000" w:rsidRPr="00AD7EA5" w:rsidP="00AD7EA5">
      <w:pPr>
        <w:pStyle w:val="ListBullet"/>
      </w:pPr>
      <w:r w:rsidRPr="00AD7EA5">
        <w:t>assessment must confirm consistent performance c</w:t>
      </w:r>
      <w:r w:rsidRPr="00AD7EA5">
        <w:t>an be applied in a range of relevant workplace circumstances; and,</w:t>
      </w:r>
    </w:p>
    <w:p w:rsidR="00000000" w:rsidRPr="00AD7EA5" w:rsidP="00AD7EA5">
      <w:pPr>
        <w:pStyle w:val="ListBullet"/>
      </w:pPr>
      <w:r w:rsidRPr="00AD7EA5">
        <w:t>assessors must demonstrate the performance evidence, and knowledge evidence as outlined in this Unit of Competency, and through the minimum years of current* work experience specified below</w:t>
      </w:r>
      <w:r w:rsidRPr="00AD7EA5">
        <w:t xml:space="preserve"> in an Industry sector relevant to the outcomes of the unit; or,</w:t>
      </w:r>
    </w:p>
    <w:p w:rsidR="00000000" w:rsidRPr="00AD7EA5" w:rsidP="00AD7EA5">
      <w:pPr>
        <w:pStyle w:val="ListBullet"/>
      </w:pPr>
      <w:r w:rsidRPr="00AD7EA5">
        <w:t>where the assessor does not meet experience requirements a co-assessment or partnership arrangement must exist between the qualified assessor and an Industry subject matter expert. The Indust</w:t>
      </w:r>
      <w:r w:rsidRPr="00AD7EA5">
        <w:t>ry subject matter expert should hold the unit being assessed (or an equivalent unit) and/or demonstrate equivalence of skills and knowledge at the unit level. An Industry technical expert must also demonstrate skills and knowledge from the minimum years of</w:t>
      </w:r>
      <w:r w:rsidRPr="00AD7EA5">
        <w:t xml:space="preserve"> current work experience specified below in the Industry sector, including time spent in roles related to the unit being assessed; and,</w:t>
      </w:r>
    </w:p>
    <w:p w:rsidR="00000000" w:rsidRPr="00AD7EA5" w:rsidP="00AD7EA5">
      <w:pPr>
        <w:pStyle w:val="ListBullet"/>
      </w:pPr>
      <w:r w:rsidRPr="00AD7EA5">
        <w:t>assessor and Industry subject matter expert requirements differ depending on the Australian Qualifications Framework Lev</w:t>
      </w:r>
      <w:r w:rsidRPr="00AD7EA5">
        <w:t>el (AQF) of the qualification being assessed and/or Industry Sector as follows:</w:t>
      </w:r>
    </w:p>
    <w:tbl>
      <w:tblPr>
        <w:tblW w:w="8896" w:type="dxa"/>
        <w:tblInd w:w="36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218"/>
        <w:gridCol w:w="1559"/>
        <w:gridCol w:w="3119"/>
      </w:tblGrid>
      <w:tr w:rsidTr="00AD7EA5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D7EA5">
            <w:pPr>
              <w:pStyle w:val="BodyText"/>
              <w:rPr>
                <w:lang w:val="en-NZ"/>
              </w:rPr>
            </w:pPr>
            <w:r w:rsidRPr="00AD7EA5">
              <w:t>Industry sector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D7EA5">
            <w:pPr>
              <w:pStyle w:val="BodyText"/>
              <w:rPr>
                <w:lang w:val="en-NZ"/>
              </w:rPr>
            </w:pPr>
            <w:r w:rsidRPr="00AD7EA5">
              <w:t>AQF** Level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D7EA5">
            <w:pPr>
              <w:pStyle w:val="BodyText"/>
              <w:rPr>
                <w:lang w:val="en-NZ"/>
              </w:rPr>
            </w:pPr>
            <w:r w:rsidRPr="00AD7EA5">
              <w:t>Required assessor or Industry subject matter expert experience</w:t>
            </w:r>
          </w:p>
        </w:tc>
      </w:tr>
      <w:tr w:rsidTr="00AD7EA5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D7EA5">
            <w:pPr>
              <w:pStyle w:val="BodyText"/>
              <w:rPr>
                <w:lang w:val="en-NZ"/>
              </w:rPr>
            </w:pPr>
            <w:r w:rsidRPr="00AD7EA5">
              <w:t>Drilling, Metalliferous Mining, Coal Mining, Extractive (Quarrying)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D7EA5">
            <w:pPr>
              <w:pStyle w:val="BodyText"/>
              <w:rPr>
                <w:lang w:val="en-NZ"/>
              </w:rPr>
            </w:pPr>
            <w:r w:rsidRPr="00AD7EA5"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D7EA5">
            <w:pPr>
              <w:pStyle w:val="BodyText"/>
              <w:rPr>
                <w:lang w:val="en-NZ"/>
              </w:rPr>
            </w:pPr>
            <w:r w:rsidRPr="00AD7EA5">
              <w:t>1 Year</w:t>
            </w:r>
          </w:p>
        </w:tc>
      </w:tr>
      <w:tr w:rsidTr="00AD7EA5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D7EA5">
            <w:pPr>
              <w:pStyle w:val="BodyText"/>
              <w:rPr>
                <w:lang w:val="en-NZ"/>
              </w:rPr>
            </w:pPr>
            <w:r w:rsidRPr="00AD7EA5">
              <w:t>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D7EA5">
            <w:pPr>
              <w:pStyle w:val="BodyText"/>
              <w:rPr>
                <w:lang w:val="en-NZ"/>
              </w:rPr>
            </w:pPr>
            <w:r w:rsidRPr="00AD7EA5">
              <w:t>2 Years</w:t>
            </w:r>
          </w:p>
        </w:tc>
      </w:tr>
      <w:tr w:rsidTr="00AD7EA5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D7EA5">
            <w:pPr>
              <w:pStyle w:val="BodyText"/>
              <w:rPr>
                <w:lang w:val="en-NZ"/>
              </w:rPr>
            </w:pPr>
            <w:r w:rsidRPr="00AD7EA5">
              <w:t xml:space="preserve">Drilling, Coal Mining and Extractive (Quarrying)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D7EA5">
            <w:pPr>
              <w:pStyle w:val="BodyText"/>
              <w:rPr>
                <w:lang w:val="en-NZ"/>
              </w:rPr>
            </w:pPr>
            <w:r w:rsidRPr="00AD7EA5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D7EA5">
            <w:pPr>
              <w:pStyle w:val="BodyText"/>
              <w:rPr>
                <w:lang w:val="en-NZ"/>
              </w:rPr>
            </w:pPr>
            <w:r w:rsidRPr="00AD7EA5">
              <w:t>3 Years</w:t>
            </w:r>
          </w:p>
        </w:tc>
      </w:tr>
      <w:tr w:rsidTr="00AD7EA5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D7EA5">
            <w:pPr>
              <w:pStyle w:val="BodyText"/>
              <w:rPr>
                <w:lang w:val="en-NZ"/>
              </w:rPr>
            </w:pPr>
            <w:r w:rsidRPr="00AD7EA5">
              <w:t>Metalliferous Mining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D7EA5">
            <w:pPr>
              <w:pStyle w:val="BodyText"/>
              <w:rPr>
                <w:lang w:val="en-NZ"/>
              </w:rPr>
            </w:pPr>
            <w:r w:rsidRPr="00AD7EA5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D7EA5">
            <w:pPr>
              <w:pStyle w:val="BodyText"/>
              <w:rPr>
                <w:lang w:val="en-NZ"/>
              </w:rPr>
            </w:pPr>
            <w:r w:rsidRPr="00AD7EA5">
              <w:t>5 Years</w:t>
            </w:r>
          </w:p>
        </w:tc>
      </w:tr>
      <w:tr w:rsidTr="00AD7EA5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D7EA5">
            <w:pPr>
              <w:pStyle w:val="BodyText"/>
              <w:rPr>
                <w:lang w:val="en-NZ"/>
              </w:rPr>
            </w:pPr>
            <w:r w:rsidRPr="00AD7EA5">
              <w:t>Other sectors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AD7EA5" w:rsidP="00AD7EA5">
            <w:pPr>
              <w:pStyle w:val="BodyText"/>
            </w:pPr>
            <w:r w:rsidRPr="00AD7EA5">
              <w:t>Where this Unit is being assessed outside of the Resources and Infrastructure Sectors assessor and/or Industry subject matter expert experience should be in-line with industry standards for the sector in which it is being assessed and where no Industry sta</w:t>
            </w:r>
            <w:r w:rsidRPr="00AD7EA5">
              <w:t>ndard is specified should comply with any relevant regulation.</w:t>
            </w:r>
          </w:p>
        </w:tc>
      </w:tr>
    </w:tbl>
    <w:p w:rsidR="00000000" w:rsidRPr="00AD7EA5" w:rsidP="00772092">
      <w:pPr>
        <w:pStyle w:val="BodyText"/>
      </w:pPr>
      <w:r w:rsidRPr="00AD7EA5">
        <w:t>*Assessors can demonstrate current work experience through employment within Industry in a role relevant to the outcomes of the Unit; or, for external assessors this can be demonstrated throu</w:t>
      </w:r>
      <w:r w:rsidRPr="00AD7EA5">
        <w:t>gh exposure to Industry by conducting frequent site assessments across various locations.</w:t>
      </w:r>
    </w:p>
    <w:p w:rsidR="00000000" w:rsidRPr="00AD7EA5" w:rsidP="00772092">
      <w:pPr>
        <w:pStyle w:val="BodyText"/>
      </w:pPr>
      <w:r w:rsidRPr="00AD7EA5">
        <w:t>**Where a unit is being delivered outside of a Qualification the first numeric character in the Unit code should be considered to indicate the AQF level</w:t>
      </w:r>
    </w:p>
    <w:p w:rsidR="00000000" w:rsidRPr="00AD7EA5" w:rsidP="00AD7EA5">
      <w:pPr>
        <w:pStyle w:val="Heading1"/>
      </w:pPr>
      <w:bookmarkStart w:id="5" w:name="O_681688"/>
      <w:bookmarkEnd w:id="5"/>
      <w:r w:rsidRPr="00AD7EA5">
        <w:t>Links</w:t>
      </w:r>
    </w:p>
    <w:p w:rsidR="00000000" w:rsidRPr="00AD7EA5" w:rsidP="00772092">
      <w:pPr>
        <w:pStyle w:val="BodyText"/>
      </w:pPr>
      <w:r w:rsidRPr="00AD7EA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5B176B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AD7EA5" w:rsidP="00AD7EA5"/>
    <w:sectPr w:rsidSect="00AD7EA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7EA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7EA5" w:rsidRPr="00772092" w:rsidP="0077209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7EA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2092" w:rsidP="00AD7EA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72092" w:rsidP="00AD7EA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772092" w:rsidP="00AD7EA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7EA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209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D7EA5" w:rsidRPr="00772092" w:rsidP="0077209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7EA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2092" w:rsidRPr="002D2AF8" w:rsidP="00AD7EA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RIICFW302D Install temporary and permanent rock anchors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February 2021</w:t>
    </w:r>
    <w:r>
      <w:fldChar w:fldCharType="end"/>
    </w:r>
  </w:p>
  <w:p w:rsidR="00772092" w:rsidP="00AD7EA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2540BB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4A0ACF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D5CFA1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7EA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D7EA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D7EA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D7EA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D7EA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D7EA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D7EA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D7EA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D7EA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D7EA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D7EA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D7EA5"/>
  </w:style>
  <w:style w:type="character" w:customStyle="1" w:styleId="Heading1Char">
    <w:name w:val="Heading 1 Char"/>
    <w:basedOn w:val="DefaultParagraphFont"/>
    <w:link w:val="Heading1"/>
    <w:rsid w:val="00AD7EA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D7EA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D7EA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D7EA5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D7EA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D7EA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D7EA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D7EA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D7EA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D7EA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D7EA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D7EA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D7EA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D7EA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D7EA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D7EA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D7EA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D7EA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D7EA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D7EA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D7EA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D7EA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D7EA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D7EA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D7EA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D7EA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D7EA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D7EA5"/>
    <w:rPr>
      <w:b/>
      <w:spacing w:val="0"/>
    </w:rPr>
  </w:style>
  <w:style w:type="paragraph" w:customStyle="1" w:styleId="SuperTitle">
    <w:name w:val="SuperTitle"/>
    <w:basedOn w:val="Title"/>
    <w:rsid w:val="00AD7EA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D7EA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D7EA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D7EA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D7EA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D7EA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D7EA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D7EA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D7EA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D7EA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D7EA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D7EA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D7EA5"/>
    <w:rPr>
      <w:i/>
    </w:rPr>
  </w:style>
  <w:style w:type="paragraph" w:styleId="Caption">
    <w:name w:val="caption"/>
    <w:basedOn w:val="BodyText"/>
    <w:next w:val="Normal"/>
    <w:qFormat/>
    <w:rsid w:val="00AD7EA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D7EA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D7EA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D7EA5"/>
  </w:style>
  <w:style w:type="paragraph" w:styleId="TableofFigures">
    <w:name w:val="table of figures"/>
    <w:basedOn w:val="Normal"/>
    <w:next w:val="Normal"/>
    <w:semiHidden/>
    <w:rsid w:val="00AD7EA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D7EA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D7EA5"/>
    <w:rPr>
      <w:rFonts w:ascii="Wingdings" w:hAnsi="Wingdings"/>
    </w:rPr>
  </w:style>
  <w:style w:type="paragraph" w:customStyle="1" w:styleId="TableHeading">
    <w:name w:val="Table Heading"/>
    <w:basedOn w:val="HeadingBase"/>
    <w:rsid w:val="00AD7EA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D7EA5"/>
    <w:rPr>
      <w:color w:val="0033CC"/>
      <w:u w:val="none"/>
    </w:rPr>
  </w:style>
  <w:style w:type="paragraph" w:customStyle="1" w:styleId="BodyTextRight">
    <w:name w:val="Body Text Right"/>
    <w:basedOn w:val="BodyText"/>
    <w:rsid w:val="00AD7EA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D7EA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D7EA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D7EA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D7EA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D7EA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D7EA5"/>
    <w:rPr>
      <w:sz w:val="32"/>
    </w:rPr>
  </w:style>
  <w:style w:type="paragraph" w:customStyle="1" w:styleId="HeadingProcedure">
    <w:name w:val="Heading Procedure"/>
    <w:basedOn w:val="HeadingBase"/>
    <w:next w:val="Normal"/>
    <w:rsid w:val="00AD7EA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D7EA5"/>
    <w:pPr>
      <w:spacing w:before="60" w:after="60"/>
    </w:pPr>
  </w:style>
  <w:style w:type="paragraph" w:styleId="ListContinue">
    <w:name w:val="List Continue"/>
    <w:basedOn w:val="List"/>
    <w:rsid w:val="00AD7EA5"/>
    <w:pPr>
      <w:ind w:firstLine="0"/>
    </w:pPr>
  </w:style>
  <w:style w:type="paragraph" w:customStyle="1" w:styleId="ListNote">
    <w:name w:val="List Note"/>
    <w:basedOn w:val="List"/>
    <w:rsid w:val="00AD7EA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D7EA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D7EA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D7EA5"/>
    <w:rPr>
      <w:rFonts w:ascii="Courier New" w:hAnsi="Courier New"/>
    </w:rPr>
  </w:style>
  <w:style w:type="paragraph" w:customStyle="1" w:styleId="NoteBullet">
    <w:name w:val="Note Bullet"/>
    <w:basedOn w:val="Note"/>
    <w:rsid w:val="00AD7EA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D7EA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D7EA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D7EA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D7EA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D7EA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D7EA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D7EA5"/>
    <w:rPr>
      <w:b/>
      <w:smallCaps/>
    </w:rPr>
  </w:style>
  <w:style w:type="paragraph" w:customStyle="1" w:styleId="TableListNumber">
    <w:name w:val="Table List Number"/>
    <w:basedOn w:val="ListNumber"/>
    <w:rsid w:val="00AD7EA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D7EA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D7EA5"/>
    <w:pPr>
      <w:numPr>
        <w:numId w:val="9"/>
      </w:numPr>
    </w:pPr>
  </w:style>
  <w:style w:type="paragraph" w:customStyle="1" w:styleId="ListAlpha2">
    <w:name w:val="List Alpha 2"/>
    <w:basedOn w:val="List2"/>
    <w:rsid w:val="00AD7EA5"/>
    <w:pPr>
      <w:numPr>
        <w:numId w:val="8"/>
      </w:numPr>
    </w:pPr>
  </w:style>
  <w:style w:type="paragraph" w:styleId="List2">
    <w:name w:val="List 2"/>
    <w:basedOn w:val="BodyText"/>
    <w:rsid w:val="00AD7EA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D7EA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D7EA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D7EA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D7EA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D7EA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D7EA5"/>
    <w:pPr>
      <w:numPr>
        <w:numId w:val="4"/>
      </w:numPr>
    </w:pPr>
  </w:style>
  <w:style w:type="paragraph" w:styleId="ListContinue2">
    <w:name w:val="List Continue 2"/>
    <w:basedOn w:val="List2"/>
    <w:rsid w:val="00AD7EA5"/>
    <w:pPr>
      <w:ind w:firstLine="0"/>
    </w:pPr>
  </w:style>
  <w:style w:type="paragraph" w:styleId="ListContinue3">
    <w:name w:val="List Continue 3"/>
    <w:basedOn w:val="List3"/>
    <w:rsid w:val="00AD7EA5"/>
    <w:pPr>
      <w:ind w:left="1021" w:firstLine="0"/>
    </w:pPr>
  </w:style>
  <w:style w:type="paragraph" w:styleId="ListContinue4">
    <w:name w:val="List Continue 4"/>
    <w:basedOn w:val="List4"/>
    <w:rsid w:val="00AD7EA5"/>
    <w:pPr>
      <w:ind w:firstLine="0"/>
    </w:pPr>
  </w:style>
  <w:style w:type="paragraph" w:styleId="ListContinue5">
    <w:name w:val="List Continue 5"/>
    <w:basedOn w:val="List5"/>
    <w:rsid w:val="00AD7EA5"/>
    <w:pPr>
      <w:ind w:firstLine="0"/>
    </w:pPr>
  </w:style>
  <w:style w:type="paragraph" w:styleId="ListNumber3">
    <w:name w:val="List Number 3"/>
    <w:basedOn w:val="List3"/>
    <w:rsid w:val="00AD7EA5"/>
    <w:pPr>
      <w:numPr>
        <w:numId w:val="5"/>
      </w:numPr>
    </w:pPr>
  </w:style>
  <w:style w:type="paragraph" w:styleId="ListNumber4">
    <w:name w:val="List Number 4"/>
    <w:basedOn w:val="List4"/>
    <w:rsid w:val="00AD7EA5"/>
    <w:pPr>
      <w:numPr>
        <w:numId w:val="6"/>
      </w:numPr>
    </w:pPr>
  </w:style>
  <w:style w:type="paragraph" w:styleId="ListNumber5">
    <w:name w:val="List Number 5"/>
    <w:basedOn w:val="List5"/>
    <w:rsid w:val="00AD7EA5"/>
    <w:pPr>
      <w:numPr>
        <w:numId w:val="7"/>
      </w:numPr>
    </w:pPr>
  </w:style>
  <w:style w:type="paragraph" w:styleId="BlockText">
    <w:name w:val="Block Text"/>
    <w:basedOn w:val="Normal"/>
    <w:rsid w:val="00AD7EA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D7EA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D7EA5"/>
    <w:rPr>
      <w:sz w:val="16"/>
      <w:vertAlign w:val="superscript"/>
    </w:rPr>
  </w:style>
  <w:style w:type="character" w:customStyle="1" w:styleId="Symbols">
    <w:name w:val="Symbols"/>
    <w:basedOn w:val="DefaultParagraphFont"/>
    <w:rsid w:val="00AD7EA5"/>
    <w:rPr>
      <w:rFonts w:ascii="Symbol" w:hAnsi="Symbol"/>
    </w:rPr>
  </w:style>
  <w:style w:type="character" w:customStyle="1" w:styleId="MenuOptions">
    <w:name w:val="Menu Options"/>
    <w:basedOn w:val="DefaultParagraphFont"/>
    <w:rsid w:val="00AD7EA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D7EA5"/>
    <w:rPr>
      <w:b/>
    </w:rPr>
  </w:style>
  <w:style w:type="character" w:customStyle="1" w:styleId="Underlined">
    <w:name w:val="Underlined"/>
    <w:basedOn w:val="DefaultParagraphFont"/>
    <w:rsid w:val="00AD7EA5"/>
    <w:rPr>
      <w:u w:val="single"/>
    </w:rPr>
  </w:style>
  <w:style w:type="paragraph" w:customStyle="1" w:styleId="TableBodyTextRight">
    <w:name w:val="Table Body Text Right"/>
    <w:basedOn w:val="TableBodyText"/>
    <w:rsid w:val="00AD7EA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D7EA5"/>
    <w:rPr>
      <w:sz w:val="18"/>
    </w:rPr>
  </w:style>
  <w:style w:type="paragraph" w:customStyle="1" w:styleId="BodySmallRight">
    <w:name w:val="Body Small Right"/>
    <w:basedOn w:val="BodyTextRight"/>
    <w:rsid w:val="00AD7EA5"/>
    <w:rPr>
      <w:sz w:val="18"/>
      <w:szCs w:val="18"/>
    </w:rPr>
  </w:style>
  <w:style w:type="paragraph" w:customStyle="1" w:styleId="MarginEdition">
    <w:name w:val="Margin Edition"/>
    <w:basedOn w:val="MarginNote"/>
    <w:rsid w:val="00AD7EA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D7EA5"/>
    <w:rPr>
      <w:sz w:val="2"/>
      <w:szCs w:val="2"/>
    </w:rPr>
  </w:style>
  <w:style w:type="character" w:customStyle="1" w:styleId="Small">
    <w:name w:val="Small"/>
    <w:basedOn w:val="DefaultParagraphFont"/>
    <w:rsid w:val="00AD7EA5"/>
    <w:rPr>
      <w:sz w:val="16"/>
    </w:rPr>
  </w:style>
  <w:style w:type="paragraph" w:customStyle="1" w:styleId="WideTable">
    <w:name w:val="Wide Table"/>
    <w:basedOn w:val="Normal"/>
    <w:rsid w:val="00AD7EA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D7EA5"/>
  </w:style>
  <w:style w:type="paragraph" w:styleId="Quote">
    <w:name w:val="Quote"/>
    <w:basedOn w:val="Heading1"/>
    <w:link w:val="QuoteChar"/>
    <w:qFormat/>
    <w:rsid w:val="00AD7EA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D7EA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D7EA5"/>
    <w:pPr>
      <w:pageBreakBefore/>
    </w:pPr>
  </w:style>
  <w:style w:type="paragraph" w:customStyle="1" w:styleId="Border">
    <w:name w:val="Border"/>
    <w:basedOn w:val="Normal"/>
    <w:qFormat/>
    <w:rsid w:val="00AD7EA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D7EA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D7EA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D7EA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D7EA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D7EA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D7EA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D7EA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D7EA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D7EA5"/>
    <w:rPr>
      <w:u w:val="single"/>
    </w:rPr>
  </w:style>
  <w:style w:type="character" w:customStyle="1" w:styleId="BoldandItalics">
    <w:name w:val="Bold and Italics"/>
    <w:qFormat/>
    <w:rsid w:val="00AD7EA5"/>
    <w:rPr>
      <w:b/>
      <w:i/>
      <w:u w:val="none"/>
    </w:rPr>
  </w:style>
  <w:style w:type="paragraph" w:styleId="BalloonText">
    <w:name w:val="Balloon Text"/>
    <w:basedOn w:val="Normal"/>
    <w:link w:val="BalloonTextChar"/>
    <w:rsid w:val="00AD7EA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D7EA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D7EA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D7EA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D7EA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D7EA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D7EA5"/>
    <w:pPr>
      <w:spacing w:before="0" w:after="0"/>
    </w:pPr>
  </w:style>
  <w:style w:type="paragraph" w:customStyle="1" w:styleId="BodyTextBold">
    <w:name w:val="Body Text Bold"/>
    <w:basedOn w:val="BodyText"/>
    <w:qFormat/>
    <w:rsid w:val="00AD7EA5"/>
    <w:rPr>
      <w:b/>
    </w:rPr>
  </w:style>
  <w:style w:type="character" w:styleId="Hyperlink">
    <w:name w:val="Hyperlink"/>
    <w:basedOn w:val="DefaultParagraphFont"/>
    <w:uiPriority w:val="99"/>
    <w:unhideWhenUsed/>
    <w:rsid w:val="0077209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857</Words>
  <Characters>5406</Characters>
  <Application>Microsoft Office Word</Application>
  <DocSecurity>0</DocSecurity>
  <Lines>135</Lines>
  <Paragraphs>84</Paragraphs>
  <ScaleCrop>false</ScaleCrop>
  <Company>Author-it Software Corporation Ltd.</Company>
  <LinksUpToDate>false</LinksUpToDate>
  <CharactersWithSpaces>6179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RIICFW302D Install temporary and permanent rock anchors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2021-02-16T01:33:00Z</dcterms:created>
  <dcterms:modified xsi:type="dcterms:W3CDTF">2021-02-16T01:33:00Z</dcterms:modified>
</cp:coreProperties>
</file>