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117" w:rsidP="009F5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RIICBS311D Produce asphalt products</w:t>
      </w:r>
      <w:r>
        <w:fldChar w:fldCharType="end"/>
      </w:r>
    </w:p>
    <w:p w:rsidR="009F5117" w:rsidP="009F5117">
      <w:pPr>
        <w:pStyle w:val="Version"/>
        <w:sectPr w:rsidSect="00C56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6598" w:rsidP="00C56598">
      <w:pPr>
        <w:pStyle w:val="SuperHeading"/>
      </w:pPr>
      <w:r w:rsidRPr="00C56598">
        <w:t>Assessment Requirements for RIICBS311D Produce asphalt products</w:t>
      </w:r>
    </w:p>
    <w:p w:rsidR="00000000" w:rsidRPr="00C56598" w:rsidP="00C56598">
      <w:pPr>
        <w:pStyle w:val="Heading1"/>
      </w:pPr>
      <w:bookmarkStart w:id="1" w:name="O_674486"/>
      <w:bookmarkEnd w:id="1"/>
      <w:r w:rsidRPr="00C565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F5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98">
            <w:pPr>
              <w:pStyle w:val="Heading4"/>
              <w:rPr>
                <w:lang w:val="en-NZ"/>
              </w:rPr>
            </w:pPr>
            <w:r w:rsidRPr="00C5659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98">
            <w:pPr>
              <w:pStyle w:val="Heading4"/>
              <w:rPr>
                <w:lang w:val="en-NZ"/>
              </w:rPr>
            </w:pPr>
            <w:r w:rsidRPr="00C56598">
              <w:t>Comment</w:t>
            </w:r>
          </w:p>
        </w:tc>
      </w:tr>
      <w:tr w:rsidTr="009F5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This unit replaces RIICBS311A Produce asphalt products</w:t>
            </w:r>
          </w:p>
        </w:tc>
      </w:tr>
      <w:tr w:rsidTr="009F5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98" w:rsidP="00C56598">
            <w:pPr>
              <w:pStyle w:val="BodyText"/>
            </w:pPr>
            <w:r w:rsidRPr="00C56598">
              <w:t>Required frequency and volume of evidence amended in Performance evidence.</w:t>
            </w:r>
          </w:p>
          <w:p w:rsidR="00000000" w:rsidRPr="00C56598" w:rsidP="00C56598">
            <w:pPr>
              <w:pStyle w:val="BodyText"/>
            </w:pPr>
            <w:r w:rsidRPr="00C5659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56598" w:rsidP="00C56598">
      <w:pPr>
        <w:pStyle w:val="BodyText"/>
      </w:pPr>
    </w:p>
    <w:p w:rsidR="00000000" w:rsidRPr="00C56598" w:rsidP="00C56598">
      <w:pPr>
        <w:pStyle w:val="AllowPageBreak"/>
      </w:pPr>
    </w:p>
    <w:p w:rsidR="00000000" w:rsidRPr="00C56598" w:rsidP="00C56598">
      <w:pPr>
        <w:pStyle w:val="Heading1"/>
      </w:pPr>
      <w:bookmarkStart w:id="2" w:name="O_674485"/>
      <w:bookmarkEnd w:id="2"/>
      <w:r w:rsidRPr="00C56598">
        <w:t>Performance</w:t>
      </w:r>
      <w:r w:rsidRPr="00C56598">
        <w:t xml:space="preserve"> Evidence</w:t>
      </w:r>
    </w:p>
    <w:p w:rsidR="00000000" w:rsidRPr="00C56598" w:rsidP="009F5117">
      <w:pPr>
        <w:pStyle w:val="BodyText"/>
      </w:pPr>
      <w:r w:rsidRPr="00C56598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C56598">
        <w:t xml:space="preserve"> and include evidence that the candidate:</w:t>
      </w:r>
    </w:p>
    <w:p w:rsidR="00000000" w:rsidRPr="00C56598" w:rsidP="00C56598">
      <w:pPr>
        <w:pStyle w:val="ListBullet"/>
      </w:pPr>
      <w:r w:rsidRPr="00C56598">
        <w:t>locates and applies applicable legislation, documentation, policies and procedures</w:t>
      </w:r>
    </w:p>
    <w:p w:rsidR="00000000" w:rsidRPr="00C56598" w:rsidP="00C56598">
      <w:pPr>
        <w:pStyle w:val="ListBullet"/>
      </w:pPr>
      <w:r w:rsidRPr="00C56598">
        <w:t>implements the requirements, procedures and techniques for the safe, effective and efficient completion of producing asphalt products including:</w:t>
      </w:r>
    </w:p>
    <w:p w:rsidR="00000000" w:rsidRPr="00C56598" w:rsidP="00C56598">
      <w:pPr>
        <w:pStyle w:val="ListBullet2"/>
      </w:pPr>
      <w:r w:rsidRPr="00C56598">
        <w:t>select and use relevant tools and equipment safely</w:t>
      </w:r>
    </w:p>
    <w:p w:rsidR="00000000" w:rsidRPr="00C56598" w:rsidP="00C56598">
      <w:pPr>
        <w:pStyle w:val="ListBullet2"/>
      </w:pPr>
      <w:r w:rsidRPr="00C56598">
        <w:t xml:space="preserve">identify and report on hazards related to the worksite and </w:t>
      </w:r>
      <w:r w:rsidRPr="00C56598">
        <w:t>work activity</w:t>
      </w:r>
    </w:p>
    <w:p w:rsidR="00000000" w:rsidRPr="00C56598" w:rsidP="00C56598">
      <w:pPr>
        <w:pStyle w:val="ListBullet"/>
      </w:pPr>
      <w:r w:rsidRPr="00C56598">
        <w:t>works effectively with others to undertake and complete the production of asphalt products that meets all of the required outcomes including:</w:t>
      </w:r>
    </w:p>
    <w:p w:rsidR="00000000" w:rsidRPr="00C56598" w:rsidP="00C56598">
      <w:pPr>
        <w:pStyle w:val="ListBullet2"/>
      </w:pPr>
      <w:r w:rsidRPr="00C56598">
        <w:t>complying with written and verbal reporting requirements and procedures</w:t>
      </w:r>
    </w:p>
    <w:p w:rsidR="00000000" w:rsidRPr="00C56598" w:rsidP="00C56598">
      <w:pPr>
        <w:pStyle w:val="ListBullet2"/>
      </w:pPr>
      <w:r w:rsidRPr="00C56598">
        <w:t xml:space="preserve">communicating clearly and </w:t>
      </w:r>
      <w:r w:rsidRPr="00C56598">
        <w:t>concisely with others to receive and clarify work instructions</w:t>
      </w:r>
    </w:p>
    <w:p w:rsidR="00000000" w:rsidRPr="00C56598" w:rsidP="00C56598">
      <w:pPr>
        <w:pStyle w:val="ListBullet2"/>
      </w:pPr>
      <w:r w:rsidRPr="00C56598">
        <w:t>communicating clearly and concisely with others to resolve coordination requirements prior to commencing and during work activities</w:t>
      </w:r>
    </w:p>
    <w:p w:rsidR="00000000" w:rsidRPr="00C56598" w:rsidP="00C56598">
      <w:pPr>
        <w:pStyle w:val="ListBullet"/>
      </w:pPr>
      <w:r w:rsidRPr="00C56598">
        <w:t>demonstrates completion of producing asphalt products that s</w:t>
      </w:r>
      <w:r w:rsidRPr="00C56598">
        <w:t>afely, effectively and efficiently meets all of the required outcomes on more than one (1) occasion including:</w:t>
      </w:r>
    </w:p>
    <w:p w:rsidR="00000000" w:rsidRPr="00C56598" w:rsidP="00C56598">
      <w:pPr>
        <w:pStyle w:val="ListBullet2"/>
      </w:pPr>
      <w:r w:rsidRPr="00C56598">
        <w:t>completion of programming and planning of the mix specification for three (3) separate mixes, with the temperature and mix produced within toler</w:t>
      </w:r>
      <w:r w:rsidRPr="00C56598">
        <w:t>ance for three hundred (300) tonne of mix, without plant down time</w:t>
      </w:r>
    </w:p>
    <w:p w:rsidR="00000000" w:rsidRPr="00C56598" w:rsidP="00C56598">
      <w:pPr>
        <w:pStyle w:val="AllowPageBreak"/>
      </w:pPr>
    </w:p>
    <w:p w:rsidR="00000000" w:rsidRPr="00C56598" w:rsidP="00C56598">
      <w:pPr>
        <w:pStyle w:val="Heading1"/>
      </w:pPr>
      <w:bookmarkStart w:id="3" w:name="O_674484"/>
      <w:bookmarkEnd w:id="3"/>
      <w:r w:rsidRPr="00C56598">
        <w:t>Knowledge Evidence</w:t>
      </w:r>
    </w:p>
    <w:p w:rsidR="00000000" w:rsidRPr="00C56598" w:rsidP="009F5117">
      <w:pPr>
        <w:pStyle w:val="BodyText"/>
      </w:pPr>
      <w:r w:rsidRPr="00C56598">
        <w:t>The candidate must demonstrate knowledge in producing asphalt products through:</w:t>
      </w:r>
    </w:p>
    <w:p w:rsidR="00000000" w:rsidRPr="00C56598" w:rsidP="00C56598">
      <w:pPr>
        <w:pStyle w:val="ListBullet"/>
      </w:pPr>
      <w:r w:rsidRPr="00C56598">
        <w:t xml:space="preserve">accessing, interpreting and applying legislative, organisation and site </w:t>
      </w:r>
      <w:r w:rsidRPr="00C56598">
        <w:t>requirements and procedures for:</w:t>
      </w:r>
    </w:p>
    <w:p w:rsidR="00000000" w:rsidRPr="00C56598" w:rsidP="00C56598">
      <w:pPr>
        <w:pStyle w:val="ListBullet2"/>
      </w:pPr>
      <w:r w:rsidRPr="00C56598">
        <w:t>site and equipment safety requirements</w:t>
      </w:r>
    </w:p>
    <w:p w:rsidR="00000000" w:rsidRPr="00C56598" w:rsidP="00C56598">
      <w:pPr>
        <w:pStyle w:val="ListBullet2"/>
      </w:pPr>
      <w:r w:rsidRPr="00C56598">
        <w:t>conducting plant operations</w:t>
      </w:r>
    </w:p>
    <w:p w:rsidR="00000000" w:rsidRPr="00C56598" w:rsidP="00C56598">
      <w:pPr>
        <w:pStyle w:val="ListBullet2"/>
      </w:pPr>
      <w:r w:rsidRPr="00C56598">
        <w:t>heating bitumen and controlling temperature</w:t>
      </w:r>
    </w:p>
    <w:p w:rsidR="00000000" w:rsidRPr="00C56598" w:rsidP="00C56598">
      <w:pPr>
        <w:pStyle w:val="ListBullet2"/>
      </w:pPr>
      <w:r w:rsidRPr="00C56598">
        <w:t>batch testing</w:t>
      </w:r>
    </w:p>
    <w:p w:rsidR="00000000" w:rsidRPr="00C56598" w:rsidP="00C56598">
      <w:pPr>
        <w:pStyle w:val="ListBullet2"/>
      </w:pPr>
      <w:r w:rsidRPr="00C56598">
        <w:t>calculation of material requirements and application rates</w:t>
      </w:r>
    </w:p>
    <w:p w:rsidR="00000000" w:rsidRPr="00C56598" w:rsidP="00C56598">
      <w:pPr>
        <w:pStyle w:val="ListBullet2"/>
      </w:pPr>
      <w:r w:rsidRPr="00C56598">
        <w:t>housekeeping</w:t>
      </w:r>
    </w:p>
    <w:p w:rsidR="00000000" w:rsidRPr="00C56598" w:rsidP="00C56598">
      <w:pPr>
        <w:pStyle w:val="ListBullet"/>
      </w:pPr>
      <w:r w:rsidRPr="00C56598">
        <w:t>complying with site and equipment safety requirements</w:t>
      </w:r>
    </w:p>
    <w:p w:rsidR="00000000" w:rsidRPr="00C56598" w:rsidP="00C56598">
      <w:pPr>
        <w:pStyle w:val="ListBullet"/>
      </w:pPr>
      <w:r w:rsidRPr="00C56598">
        <w:t>using batching systems</w:t>
      </w:r>
    </w:p>
    <w:p w:rsidR="00000000" w:rsidRPr="00C56598" w:rsidP="00C56598">
      <w:pPr>
        <w:pStyle w:val="ListBullet"/>
      </w:pPr>
      <w:r w:rsidRPr="00C56598">
        <w:t>understanding mix specifications (temperatures and tolerances)</w:t>
      </w:r>
    </w:p>
    <w:p w:rsidR="00000000" w:rsidRPr="00C56598" w:rsidP="00C56598">
      <w:pPr>
        <w:pStyle w:val="ListBullet"/>
      </w:pPr>
      <w:r w:rsidRPr="00C56598">
        <w:t>understanding production requirements</w:t>
      </w:r>
    </w:p>
    <w:p w:rsidR="00000000" w:rsidRPr="00C56598" w:rsidP="00C56598">
      <w:pPr>
        <w:pStyle w:val="ListBullet"/>
      </w:pPr>
      <w:r w:rsidRPr="00C56598">
        <w:t>understanding bituminous materials and their characteristics</w:t>
      </w:r>
    </w:p>
    <w:p w:rsidR="00000000" w:rsidRPr="00C56598" w:rsidP="00C56598">
      <w:pPr>
        <w:pStyle w:val="ListBullet"/>
      </w:pPr>
      <w:r w:rsidRPr="00C56598">
        <w:t>understanding agg</w:t>
      </w:r>
      <w:r w:rsidRPr="00C56598">
        <w:t>regate and sand properties and conformance</w:t>
      </w:r>
    </w:p>
    <w:p w:rsidR="00000000" w:rsidRPr="00C56598" w:rsidP="00C56598">
      <w:pPr>
        <w:pStyle w:val="ListBullet"/>
      </w:pPr>
      <w:r w:rsidRPr="00C56598">
        <w:t>using additives</w:t>
      </w:r>
    </w:p>
    <w:p w:rsidR="00000000" w:rsidRPr="00C56598" w:rsidP="00C56598">
      <w:pPr>
        <w:pStyle w:val="ListBullet"/>
      </w:pPr>
      <w:r w:rsidRPr="00C56598">
        <w:t>understanding the equipment types, characteristics, technical capabilities and limitations</w:t>
      </w:r>
    </w:p>
    <w:p w:rsidR="00000000" w:rsidRPr="00C56598" w:rsidP="00C56598">
      <w:pPr>
        <w:pStyle w:val="ListBullet"/>
      </w:pPr>
      <w:r w:rsidRPr="00C56598">
        <w:t>complying with the operational, maintenance and basic diagnostic procedures</w:t>
      </w:r>
    </w:p>
    <w:p w:rsidR="00000000" w:rsidRPr="00C56598" w:rsidP="00C56598">
      <w:pPr>
        <w:pStyle w:val="ListBullet"/>
      </w:pPr>
      <w:r w:rsidRPr="00C56598">
        <w:t>complying with safety data she</w:t>
      </w:r>
      <w:r w:rsidRPr="00C56598">
        <w:t>ets and materials handling methods</w:t>
      </w:r>
    </w:p>
    <w:p w:rsidR="00000000" w:rsidRPr="00C56598" w:rsidP="00C56598">
      <w:pPr>
        <w:pStyle w:val="ListBullet"/>
      </w:pPr>
      <w:r w:rsidRPr="00C56598">
        <w:t>preparing and/or implementing JSAs/JSEA/safe work method statements</w:t>
      </w:r>
    </w:p>
    <w:p w:rsidR="00000000" w:rsidRPr="00C56598" w:rsidP="00C56598">
      <w:pPr>
        <w:pStyle w:val="AllowPageBreak"/>
      </w:pPr>
    </w:p>
    <w:p w:rsidR="00000000" w:rsidRPr="00C56598" w:rsidP="00C56598">
      <w:pPr>
        <w:pStyle w:val="Heading1"/>
      </w:pPr>
      <w:bookmarkStart w:id="4" w:name="O_674483"/>
      <w:bookmarkEnd w:id="4"/>
      <w:r w:rsidRPr="00C56598">
        <w:t>Assessment Conditions</w:t>
      </w:r>
    </w:p>
    <w:p w:rsidR="00000000" w:rsidRPr="00C56598" w:rsidP="00C56598">
      <w:pPr>
        <w:pStyle w:val="ListBullet"/>
      </w:pPr>
      <w:r w:rsidRPr="00C56598">
        <w:t xml:space="preserve">An assessor of this unit must satisfy the requirements of the NVR/AQTF or their successors; </w:t>
      </w:r>
      <w:r w:rsidRPr="00C56598">
        <w:t>and Industry regulations for certification and licensing; and,</w:t>
      </w:r>
    </w:p>
    <w:p w:rsidR="00000000" w:rsidRPr="00C56598" w:rsidP="00C56598">
      <w:pPr>
        <w:pStyle w:val="ListBullet"/>
      </w:pPr>
      <w:r w:rsidRPr="00C56598">
        <w:t>this unit must be assessed in the context of this sector’s work environment; and,</w:t>
      </w:r>
    </w:p>
    <w:p w:rsidR="00000000" w:rsidRPr="00C56598" w:rsidP="00C56598">
      <w:pPr>
        <w:pStyle w:val="ListBullet"/>
      </w:pPr>
      <w:r w:rsidRPr="00C56598">
        <w:t>this unit must be assessed in compliance with relevant legislation/regulation and using policies, procedures, p</w:t>
      </w:r>
      <w:r w:rsidRPr="00C56598">
        <w:t>rocesses and operational manuals directly related to the industry sector for which it is being assessed; and,</w:t>
      </w:r>
    </w:p>
    <w:p w:rsidR="00000000" w:rsidRPr="00C56598" w:rsidP="00C56598">
      <w:pPr>
        <w:pStyle w:val="ListBullet"/>
      </w:pPr>
      <w:r w:rsidRPr="00C56598">
        <w:t>assessment may be conducted in conjunction with the assessment of other Units of Competency; and,</w:t>
      </w:r>
    </w:p>
    <w:p w:rsidR="00000000" w:rsidRPr="00C56598" w:rsidP="00C56598">
      <w:pPr>
        <w:pStyle w:val="ListBullet"/>
      </w:pPr>
      <w:r w:rsidRPr="00C56598">
        <w:t>assessment must confirm consistent performance c</w:t>
      </w:r>
      <w:r w:rsidRPr="00C56598">
        <w:t>an be applied in a range of relevant workplace circumstances; and,</w:t>
      </w:r>
    </w:p>
    <w:p w:rsidR="00000000" w:rsidRPr="00C56598" w:rsidP="00C56598">
      <w:pPr>
        <w:pStyle w:val="ListBullet"/>
      </w:pPr>
      <w:r w:rsidRPr="00C56598">
        <w:t>assessors must demonstrate the performance evidence, and knowledge evidence as outlined in this Unit of Competency, and through the minimum years of current* work experience specified below</w:t>
      </w:r>
      <w:r w:rsidRPr="00C56598">
        <w:t xml:space="preserve"> in an Industry sector relevant to the outcomes of the unit; or,</w:t>
      </w:r>
    </w:p>
    <w:p w:rsidR="00000000" w:rsidRPr="00C56598" w:rsidP="00C56598">
      <w:pPr>
        <w:pStyle w:val="ListBullet"/>
      </w:pPr>
      <w:r w:rsidRPr="00C56598">
        <w:t>where the assessor does not meet experience requirements a co-assessment or partnership arrangement must exist between the qualified assessor and an Industry subject matter expert. The Indust</w:t>
      </w:r>
      <w:r w:rsidRPr="00C56598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C56598">
        <w:t xml:space="preserve"> current work experience specified below in the Industry sector, including time spent in roles related to the unit being assessed; and,</w:t>
      </w:r>
    </w:p>
    <w:p w:rsidR="00000000" w:rsidRPr="00C56598" w:rsidP="00C56598">
      <w:pPr>
        <w:pStyle w:val="ListBullet"/>
      </w:pPr>
      <w:r w:rsidRPr="00C56598">
        <w:t>assessor and Industry subject matter expert requirements differ depending on the Australian Qualifications Framework Lev</w:t>
      </w:r>
      <w:r w:rsidRPr="00C56598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565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Heading4"/>
              <w:rPr>
                <w:lang w:val="en-NZ"/>
              </w:rPr>
            </w:pPr>
            <w:r w:rsidRPr="00C5659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Heading4"/>
              <w:rPr>
                <w:lang w:val="en-NZ"/>
              </w:rPr>
            </w:pPr>
            <w:r w:rsidRPr="00C5659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Heading4"/>
              <w:rPr>
                <w:lang w:val="en-NZ"/>
              </w:rPr>
            </w:pPr>
            <w:r w:rsidRPr="00C56598">
              <w:t>Required assessor or Industry subject matter expert experience</w:t>
            </w:r>
          </w:p>
        </w:tc>
      </w:tr>
      <w:tr w:rsidTr="00C565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1 Year</w:t>
            </w:r>
          </w:p>
        </w:tc>
      </w:tr>
      <w:tr w:rsidTr="00C565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2 Years</w:t>
            </w:r>
          </w:p>
        </w:tc>
      </w:tr>
      <w:tr w:rsidTr="00C565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3 Years</w:t>
            </w:r>
          </w:p>
        </w:tc>
      </w:tr>
      <w:tr w:rsidTr="00C565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5 Years</w:t>
            </w:r>
          </w:p>
        </w:tc>
      </w:tr>
      <w:tr w:rsidTr="00C5659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6598">
            <w:pPr>
              <w:pStyle w:val="BodyText"/>
              <w:rPr>
                <w:lang w:val="en-NZ"/>
              </w:rPr>
            </w:pPr>
            <w:r w:rsidRPr="00C5659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6598" w:rsidP="00C56598">
            <w:pPr>
              <w:pStyle w:val="BodyText"/>
            </w:pPr>
            <w:r w:rsidRPr="00C5659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56598">
              <w:t>ndard is specified should comply with any relevant regulation.</w:t>
            </w:r>
          </w:p>
        </w:tc>
      </w:tr>
    </w:tbl>
    <w:p w:rsidR="00000000" w:rsidRPr="00C56598" w:rsidP="009F5117">
      <w:pPr>
        <w:pStyle w:val="BodyText"/>
      </w:pPr>
      <w:r w:rsidRPr="00C56598">
        <w:t>*Assessors can demonstrate current work experience through employment within Industry in a role relevant to the outcomes of the Unit; or, for external assessors this can be demonstrated throu</w:t>
      </w:r>
      <w:r w:rsidRPr="00C56598">
        <w:t>gh exposure to Industry by conducting frequent site assessments across various locations.</w:t>
      </w:r>
    </w:p>
    <w:p w:rsidR="00000000" w:rsidRPr="00C56598" w:rsidP="009F5117">
      <w:pPr>
        <w:pStyle w:val="BodyText"/>
      </w:pPr>
      <w:r w:rsidRPr="00C56598">
        <w:t>**Where a unit is being delivered outside of a Qualification the first numeric character in the Unit code should be considered to indicate the AQF level</w:t>
      </w:r>
    </w:p>
    <w:p w:rsidR="00000000" w:rsidRPr="00C56598" w:rsidP="00C56598">
      <w:pPr>
        <w:pStyle w:val="Heading1"/>
      </w:pPr>
      <w:bookmarkStart w:id="5" w:name="O_674495"/>
      <w:bookmarkEnd w:id="5"/>
      <w:r w:rsidRPr="00C56598">
        <w:t>Links</w:t>
      </w:r>
    </w:p>
    <w:p w:rsidR="00000000" w:rsidRPr="00C56598" w:rsidP="009F5117">
      <w:pPr>
        <w:pStyle w:val="BodyText"/>
      </w:pPr>
      <w:r w:rsidRPr="00C56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640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6598" w:rsidP="00C56598"/>
    <w:sectPr w:rsidSect="00C565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98" w:rsidRPr="009F5117" w:rsidP="009F5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17" w:rsidP="00C56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117" w:rsidP="00C56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117" w:rsidP="00C56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598" w:rsidRPr="009F5117" w:rsidP="009F5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117" w:rsidRPr="002D2AF8" w:rsidP="00C56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RIICBS311D Produce asphalt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9F5117" w:rsidP="00C56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5A6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404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521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598"/>
  </w:style>
  <w:style w:type="character" w:customStyle="1" w:styleId="Heading1Char">
    <w:name w:val="Heading 1 Char"/>
    <w:basedOn w:val="DefaultParagraphFont"/>
    <w:link w:val="Heading1"/>
    <w:rsid w:val="00C56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5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6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5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5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65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6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5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598"/>
    <w:rPr>
      <w:b/>
      <w:spacing w:val="0"/>
    </w:rPr>
  </w:style>
  <w:style w:type="paragraph" w:customStyle="1" w:styleId="SuperTitle">
    <w:name w:val="SuperTitle"/>
    <w:basedOn w:val="Title"/>
    <w:rsid w:val="00C56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6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598"/>
    <w:rPr>
      <w:i/>
    </w:rPr>
  </w:style>
  <w:style w:type="paragraph" w:styleId="Caption">
    <w:name w:val="caption"/>
    <w:basedOn w:val="BodyText"/>
    <w:next w:val="Normal"/>
    <w:qFormat/>
    <w:rsid w:val="00C56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598"/>
  </w:style>
  <w:style w:type="paragraph" w:styleId="TableofFigures">
    <w:name w:val="table of figures"/>
    <w:basedOn w:val="Normal"/>
    <w:next w:val="Normal"/>
    <w:semiHidden/>
    <w:rsid w:val="00C56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5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6598"/>
    <w:rPr>
      <w:rFonts w:ascii="Wingdings" w:hAnsi="Wingdings"/>
    </w:rPr>
  </w:style>
  <w:style w:type="paragraph" w:customStyle="1" w:styleId="TableHeading">
    <w:name w:val="Table Heading"/>
    <w:basedOn w:val="HeadingBase"/>
    <w:rsid w:val="00C56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598"/>
    <w:rPr>
      <w:color w:val="0033CC"/>
      <w:u w:val="none"/>
    </w:rPr>
  </w:style>
  <w:style w:type="paragraph" w:customStyle="1" w:styleId="BodyTextRight">
    <w:name w:val="Body Text Right"/>
    <w:basedOn w:val="BodyText"/>
    <w:rsid w:val="00C56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5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598"/>
    <w:rPr>
      <w:sz w:val="32"/>
    </w:rPr>
  </w:style>
  <w:style w:type="paragraph" w:customStyle="1" w:styleId="HeadingProcedure">
    <w:name w:val="Heading Procedure"/>
    <w:basedOn w:val="HeadingBase"/>
    <w:next w:val="Normal"/>
    <w:rsid w:val="00C56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598"/>
    <w:pPr>
      <w:spacing w:before="60" w:after="60"/>
    </w:pPr>
  </w:style>
  <w:style w:type="paragraph" w:styleId="ListContinue">
    <w:name w:val="List Continue"/>
    <w:basedOn w:val="List"/>
    <w:rsid w:val="00C56598"/>
    <w:pPr>
      <w:ind w:firstLine="0"/>
    </w:pPr>
  </w:style>
  <w:style w:type="paragraph" w:customStyle="1" w:styleId="ListNote">
    <w:name w:val="List Note"/>
    <w:basedOn w:val="List"/>
    <w:rsid w:val="00C56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598"/>
    <w:rPr>
      <w:rFonts w:ascii="Courier New" w:hAnsi="Courier New"/>
    </w:rPr>
  </w:style>
  <w:style w:type="paragraph" w:customStyle="1" w:styleId="NoteBullet">
    <w:name w:val="Note Bullet"/>
    <w:basedOn w:val="Note"/>
    <w:rsid w:val="00C56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5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6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598"/>
    <w:rPr>
      <w:b/>
      <w:smallCaps/>
    </w:rPr>
  </w:style>
  <w:style w:type="paragraph" w:customStyle="1" w:styleId="TableListNumber">
    <w:name w:val="Table List Number"/>
    <w:basedOn w:val="ListNumber"/>
    <w:rsid w:val="00C56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598"/>
    <w:pPr>
      <w:numPr>
        <w:numId w:val="9"/>
      </w:numPr>
    </w:pPr>
  </w:style>
  <w:style w:type="paragraph" w:customStyle="1" w:styleId="ListAlpha2">
    <w:name w:val="List Alpha 2"/>
    <w:basedOn w:val="List2"/>
    <w:rsid w:val="00C56598"/>
    <w:pPr>
      <w:numPr>
        <w:numId w:val="8"/>
      </w:numPr>
    </w:pPr>
  </w:style>
  <w:style w:type="paragraph" w:styleId="List2">
    <w:name w:val="List 2"/>
    <w:basedOn w:val="BodyText"/>
    <w:rsid w:val="00C56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5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5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6598"/>
    <w:pPr>
      <w:numPr>
        <w:numId w:val="4"/>
      </w:numPr>
    </w:pPr>
  </w:style>
  <w:style w:type="paragraph" w:styleId="ListContinue2">
    <w:name w:val="List Continue 2"/>
    <w:basedOn w:val="List2"/>
    <w:rsid w:val="00C56598"/>
    <w:pPr>
      <w:ind w:firstLine="0"/>
    </w:pPr>
  </w:style>
  <w:style w:type="paragraph" w:styleId="ListContinue3">
    <w:name w:val="List Continue 3"/>
    <w:basedOn w:val="List3"/>
    <w:rsid w:val="00C56598"/>
    <w:pPr>
      <w:ind w:left="1021" w:firstLine="0"/>
    </w:pPr>
  </w:style>
  <w:style w:type="paragraph" w:styleId="ListContinue4">
    <w:name w:val="List Continue 4"/>
    <w:basedOn w:val="List4"/>
    <w:rsid w:val="00C56598"/>
    <w:pPr>
      <w:ind w:firstLine="0"/>
    </w:pPr>
  </w:style>
  <w:style w:type="paragraph" w:styleId="ListContinue5">
    <w:name w:val="List Continue 5"/>
    <w:basedOn w:val="List5"/>
    <w:rsid w:val="00C56598"/>
    <w:pPr>
      <w:ind w:firstLine="0"/>
    </w:pPr>
  </w:style>
  <w:style w:type="paragraph" w:styleId="ListNumber3">
    <w:name w:val="List Number 3"/>
    <w:basedOn w:val="List3"/>
    <w:rsid w:val="00C56598"/>
    <w:pPr>
      <w:numPr>
        <w:numId w:val="5"/>
      </w:numPr>
    </w:pPr>
  </w:style>
  <w:style w:type="paragraph" w:styleId="ListNumber4">
    <w:name w:val="List Number 4"/>
    <w:basedOn w:val="List4"/>
    <w:rsid w:val="00C56598"/>
    <w:pPr>
      <w:numPr>
        <w:numId w:val="6"/>
      </w:numPr>
    </w:pPr>
  </w:style>
  <w:style w:type="paragraph" w:styleId="ListNumber5">
    <w:name w:val="List Number 5"/>
    <w:basedOn w:val="List5"/>
    <w:rsid w:val="00C56598"/>
    <w:pPr>
      <w:numPr>
        <w:numId w:val="7"/>
      </w:numPr>
    </w:pPr>
  </w:style>
  <w:style w:type="paragraph" w:styleId="BlockText">
    <w:name w:val="Block Text"/>
    <w:basedOn w:val="Normal"/>
    <w:rsid w:val="00C56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598"/>
    <w:rPr>
      <w:sz w:val="16"/>
      <w:vertAlign w:val="superscript"/>
    </w:rPr>
  </w:style>
  <w:style w:type="character" w:customStyle="1" w:styleId="Symbols">
    <w:name w:val="Symbols"/>
    <w:basedOn w:val="DefaultParagraphFont"/>
    <w:rsid w:val="00C56598"/>
    <w:rPr>
      <w:rFonts w:ascii="Symbol" w:hAnsi="Symbol"/>
    </w:rPr>
  </w:style>
  <w:style w:type="character" w:customStyle="1" w:styleId="MenuOptions">
    <w:name w:val="Menu Options"/>
    <w:basedOn w:val="DefaultParagraphFont"/>
    <w:rsid w:val="00C56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598"/>
    <w:rPr>
      <w:b/>
    </w:rPr>
  </w:style>
  <w:style w:type="character" w:customStyle="1" w:styleId="Underlined">
    <w:name w:val="Underlined"/>
    <w:basedOn w:val="DefaultParagraphFont"/>
    <w:rsid w:val="00C56598"/>
    <w:rPr>
      <w:u w:val="single"/>
    </w:rPr>
  </w:style>
  <w:style w:type="paragraph" w:customStyle="1" w:styleId="TableBodyTextRight">
    <w:name w:val="Table Body Text Right"/>
    <w:basedOn w:val="TableBodyText"/>
    <w:rsid w:val="00C56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598"/>
    <w:rPr>
      <w:sz w:val="18"/>
    </w:rPr>
  </w:style>
  <w:style w:type="paragraph" w:customStyle="1" w:styleId="BodySmallRight">
    <w:name w:val="Body Small Right"/>
    <w:basedOn w:val="BodyTextRight"/>
    <w:rsid w:val="00C56598"/>
    <w:rPr>
      <w:sz w:val="18"/>
      <w:szCs w:val="18"/>
    </w:rPr>
  </w:style>
  <w:style w:type="paragraph" w:customStyle="1" w:styleId="MarginEdition">
    <w:name w:val="Margin Edition"/>
    <w:basedOn w:val="MarginNote"/>
    <w:rsid w:val="00C56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598"/>
    <w:rPr>
      <w:sz w:val="2"/>
      <w:szCs w:val="2"/>
    </w:rPr>
  </w:style>
  <w:style w:type="character" w:customStyle="1" w:styleId="Small">
    <w:name w:val="Small"/>
    <w:basedOn w:val="DefaultParagraphFont"/>
    <w:rsid w:val="00C56598"/>
    <w:rPr>
      <w:sz w:val="16"/>
    </w:rPr>
  </w:style>
  <w:style w:type="paragraph" w:customStyle="1" w:styleId="WideTable">
    <w:name w:val="Wide Table"/>
    <w:basedOn w:val="Normal"/>
    <w:rsid w:val="00C56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598"/>
  </w:style>
  <w:style w:type="paragraph" w:styleId="Quote">
    <w:name w:val="Quote"/>
    <w:basedOn w:val="Heading1"/>
    <w:link w:val="QuoteChar"/>
    <w:qFormat/>
    <w:rsid w:val="00C56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598"/>
    <w:pPr>
      <w:pageBreakBefore/>
    </w:pPr>
  </w:style>
  <w:style w:type="paragraph" w:customStyle="1" w:styleId="Border">
    <w:name w:val="Border"/>
    <w:basedOn w:val="Normal"/>
    <w:qFormat/>
    <w:rsid w:val="00C56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598"/>
    <w:rPr>
      <w:u w:val="single"/>
    </w:rPr>
  </w:style>
  <w:style w:type="character" w:customStyle="1" w:styleId="BoldandItalics">
    <w:name w:val="Bold and Italics"/>
    <w:qFormat/>
    <w:rsid w:val="00C56598"/>
    <w:rPr>
      <w:b/>
      <w:i/>
      <w:u w:val="none"/>
    </w:rPr>
  </w:style>
  <w:style w:type="paragraph" w:styleId="BalloonText">
    <w:name w:val="Balloon Text"/>
    <w:basedOn w:val="Normal"/>
    <w:link w:val="BalloonTextChar"/>
    <w:rsid w:val="00C56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598"/>
    <w:pPr>
      <w:spacing w:before="0" w:after="0"/>
    </w:pPr>
  </w:style>
  <w:style w:type="paragraph" w:customStyle="1" w:styleId="BodyTextBold">
    <w:name w:val="Body Text Bold"/>
    <w:basedOn w:val="BodyText"/>
    <w:qFormat/>
    <w:rsid w:val="00C56598"/>
    <w:rPr>
      <w:b/>
    </w:rPr>
  </w:style>
  <w:style w:type="character" w:styleId="Hyperlink">
    <w:name w:val="Hyperlink"/>
    <w:basedOn w:val="DefaultParagraphFont"/>
    <w:uiPriority w:val="99"/>
    <w:unhideWhenUsed/>
    <w:rsid w:val="009F5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5345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RIICBS311D Produce asphalt products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2020-03-02T00:42:00Z</dcterms:created>
  <dcterms:modified xsi:type="dcterms:W3CDTF">2020-03-02T00:42:00Z</dcterms:modified>
</cp:coreProperties>
</file>