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3117" w:rsidP="00A131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RIICBS308D Load aggregate using a purpose built loader</w:t>
      </w:r>
      <w:r>
        <w:fldChar w:fldCharType="end"/>
      </w:r>
    </w:p>
    <w:p w:rsidR="00A13117" w:rsidP="00A13117">
      <w:pPr>
        <w:pStyle w:val="Version"/>
        <w:sectPr w:rsidSect="00E919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91939" w:rsidP="00E91939">
      <w:pPr>
        <w:pStyle w:val="SuperHeading"/>
      </w:pPr>
      <w:r w:rsidRPr="00E91939">
        <w:t>Assessment Requirements for RIICBS308D Load aggregate using a purpose built loader</w:t>
      </w:r>
    </w:p>
    <w:p w:rsidR="00000000" w:rsidRPr="00E91939" w:rsidP="00E91939">
      <w:pPr>
        <w:pStyle w:val="Heading1"/>
      </w:pPr>
      <w:bookmarkStart w:id="1" w:name="O_674441"/>
      <w:bookmarkEnd w:id="1"/>
      <w:r w:rsidRPr="00E9193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50"/>
        <w:gridCol w:w="7650"/>
      </w:tblGrid>
      <w:tr w:rsidTr="00A131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939">
            <w:pPr>
              <w:pStyle w:val="Heading4"/>
              <w:rPr>
                <w:lang w:val="en-NZ"/>
              </w:rPr>
            </w:pPr>
            <w:r w:rsidRPr="00E91939">
              <w:t>Release</w:t>
            </w:r>
          </w:p>
        </w:tc>
        <w:tc>
          <w:tcPr>
            <w:tcW w:w="7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939">
            <w:pPr>
              <w:pStyle w:val="Heading4"/>
              <w:rPr>
                <w:lang w:val="en-NZ"/>
              </w:rPr>
            </w:pPr>
            <w:r w:rsidRPr="00E91939">
              <w:t>Comment</w:t>
            </w:r>
          </w:p>
        </w:tc>
      </w:tr>
      <w:tr w:rsidTr="00A131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939">
            <w:pPr>
              <w:pStyle w:val="BodyText"/>
              <w:rPr>
                <w:lang w:val="en-NZ"/>
              </w:rPr>
            </w:pPr>
            <w:r w:rsidRPr="00E91939">
              <w:t>1</w:t>
            </w:r>
          </w:p>
        </w:tc>
        <w:tc>
          <w:tcPr>
            <w:tcW w:w="7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939">
            <w:pPr>
              <w:pStyle w:val="BodyText"/>
              <w:rPr>
                <w:lang w:val="en-NZ"/>
              </w:rPr>
            </w:pPr>
            <w:r w:rsidRPr="00E91939">
              <w:t>This unit replaces RIICBS308A Load aggregate using a purpose built loader</w:t>
            </w:r>
          </w:p>
        </w:tc>
      </w:tr>
      <w:tr w:rsidTr="00A131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939">
            <w:pPr>
              <w:pStyle w:val="BodyText"/>
              <w:rPr>
                <w:lang w:val="en-NZ"/>
              </w:rPr>
            </w:pPr>
            <w:r w:rsidRPr="00E91939">
              <w:t>2</w:t>
            </w:r>
          </w:p>
        </w:tc>
        <w:tc>
          <w:tcPr>
            <w:tcW w:w="7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939" w:rsidP="00E91939">
            <w:pPr>
              <w:pStyle w:val="BodyText"/>
            </w:pPr>
            <w:r w:rsidRPr="00E91939">
              <w:t>Required frequency and volume of evidence amended in Performance evidence.</w:t>
            </w:r>
          </w:p>
          <w:p w:rsidR="00000000" w:rsidRPr="00E91939" w:rsidP="00E91939">
            <w:pPr>
              <w:pStyle w:val="BodyText"/>
            </w:pPr>
            <w:r w:rsidRPr="00E91939">
              <w:t>Substantial amendments made in Assessment Conditions field, including: references to Industry Sectors, assessor and subject matter expert experience requirements, how assessment sho</w:t>
            </w:r>
            <w:r w:rsidRPr="00E91939">
              <w:t>uld be conducted and what it should confirm.</w:t>
            </w:r>
          </w:p>
        </w:tc>
      </w:tr>
    </w:tbl>
    <w:p w:rsidR="00000000" w:rsidRPr="00E91939" w:rsidP="00E91939">
      <w:pPr>
        <w:pStyle w:val="BodyText"/>
      </w:pPr>
    </w:p>
    <w:p w:rsidR="00000000" w:rsidRPr="00E91939" w:rsidP="00E91939">
      <w:pPr>
        <w:pStyle w:val="AllowPageBreak"/>
      </w:pPr>
    </w:p>
    <w:p w:rsidR="00000000" w:rsidRPr="00E91939" w:rsidP="00E91939">
      <w:pPr>
        <w:pStyle w:val="Heading1"/>
      </w:pPr>
      <w:bookmarkStart w:id="2" w:name="O_674440"/>
      <w:bookmarkEnd w:id="2"/>
      <w:r w:rsidRPr="00E91939">
        <w:t>Performance Evidence</w:t>
      </w:r>
    </w:p>
    <w:p w:rsidR="00000000" w:rsidRPr="00E91939" w:rsidP="00A13117">
      <w:pPr>
        <w:pStyle w:val="BodyText"/>
      </w:pPr>
      <w:r w:rsidRPr="00E91939">
        <w:t>Evidence is required to be collected that demonstrates a candidate’s competency in this unit. Evidence must be relevant to the roles within this sector’s work operations a</w:t>
      </w:r>
      <w:r w:rsidRPr="00E91939">
        <w:t>nd satisfy all of the requirements of the performance criteria of this unit and include evidence that the candidate:</w:t>
      </w:r>
    </w:p>
    <w:p w:rsidR="00000000" w:rsidRPr="00E91939" w:rsidP="00E91939">
      <w:pPr>
        <w:pStyle w:val="ListBullet"/>
      </w:pPr>
      <w:r w:rsidRPr="00E91939">
        <w:t>locates and applies applicable legislation, documentation, policies and procedures</w:t>
      </w:r>
    </w:p>
    <w:p w:rsidR="00000000" w:rsidRPr="00E91939" w:rsidP="00E91939">
      <w:pPr>
        <w:pStyle w:val="ListBullet"/>
      </w:pPr>
      <w:r w:rsidRPr="00E91939">
        <w:t>implements the requirements, procedures and techniques for the safe, effective and efficient loading of aggregate using a purpose built loader including:</w:t>
      </w:r>
    </w:p>
    <w:p w:rsidR="00000000" w:rsidRPr="00E91939" w:rsidP="00E91939">
      <w:pPr>
        <w:pStyle w:val="ListBullet2"/>
      </w:pPr>
      <w:r w:rsidRPr="00E91939">
        <w:t>organise work activities</w:t>
      </w:r>
    </w:p>
    <w:p w:rsidR="00000000" w:rsidRPr="00E91939" w:rsidP="00E91939">
      <w:pPr>
        <w:pStyle w:val="ListBullet2"/>
      </w:pPr>
      <w:r w:rsidRPr="00E91939">
        <w:t>select and use relevant tools and equipment safely</w:t>
      </w:r>
    </w:p>
    <w:p w:rsidR="00000000" w:rsidRPr="00E91939" w:rsidP="00E91939">
      <w:pPr>
        <w:pStyle w:val="ListBullet2"/>
      </w:pPr>
      <w:r w:rsidRPr="00E91939">
        <w:t>identify and report on ha</w:t>
      </w:r>
      <w:r w:rsidRPr="00E91939">
        <w:t>zards related to the worksite and work activity</w:t>
      </w:r>
    </w:p>
    <w:p w:rsidR="00000000" w:rsidRPr="00E91939" w:rsidP="00E91939">
      <w:pPr>
        <w:pStyle w:val="ListBullet"/>
      </w:pPr>
      <w:r w:rsidRPr="00E91939">
        <w:t>works effectively with others to undertake and complete the loading of aggregate using a purpose built loader that meets all of the required outcomes including:</w:t>
      </w:r>
    </w:p>
    <w:p w:rsidR="00000000" w:rsidRPr="00E91939" w:rsidP="00E91939">
      <w:pPr>
        <w:pStyle w:val="ListBullet2"/>
      </w:pPr>
      <w:r w:rsidRPr="00E91939">
        <w:t>complying with written and verbal reporting r</w:t>
      </w:r>
      <w:r w:rsidRPr="00E91939">
        <w:t>equirements and procedures</w:t>
      </w:r>
    </w:p>
    <w:p w:rsidR="00000000" w:rsidRPr="00E91939" w:rsidP="00E91939">
      <w:pPr>
        <w:pStyle w:val="ListBullet2"/>
      </w:pPr>
      <w:r w:rsidRPr="00E91939">
        <w:t>communicating clearly and concisely with others to receive and clarify work instructions</w:t>
      </w:r>
    </w:p>
    <w:p w:rsidR="00000000" w:rsidRPr="00E91939" w:rsidP="00E91939">
      <w:pPr>
        <w:pStyle w:val="ListBullet2"/>
      </w:pPr>
      <w:r w:rsidRPr="00E91939">
        <w:t>communicating clearly and concisely with others to resolve coordination requirements prior to commencing and during work activities</w:t>
      </w:r>
    </w:p>
    <w:p w:rsidR="00000000" w:rsidRPr="00E91939" w:rsidP="00E91939">
      <w:pPr>
        <w:pStyle w:val="ListBullet"/>
      </w:pPr>
      <w:r w:rsidRPr="00E91939">
        <w:t>demonst</w:t>
      </w:r>
      <w:r w:rsidRPr="00E91939">
        <w:t>rates completion of loading aggregate using a purpose built loader that safely, effectively and efficiently meets all of the required outcomes on more than one (1) occasion including:</w:t>
      </w:r>
    </w:p>
    <w:p w:rsidR="00000000" w:rsidRPr="00E91939" w:rsidP="00E91939">
      <w:pPr>
        <w:pStyle w:val="ListBullet2"/>
      </w:pPr>
      <w:r w:rsidRPr="00E91939">
        <w:t>a minimum of four (4) truckloads of aggregate from two (2) separate sto</w:t>
      </w:r>
      <w:r w:rsidRPr="00E91939">
        <w:t>ck piles loaded, screened and pre-coated to job specifications</w:t>
      </w:r>
    </w:p>
    <w:p w:rsidR="00000000" w:rsidRPr="00E91939" w:rsidP="00E91939">
      <w:pPr>
        <w:pStyle w:val="ListBullet2"/>
      </w:pPr>
      <w:r w:rsidRPr="00E91939">
        <w:t>a minimum of four (4) truckloads of aggregate from two separate stock piles  loaded and screened to job specifications</w:t>
      </w:r>
    </w:p>
    <w:p w:rsidR="00000000" w:rsidRPr="00E91939" w:rsidP="00E91939">
      <w:pPr>
        <w:pStyle w:val="ListBullet2"/>
      </w:pPr>
      <w:r w:rsidRPr="00E91939">
        <w:t>cleaning up of site in accordance with operational requirements</w:t>
      </w:r>
    </w:p>
    <w:p w:rsidR="00000000" w:rsidRPr="00E91939" w:rsidP="00E91939">
      <w:pPr>
        <w:pStyle w:val="AllowPageBreak"/>
      </w:pPr>
    </w:p>
    <w:p w:rsidR="00000000" w:rsidRPr="00E91939" w:rsidP="00E91939">
      <w:pPr>
        <w:pStyle w:val="Heading1"/>
      </w:pPr>
      <w:bookmarkStart w:id="3" w:name="O_674439"/>
      <w:bookmarkEnd w:id="3"/>
      <w:r w:rsidRPr="00E91939">
        <w:t>Knowledge Evidence</w:t>
      </w:r>
    </w:p>
    <w:p w:rsidR="00000000" w:rsidRPr="00E91939" w:rsidP="00A13117">
      <w:pPr>
        <w:pStyle w:val="BodyText"/>
      </w:pPr>
      <w:r w:rsidRPr="00E91939">
        <w:t>The candidate must demonstrate knowledge in loading aggregate using a purpose built loader through:</w:t>
      </w:r>
    </w:p>
    <w:p w:rsidR="00000000" w:rsidRPr="00E91939" w:rsidP="00E91939">
      <w:pPr>
        <w:pStyle w:val="ListBullet"/>
      </w:pPr>
      <w:r w:rsidRPr="00E91939">
        <w:t>applying legislative, organisational and site requirements and procedures for:</w:t>
      </w:r>
    </w:p>
    <w:p w:rsidR="00000000" w:rsidRPr="00E91939" w:rsidP="00E91939">
      <w:pPr>
        <w:pStyle w:val="ListBullet2"/>
      </w:pPr>
      <w:r w:rsidRPr="00E91939">
        <w:t>site and equipment safety requirements</w:t>
      </w:r>
    </w:p>
    <w:p w:rsidR="00000000" w:rsidRPr="00E91939" w:rsidP="00E91939">
      <w:pPr>
        <w:pStyle w:val="ListBullet2"/>
      </w:pPr>
      <w:r w:rsidRPr="00E91939">
        <w:t>aggregate loading</w:t>
      </w:r>
    </w:p>
    <w:p w:rsidR="00000000" w:rsidRPr="00E91939" w:rsidP="00E91939">
      <w:pPr>
        <w:pStyle w:val="ListBullet2"/>
      </w:pPr>
      <w:r w:rsidRPr="00E91939">
        <w:t>dust control</w:t>
      </w:r>
    </w:p>
    <w:p w:rsidR="00000000" w:rsidRPr="00E91939" w:rsidP="00E91939">
      <w:pPr>
        <w:pStyle w:val="ListBullet2"/>
      </w:pPr>
      <w:r w:rsidRPr="00E91939">
        <w:t>housekeeping</w:t>
      </w:r>
    </w:p>
    <w:p w:rsidR="00000000" w:rsidRPr="00E91939" w:rsidP="00E91939">
      <w:pPr>
        <w:pStyle w:val="ListBullet"/>
      </w:pPr>
      <w:r w:rsidRPr="00E91939">
        <w:t>equipment types, characteristics, technical capabilities and limitations</w:t>
      </w:r>
    </w:p>
    <w:p w:rsidR="00000000" w:rsidRPr="00E91939" w:rsidP="00E91939">
      <w:pPr>
        <w:pStyle w:val="ListBullet"/>
      </w:pPr>
      <w:r w:rsidRPr="00E91939">
        <w:t>understanding aggregate types, characteristics and uses</w:t>
      </w:r>
    </w:p>
    <w:p w:rsidR="00000000" w:rsidRPr="00E91939" w:rsidP="00E91939">
      <w:pPr>
        <w:pStyle w:val="ListBullet"/>
      </w:pPr>
      <w:r w:rsidRPr="00E91939">
        <w:t>understanding aggregate screening and pre-coating procedures</w:t>
      </w:r>
    </w:p>
    <w:p w:rsidR="00000000" w:rsidRPr="00E91939" w:rsidP="00E91939">
      <w:pPr>
        <w:pStyle w:val="ListBullet"/>
      </w:pPr>
      <w:r w:rsidRPr="00E91939">
        <w:t>understanding silica,</w:t>
      </w:r>
      <w:r w:rsidRPr="00E91939">
        <w:t xml:space="preserve"> its properties and dangers</w:t>
      </w:r>
    </w:p>
    <w:p w:rsidR="00000000" w:rsidRPr="00E91939" w:rsidP="00E91939">
      <w:pPr>
        <w:pStyle w:val="ListBullet"/>
      </w:pPr>
      <w:r w:rsidRPr="00E91939">
        <w:t>understanding the operational, maintenance and basic diagnostic procedures</w:t>
      </w:r>
    </w:p>
    <w:p w:rsidR="00000000" w:rsidRPr="00E91939" w:rsidP="00E91939">
      <w:pPr>
        <w:pStyle w:val="ListBullet"/>
      </w:pPr>
      <w:r w:rsidRPr="00E91939">
        <w:t>complying with the site isolation and traffic control responsibilities and authorities</w:t>
      </w:r>
    </w:p>
    <w:p w:rsidR="00000000" w:rsidRPr="00E91939" w:rsidP="00E91939">
      <w:pPr>
        <w:pStyle w:val="ListBullet"/>
      </w:pPr>
      <w:r w:rsidRPr="00E91939">
        <w:t>understanding the processes for the calculation of material quanti</w:t>
      </w:r>
      <w:r w:rsidRPr="00E91939">
        <w:t xml:space="preserve">ties </w:t>
      </w:r>
    </w:p>
    <w:p w:rsidR="00000000" w:rsidRPr="00E91939" w:rsidP="00E91939">
      <w:pPr>
        <w:pStyle w:val="ListBullet"/>
      </w:pPr>
      <w:r w:rsidRPr="00E91939">
        <w:t xml:space="preserve">safety data sheets </w:t>
      </w:r>
    </w:p>
    <w:p w:rsidR="00A13117" w:rsidP="00E91939">
      <w:pPr>
        <w:pStyle w:val="ListBullet"/>
      </w:pPr>
      <w:r w:rsidRPr="00E91939">
        <w:t>preparing and/or implementing JSAs/JSEA/safe work method statements</w:t>
      </w:r>
    </w:p>
    <w:p w:rsidR="00A13117" w:rsidP="00E91939">
      <w:pPr>
        <w:pStyle w:val="ListBullet"/>
      </w:pPr>
    </w:p>
    <w:p w:rsidR="00000000" w:rsidRPr="00E91939" w:rsidP="00E91939">
      <w:pPr>
        <w:pStyle w:val="Heading1"/>
      </w:pPr>
      <w:bookmarkStart w:id="4" w:name="O_674438"/>
      <w:bookmarkEnd w:id="4"/>
      <w:r w:rsidRPr="00E91939">
        <w:t>Assessment Conditions</w:t>
      </w:r>
    </w:p>
    <w:p w:rsidR="00000000" w:rsidRPr="00E91939" w:rsidP="00E91939">
      <w:pPr>
        <w:pStyle w:val="ListBullet"/>
      </w:pPr>
      <w:r w:rsidRPr="00E91939">
        <w:t xml:space="preserve">An assessor of this unit must satisfy the requirements of the NVR/AQTF or their successors; </w:t>
      </w:r>
      <w:r w:rsidRPr="00E91939">
        <w:t>and Industry regulations for certification and licensing; and,</w:t>
      </w:r>
    </w:p>
    <w:p w:rsidR="00000000" w:rsidRPr="00E91939" w:rsidP="00E91939">
      <w:pPr>
        <w:pStyle w:val="ListBullet"/>
      </w:pPr>
      <w:r w:rsidRPr="00E91939">
        <w:t>this unit must be assessed in the context of this sector’s work environment; and,</w:t>
      </w:r>
    </w:p>
    <w:p w:rsidR="00000000" w:rsidRPr="00E91939" w:rsidP="00E91939">
      <w:pPr>
        <w:pStyle w:val="ListBullet"/>
      </w:pPr>
      <w:r w:rsidRPr="00E91939">
        <w:t>this unit must be assessed in compliance with relevant legislation/regulation and using policies, procedures, p</w:t>
      </w:r>
      <w:r w:rsidRPr="00E91939">
        <w:t>rocesses and operational manuals directly related to the industry sector for which it is being assessed; and,</w:t>
      </w:r>
    </w:p>
    <w:p w:rsidR="00000000" w:rsidRPr="00E91939" w:rsidP="00E91939">
      <w:pPr>
        <w:pStyle w:val="ListBullet"/>
      </w:pPr>
      <w:r w:rsidRPr="00E91939">
        <w:t>assessment may be conducted in conjunction with the assessment of other Units of Competency; and,</w:t>
      </w:r>
    </w:p>
    <w:p w:rsidR="00000000" w:rsidRPr="00E91939" w:rsidP="00E91939">
      <w:pPr>
        <w:pStyle w:val="ListBullet"/>
      </w:pPr>
      <w:r w:rsidRPr="00E91939">
        <w:t>assessment must confirm consistent performance c</w:t>
      </w:r>
      <w:r w:rsidRPr="00E91939">
        <w:t>an be applied in a range of relevant workplace circumstances; and,</w:t>
      </w:r>
    </w:p>
    <w:p w:rsidR="00000000" w:rsidRPr="00E91939" w:rsidP="00E91939">
      <w:pPr>
        <w:pStyle w:val="ListBullet"/>
      </w:pPr>
      <w:r w:rsidRPr="00E91939">
        <w:t>assessors must demonstrate the performance evidence, and knowledge evidence as outlined in this Unit of Competency, and through the minimum years of current* work experience specified below</w:t>
      </w:r>
      <w:r w:rsidRPr="00E91939">
        <w:t xml:space="preserve"> in an Industry sector relevant to the outcomes of the unit; or,</w:t>
      </w:r>
    </w:p>
    <w:p w:rsidR="00000000" w:rsidRPr="00E91939" w:rsidP="00E91939">
      <w:pPr>
        <w:pStyle w:val="ListBullet"/>
      </w:pPr>
      <w:r w:rsidRPr="00E91939">
        <w:t>where the assessor does not meet experience requirements a co-assessment or partnership arrangement must exist between the qualified assessor and an Industry subject matter expert. The Indust</w:t>
      </w:r>
      <w:r w:rsidRPr="00E91939">
        <w:t>ry subject matter expert should hold the unit being assessed (or an equivalent unit) and/or demonstrate equivalence of skills and knowledge at the unit level. An Industry technical expert must also demonstrate skills and knowledge from the minimum years of</w:t>
      </w:r>
      <w:r w:rsidRPr="00E91939">
        <w:t xml:space="preserve"> current work experience specified below in the Industry sector, including time spent in roles related to the unit being assessed; and,</w:t>
      </w:r>
    </w:p>
    <w:p w:rsidR="00000000" w:rsidRPr="00E91939" w:rsidP="00E91939">
      <w:pPr>
        <w:pStyle w:val="ListBullet"/>
      </w:pPr>
      <w:r w:rsidRPr="00E91939">
        <w:t>assessor and Industry subject matter expert requirements differ depending on the Australian Qualifications Framework Lev</w:t>
      </w:r>
      <w:r w:rsidRPr="00E91939">
        <w:t>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E91939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91939">
            <w:pPr>
              <w:pStyle w:val="Heading4"/>
              <w:rPr>
                <w:lang w:val="en-NZ"/>
              </w:rPr>
            </w:pPr>
            <w:r w:rsidRPr="00E91939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91939">
            <w:pPr>
              <w:pStyle w:val="Heading4"/>
              <w:rPr>
                <w:lang w:val="en-NZ"/>
              </w:rPr>
            </w:pPr>
            <w:r w:rsidRPr="00E91939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91939">
            <w:pPr>
              <w:pStyle w:val="Heading4"/>
              <w:rPr>
                <w:lang w:val="en-NZ"/>
              </w:rPr>
            </w:pPr>
            <w:r w:rsidRPr="00E91939">
              <w:t>Required assessor or Industry subject matter expert experience</w:t>
            </w:r>
          </w:p>
        </w:tc>
      </w:tr>
      <w:tr w:rsidTr="00E91939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91939">
            <w:pPr>
              <w:pStyle w:val="BodyText"/>
              <w:rPr>
                <w:lang w:val="en-NZ"/>
              </w:rPr>
            </w:pPr>
            <w:r w:rsidRPr="00E91939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91939">
            <w:pPr>
              <w:pStyle w:val="BodyText"/>
              <w:rPr>
                <w:lang w:val="en-NZ"/>
              </w:rPr>
            </w:pPr>
            <w:r w:rsidRPr="00E91939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91939">
            <w:pPr>
              <w:pStyle w:val="BodyText"/>
              <w:rPr>
                <w:lang w:val="en-NZ"/>
              </w:rPr>
            </w:pPr>
            <w:r w:rsidRPr="00E91939">
              <w:t>1 Year</w:t>
            </w:r>
          </w:p>
        </w:tc>
      </w:tr>
      <w:tr w:rsidTr="00E91939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91939">
            <w:pPr>
              <w:pStyle w:val="BodyText"/>
              <w:rPr>
                <w:lang w:val="en-NZ"/>
              </w:rPr>
            </w:pPr>
            <w:r w:rsidRPr="00E91939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91939">
            <w:pPr>
              <w:pStyle w:val="BodyText"/>
              <w:rPr>
                <w:lang w:val="en-NZ"/>
              </w:rPr>
            </w:pPr>
            <w:r w:rsidRPr="00E91939">
              <w:t>2 Years</w:t>
            </w:r>
          </w:p>
        </w:tc>
      </w:tr>
      <w:tr w:rsidTr="00E91939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91939">
            <w:pPr>
              <w:pStyle w:val="BodyText"/>
              <w:rPr>
                <w:lang w:val="en-NZ"/>
              </w:rPr>
            </w:pPr>
            <w:r w:rsidRPr="00E91939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91939">
            <w:pPr>
              <w:pStyle w:val="BodyText"/>
              <w:rPr>
                <w:lang w:val="en-NZ"/>
              </w:rPr>
            </w:pPr>
            <w:r w:rsidRPr="00E91939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91939">
            <w:pPr>
              <w:pStyle w:val="BodyText"/>
              <w:rPr>
                <w:lang w:val="en-NZ"/>
              </w:rPr>
            </w:pPr>
            <w:r w:rsidRPr="00E91939">
              <w:t>3 Years</w:t>
            </w:r>
          </w:p>
        </w:tc>
      </w:tr>
      <w:tr w:rsidTr="00E91939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91939">
            <w:pPr>
              <w:pStyle w:val="BodyText"/>
              <w:rPr>
                <w:lang w:val="en-NZ"/>
              </w:rPr>
            </w:pPr>
            <w:r w:rsidRPr="00E91939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91939">
            <w:pPr>
              <w:pStyle w:val="BodyText"/>
              <w:rPr>
                <w:lang w:val="en-NZ"/>
              </w:rPr>
            </w:pPr>
            <w:r w:rsidRPr="00E91939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91939">
            <w:pPr>
              <w:pStyle w:val="BodyText"/>
              <w:rPr>
                <w:lang w:val="en-NZ"/>
              </w:rPr>
            </w:pPr>
            <w:r w:rsidRPr="00E91939">
              <w:t>5 Years</w:t>
            </w:r>
          </w:p>
        </w:tc>
      </w:tr>
      <w:tr w:rsidTr="00E91939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91939">
            <w:pPr>
              <w:pStyle w:val="BodyText"/>
              <w:rPr>
                <w:lang w:val="en-NZ"/>
              </w:rPr>
            </w:pPr>
            <w:r w:rsidRPr="00E91939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91939" w:rsidP="00E91939">
            <w:pPr>
              <w:pStyle w:val="BodyText"/>
            </w:pPr>
            <w:r w:rsidRPr="00E91939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E91939">
              <w:t>ndard is specified should comply with any relevant regulation.</w:t>
            </w:r>
          </w:p>
        </w:tc>
      </w:tr>
    </w:tbl>
    <w:p w:rsidR="00000000" w:rsidRPr="00E91939" w:rsidP="00A13117">
      <w:pPr>
        <w:pStyle w:val="BodyText"/>
      </w:pPr>
      <w:r w:rsidRPr="00E91939">
        <w:t>*Assessors can demonstrate current work experience through employment within Industry in a role relevant to the outcomes of the Unit; or, for external assessors this can be demonstrated throu</w:t>
      </w:r>
      <w:r w:rsidRPr="00E91939">
        <w:t>gh exposure to Industry by conducting frequent site assessments across various locations.</w:t>
      </w:r>
    </w:p>
    <w:p w:rsidR="00000000" w:rsidRPr="00E91939" w:rsidP="00A13117">
      <w:pPr>
        <w:pStyle w:val="BodyText"/>
      </w:pPr>
      <w:r w:rsidRPr="00E91939">
        <w:t>**Where a unit is being delivered outside of a Qualification the first numeric character in the Unit code should be considered to indicate the AQF level</w:t>
      </w:r>
    </w:p>
    <w:p w:rsidR="00000000" w:rsidRPr="00E91939" w:rsidP="00E91939">
      <w:pPr>
        <w:pStyle w:val="Heading1"/>
      </w:pPr>
      <w:bookmarkStart w:id="5" w:name="O_674450"/>
      <w:bookmarkEnd w:id="5"/>
      <w:r w:rsidRPr="00E91939">
        <w:t>Links</w:t>
      </w:r>
    </w:p>
    <w:p w:rsidR="00000000" w:rsidRPr="00E91939" w:rsidP="00A13117">
      <w:pPr>
        <w:pStyle w:val="BodyText"/>
      </w:pPr>
      <w:r w:rsidRPr="00E9193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1D70A1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E91939" w:rsidP="00E91939"/>
    <w:sectPr w:rsidSect="00E9193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9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939" w:rsidRPr="00A13117" w:rsidP="00A131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9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117" w:rsidP="00E919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13117" w:rsidP="00E919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13117" w:rsidP="00E919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9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1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1939" w:rsidRPr="00A13117" w:rsidP="00A131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9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117" w:rsidRPr="002D2AF8" w:rsidP="00E919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RIICBS308D Load aggregate using a purpose built loader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2020</w:t>
    </w:r>
    <w:r>
      <w:fldChar w:fldCharType="end"/>
    </w:r>
  </w:p>
  <w:p w:rsidR="00A13117" w:rsidP="00E919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E8ADA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C36A4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A9061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19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19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19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19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19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19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19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19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19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19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19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1939"/>
  </w:style>
  <w:style w:type="character" w:customStyle="1" w:styleId="Heading1Char">
    <w:name w:val="Heading 1 Char"/>
    <w:basedOn w:val="DefaultParagraphFont"/>
    <w:link w:val="Heading1"/>
    <w:rsid w:val="00E919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1939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E919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193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9193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9193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919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19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919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19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19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19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19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19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19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19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19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19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19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19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19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19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19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19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193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193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919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91939"/>
    <w:rPr>
      <w:b/>
      <w:spacing w:val="0"/>
    </w:rPr>
  </w:style>
  <w:style w:type="paragraph" w:customStyle="1" w:styleId="SuperTitle">
    <w:name w:val="SuperTitle"/>
    <w:basedOn w:val="Title"/>
    <w:rsid w:val="00E919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19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19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919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19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19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19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19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19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19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19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193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91939"/>
    <w:rPr>
      <w:i/>
    </w:rPr>
  </w:style>
  <w:style w:type="paragraph" w:styleId="Caption">
    <w:name w:val="caption"/>
    <w:basedOn w:val="BodyText"/>
    <w:next w:val="Normal"/>
    <w:qFormat/>
    <w:rsid w:val="00E919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19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19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1939"/>
  </w:style>
  <w:style w:type="paragraph" w:styleId="TableofFigures">
    <w:name w:val="table of figures"/>
    <w:basedOn w:val="Normal"/>
    <w:next w:val="Normal"/>
    <w:semiHidden/>
    <w:rsid w:val="00E919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193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91939"/>
    <w:rPr>
      <w:rFonts w:ascii="Wingdings" w:hAnsi="Wingdings"/>
    </w:rPr>
  </w:style>
  <w:style w:type="paragraph" w:customStyle="1" w:styleId="TableHeading">
    <w:name w:val="Table Heading"/>
    <w:basedOn w:val="HeadingBase"/>
    <w:rsid w:val="00E919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1939"/>
    <w:rPr>
      <w:color w:val="0033CC"/>
      <w:u w:val="none"/>
    </w:rPr>
  </w:style>
  <w:style w:type="paragraph" w:customStyle="1" w:styleId="BodyTextRight">
    <w:name w:val="Body Text Right"/>
    <w:basedOn w:val="BodyText"/>
    <w:rsid w:val="00E919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19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193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19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19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19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1939"/>
    <w:rPr>
      <w:sz w:val="32"/>
    </w:rPr>
  </w:style>
  <w:style w:type="paragraph" w:customStyle="1" w:styleId="HeadingProcedure">
    <w:name w:val="Heading Procedure"/>
    <w:basedOn w:val="HeadingBase"/>
    <w:next w:val="Normal"/>
    <w:rsid w:val="00E919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1939"/>
    <w:pPr>
      <w:spacing w:before="60" w:after="60"/>
    </w:pPr>
  </w:style>
  <w:style w:type="paragraph" w:styleId="ListContinue">
    <w:name w:val="List Continue"/>
    <w:basedOn w:val="List"/>
    <w:rsid w:val="00E91939"/>
    <w:pPr>
      <w:ind w:firstLine="0"/>
    </w:pPr>
  </w:style>
  <w:style w:type="paragraph" w:customStyle="1" w:styleId="ListNote">
    <w:name w:val="List Note"/>
    <w:basedOn w:val="List"/>
    <w:rsid w:val="00E919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19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19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1939"/>
    <w:rPr>
      <w:rFonts w:ascii="Courier New" w:hAnsi="Courier New"/>
    </w:rPr>
  </w:style>
  <w:style w:type="paragraph" w:customStyle="1" w:styleId="NoteBullet">
    <w:name w:val="Note Bullet"/>
    <w:basedOn w:val="Note"/>
    <w:rsid w:val="00E919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19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19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19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193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919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19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1939"/>
    <w:rPr>
      <w:b/>
      <w:smallCaps/>
    </w:rPr>
  </w:style>
  <w:style w:type="paragraph" w:customStyle="1" w:styleId="TableListNumber">
    <w:name w:val="Table List Number"/>
    <w:basedOn w:val="ListNumber"/>
    <w:rsid w:val="00E919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19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1939"/>
    <w:pPr>
      <w:numPr>
        <w:numId w:val="9"/>
      </w:numPr>
    </w:pPr>
  </w:style>
  <w:style w:type="paragraph" w:customStyle="1" w:styleId="ListAlpha2">
    <w:name w:val="List Alpha 2"/>
    <w:basedOn w:val="List2"/>
    <w:rsid w:val="00E91939"/>
    <w:pPr>
      <w:numPr>
        <w:numId w:val="8"/>
      </w:numPr>
    </w:pPr>
  </w:style>
  <w:style w:type="paragraph" w:styleId="List2">
    <w:name w:val="List 2"/>
    <w:basedOn w:val="BodyText"/>
    <w:rsid w:val="00E919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19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19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19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193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193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91939"/>
    <w:pPr>
      <w:numPr>
        <w:numId w:val="4"/>
      </w:numPr>
    </w:pPr>
  </w:style>
  <w:style w:type="paragraph" w:styleId="ListContinue2">
    <w:name w:val="List Continue 2"/>
    <w:basedOn w:val="List2"/>
    <w:rsid w:val="00E91939"/>
    <w:pPr>
      <w:ind w:firstLine="0"/>
    </w:pPr>
  </w:style>
  <w:style w:type="paragraph" w:styleId="ListContinue3">
    <w:name w:val="List Continue 3"/>
    <w:basedOn w:val="List3"/>
    <w:rsid w:val="00E91939"/>
    <w:pPr>
      <w:ind w:left="1021" w:firstLine="0"/>
    </w:pPr>
  </w:style>
  <w:style w:type="paragraph" w:styleId="ListContinue4">
    <w:name w:val="List Continue 4"/>
    <w:basedOn w:val="List4"/>
    <w:rsid w:val="00E91939"/>
    <w:pPr>
      <w:ind w:firstLine="0"/>
    </w:pPr>
  </w:style>
  <w:style w:type="paragraph" w:styleId="ListContinue5">
    <w:name w:val="List Continue 5"/>
    <w:basedOn w:val="List5"/>
    <w:rsid w:val="00E91939"/>
    <w:pPr>
      <w:ind w:firstLine="0"/>
    </w:pPr>
  </w:style>
  <w:style w:type="paragraph" w:styleId="ListNumber3">
    <w:name w:val="List Number 3"/>
    <w:basedOn w:val="List3"/>
    <w:rsid w:val="00E91939"/>
    <w:pPr>
      <w:numPr>
        <w:numId w:val="5"/>
      </w:numPr>
    </w:pPr>
  </w:style>
  <w:style w:type="paragraph" w:styleId="ListNumber4">
    <w:name w:val="List Number 4"/>
    <w:basedOn w:val="List4"/>
    <w:rsid w:val="00E91939"/>
    <w:pPr>
      <w:numPr>
        <w:numId w:val="6"/>
      </w:numPr>
    </w:pPr>
  </w:style>
  <w:style w:type="paragraph" w:styleId="ListNumber5">
    <w:name w:val="List Number 5"/>
    <w:basedOn w:val="List5"/>
    <w:rsid w:val="00E91939"/>
    <w:pPr>
      <w:numPr>
        <w:numId w:val="7"/>
      </w:numPr>
    </w:pPr>
  </w:style>
  <w:style w:type="paragraph" w:styleId="BlockText">
    <w:name w:val="Block Text"/>
    <w:basedOn w:val="Normal"/>
    <w:rsid w:val="00E919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19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1939"/>
    <w:rPr>
      <w:sz w:val="16"/>
      <w:vertAlign w:val="superscript"/>
    </w:rPr>
  </w:style>
  <w:style w:type="character" w:customStyle="1" w:styleId="Symbols">
    <w:name w:val="Symbols"/>
    <w:basedOn w:val="DefaultParagraphFont"/>
    <w:rsid w:val="00E91939"/>
    <w:rPr>
      <w:rFonts w:ascii="Symbol" w:hAnsi="Symbol"/>
    </w:rPr>
  </w:style>
  <w:style w:type="character" w:customStyle="1" w:styleId="MenuOptions">
    <w:name w:val="Menu Options"/>
    <w:basedOn w:val="DefaultParagraphFont"/>
    <w:rsid w:val="00E919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1939"/>
    <w:rPr>
      <w:b/>
    </w:rPr>
  </w:style>
  <w:style w:type="character" w:customStyle="1" w:styleId="Underlined">
    <w:name w:val="Underlined"/>
    <w:basedOn w:val="DefaultParagraphFont"/>
    <w:rsid w:val="00E91939"/>
    <w:rPr>
      <w:u w:val="single"/>
    </w:rPr>
  </w:style>
  <w:style w:type="paragraph" w:customStyle="1" w:styleId="TableBodyTextRight">
    <w:name w:val="Table Body Text Right"/>
    <w:basedOn w:val="TableBodyText"/>
    <w:rsid w:val="00E919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1939"/>
    <w:rPr>
      <w:sz w:val="18"/>
    </w:rPr>
  </w:style>
  <w:style w:type="paragraph" w:customStyle="1" w:styleId="BodySmallRight">
    <w:name w:val="Body Small Right"/>
    <w:basedOn w:val="BodyTextRight"/>
    <w:rsid w:val="00E91939"/>
    <w:rPr>
      <w:sz w:val="18"/>
      <w:szCs w:val="18"/>
    </w:rPr>
  </w:style>
  <w:style w:type="paragraph" w:customStyle="1" w:styleId="MarginEdition">
    <w:name w:val="Margin Edition"/>
    <w:basedOn w:val="MarginNote"/>
    <w:rsid w:val="00E919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1939"/>
    <w:rPr>
      <w:sz w:val="2"/>
      <w:szCs w:val="2"/>
    </w:rPr>
  </w:style>
  <w:style w:type="character" w:customStyle="1" w:styleId="Small">
    <w:name w:val="Small"/>
    <w:basedOn w:val="DefaultParagraphFont"/>
    <w:rsid w:val="00E91939"/>
    <w:rPr>
      <w:sz w:val="16"/>
    </w:rPr>
  </w:style>
  <w:style w:type="paragraph" w:customStyle="1" w:styleId="WideTable">
    <w:name w:val="Wide Table"/>
    <w:basedOn w:val="Normal"/>
    <w:rsid w:val="00E919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1939"/>
  </w:style>
  <w:style w:type="paragraph" w:styleId="Quote">
    <w:name w:val="Quote"/>
    <w:basedOn w:val="Heading1"/>
    <w:link w:val="QuoteChar"/>
    <w:qFormat/>
    <w:rsid w:val="00E919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19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1939"/>
    <w:pPr>
      <w:pageBreakBefore/>
    </w:pPr>
  </w:style>
  <w:style w:type="paragraph" w:customStyle="1" w:styleId="Border">
    <w:name w:val="Border"/>
    <w:basedOn w:val="Normal"/>
    <w:qFormat/>
    <w:rsid w:val="00E919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19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19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19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19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19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19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19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19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1939"/>
    <w:rPr>
      <w:u w:val="single"/>
    </w:rPr>
  </w:style>
  <w:style w:type="character" w:customStyle="1" w:styleId="BoldandItalics">
    <w:name w:val="Bold and Italics"/>
    <w:qFormat/>
    <w:rsid w:val="00E91939"/>
    <w:rPr>
      <w:b/>
      <w:i/>
      <w:u w:val="none"/>
    </w:rPr>
  </w:style>
  <w:style w:type="paragraph" w:styleId="BalloonText">
    <w:name w:val="Balloon Text"/>
    <w:basedOn w:val="Normal"/>
    <w:link w:val="BalloonTextChar"/>
    <w:rsid w:val="00E919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19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19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19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19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19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1939"/>
    <w:pPr>
      <w:spacing w:before="0" w:after="0"/>
    </w:pPr>
  </w:style>
  <w:style w:type="paragraph" w:customStyle="1" w:styleId="BodyTextBold">
    <w:name w:val="Body Text Bold"/>
    <w:basedOn w:val="BodyText"/>
    <w:qFormat/>
    <w:rsid w:val="00E91939"/>
    <w:rPr>
      <w:b/>
    </w:rPr>
  </w:style>
  <w:style w:type="character" w:styleId="Hyperlink">
    <w:name w:val="Hyperlink"/>
    <w:basedOn w:val="DefaultParagraphFont"/>
    <w:uiPriority w:val="99"/>
    <w:unhideWhenUsed/>
    <w:rsid w:val="00A131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864</Words>
  <Characters>5381</Characters>
  <Application>Microsoft Office Word</Application>
  <DocSecurity>0</DocSecurity>
  <Lines>134</Lines>
  <Paragraphs>84</Paragraphs>
  <ScaleCrop>false</ScaleCrop>
  <Company>Author-it Software Corporation Ltd.</Company>
  <LinksUpToDate>false</LinksUpToDate>
  <CharactersWithSpaces>6161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RIICBS308D Load aggregate using a purpose built loader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2020-03-02T01:04:00Z</dcterms:created>
  <dcterms:modified xsi:type="dcterms:W3CDTF">2020-03-02T01:04:00Z</dcterms:modified>
</cp:coreProperties>
</file>