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B79" w:rsidP="00327B79">
      <w:pPr>
        <w:pStyle w:val="Title"/>
      </w:pPr>
      <w:r>
        <w:fldChar w:fldCharType="begin"/>
      </w:r>
      <w:r>
        <w:instrText xml:space="preserve"> TITLE   \* MERGEFORMAT </w:instrText>
      </w:r>
      <w:r>
        <w:fldChar w:fldCharType="separate"/>
      </w:r>
      <w:r>
        <w:t>Assessment Requirements for RIICBS307E Conduct bitumen sprayer operations</w:t>
      </w:r>
      <w:r>
        <w:fldChar w:fldCharType="end"/>
      </w:r>
    </w:p>
    <w:p w:rsidR="00327B79" w:rsidP="00327B79">
      <w:pPr>
        <w:pStyle w:val="Version"/>
        <w:sectPr w:rsidSect="00B96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4DC" w:rsidP="00B964DC">
      <w:pPr>
        <w:pStyle w:val="SuperHeading"/>
      </w:pPr>
      <w:r w:rsidRPr="00B964DC">
        <w:t>Assessment Requirements for RIICBS307E Conduct bitumen sprayer operations</w:t>
      </w:r>
    </w:p>
    <w:p w:rsidR="00000000" w:rsidRPr="00B964DC" w:rsidP="00B964DC">
      <w:pPr>
        <w:pStyle w:val="Heading1"/>
      </w:pPr>
      <w:bookmarkStart w:id="1" w:name="O_1069610"/>
      <w:bookmarkEnd w:id="1"/>
      <w:r w:rsidRPr="00B964DC">
        <w:t>Modification History</w:t>
      </w:r>
    </w:p>
    <w:p w:rsidR="00000000" w:rsidRPr="00B964DC" w:rsidP="00327B79">
      <w:pPr>
        <w:pStyle w:val="BodyText"/>
      </w:pPr>
      <w:r w:rsidRPr="00B964DC">
        <w:t>This unit replaces RIICBS307D Conduct bitumen sprayer operations. Minor endorseable amendments have been made to Elements, Performance Criteria, Foundation Skills, Performance Evidence and Knowledge Evidence to better reflect current industry practices and</w:t>
      </w:r>
      <w:r w:rsidRPr="00B964DC">
        <w:t xml:space="preserve"> clarify training outcomes.</w:t>
      </w:r>
    </w:p>
    <w:p w:rsidR="00000000" w:rsidRPr="00B964DC" w:rsidP="00B964DC">
      <w:pPr>
        <w:pStyle w:val="Heading1"/>
      </w:pPr>
      <w:bookmarkStart w:id="2" w:name="O_1068846"/>
      <w:bookmarkEnd w:id="2"/>
      <w:r w:rsidRPr="00B964DC">
        <w:t>Performance Evidence</w:t>
      </w:r>
    </w:p>
    <w:p w:rsidR="00000000" w:rsidRPr="00B964DC" w:rsidP="00327B79">
      <w:pPr>
        <w:pStyle w:val="BodyText"/>
      </w:pPr>
      <w:r w:rsidRPr="00B964DC">
        <w:t>The candidate must demonstrate the ability to complete the tasks outlined in the elements, performance criteria and foundation skills of this unit; including evidence of the ability to:</w:t>
      </w:r>
    </w:p>
    <w:p w:rsidR="00000000" w:rsidRPr="00B964DC" w:rsidP="00B964DC">
      <w:pPr>
        <w:pStyle w:val="ListBullet"/>
      </w:pPr>
      <w:r w:rsidRPr="00B964DC">
        <w:t>c</w:t>
      </w:r>
      <w:r w:rsidRPr="00B964DC">
        <w:t>onduct bituminous sprayer operations on at least two occasions.</w:t>
      </w:r>
    </w:p>
    <w:p w:rsidR="00000000" w:rsidRPr="00B964DC" w:rsidP="00327B79">
      <w:pPr>
        <w:pStyle w:val="BodyText"/>
      </w:pPr>
      <w:r w:rsidRPr="00B964DC">
        <w:t>During the above, the candidate must:</w:t>
      </w:r>
    </w:p>
    <w:p w:rsidR="00000000" w:rsidRPr="00B964DC" w:rsidP="00B964DC">
      <w:pPr>
        <w:pStyle w:val="ListBullet"/>
      </w:pPr>
      <w:r w:rsidRPr="00B964DC">
        <w:t>load, mix, heat and spray at least three different materials, with spray runs to be at least 60% of tank capacity, to be used for:</w:t>
      </w:r>
    </w:p>
    <w:p w:rsidR="00000000" w:rsidRPr="00B964DC" w:rsidP="00B964DC">
      <w:pPr>
        <w:pStyle w:val="ListBullet2"/>
      </w:pPr>
      <w:r w:rsidRPr="00B964DC">
        <w:t>two straight runs</w:t>
      </w:r>
    </w:p>
    <w:p w:rsidR="00000000" w:rsidRPr="00B964DC" w:rsidP="00B964DC">
      <w:pPr>
        <w:pStyle w:val="ListBullet2"/>
      </w:pPr>
      <w:r w:rsidRPr="00B964DC">
        <w:t>two</w:t>
      </w:r>
      <w:r w:rsidRPr="00B964DC">
        <w:t xml:space="preserve"> tapers or turning slots</w:t>
      </w:r>
    </w:p>
    <w:p w:rsidR="00000000" w:rsidRPr="00B964DC" w:rsidP="00B964DC">
      <w:pPr>
        <w:pStyle w:val="ListBullet2"/>
      </w:pPr>
      <w:r w:rsidRPr="00B964DC">
        <w:t>two restricted areas to specified tolerances</w:t>
      </w:r>
    </w:p>
    <w:p w:rsidR="00000000" w:rsidRPr="00B964DC" w:rsidP="00B964DC">
      <w:pPr>
        <w:pStyle w:val="ListBullet"/>
      </w:pPr>
      <w:r w:rsidRPr="00B964DC">
        <w:t>hand lace a minimum of two areas, each with a different material and to the specified tolerance</w:t>
      </w:r>
    </w:p>
    <w:p w:rsidR="00000000" w:rsidRPr="00B964DC" w:rsidP="00B964DC">
      <w:pPr>
        <w:pStyle w:val="ListBullet"/>
      </w:pPr>
      <w:r w:rsidRPr="00B964DC">
        <w:t>complete all activity calculations and spray sheets</w:t>
      </w:r>
    </w:p>
    <w:p w:rsidR="00000000" w:rsidRPr="00B964DC" w:rsidP="00B964DC">
      <w:pPr>
        <w:pStyle w:val="ListBullet"/>
      </w:pPr>
      <w:r w:rsidRPr="00B964DC">
        <w:t>carry out operations according to traffic management requirements</w:t>
      </w:r>
    </w:p>
    <w:p w:rsidR="00000000" w:rsidRPr="00B964DC" w:rsidP="00B964DC">
      <w:pPr>
        <w:pStyle w:val="ListBullet"/>
      </w:pPr>
      <w:r w:rsidRPr="00B964DC">
        <w:t>work with others to undertake and complete bitumen sprayer operations that meets required outcomes, including:</w:t>
      </w:r>
    </w:p>
    <w:p w:rsidR="00000000" w:rsidRPr="00B964DC" w:rsidP="00B964DC">
      <w:pPr>
        <w:pStyle w:val="ListBullet2"/>
      </w:pPr>
      <w:r w:rsidRPr="00B964DC">
        <w:t>organising work activities to meet all task requirements</w:t>
      </w:r>
    </w:p>
    <w:p w:rsidR="00000000" w:rsidRPr="00B964DC" w:rsidP="00B964DC">
      <w:pPr>
        <w:pStyle w:val="ListBullet2"/>
      </w:pPr>
      <w:r w:rsidRPr="00B964DC">
        <w:t>using a range of comm</w:t>
      </w:r>
      <w:r w:rsidRPr="00B964DC">
        <w:t>unication techniques and systems</w:t>
      </w:r>
    </w:p>
    <w:p w:rsidR="00000000" w:rsidRPr="00B964DC" w:rsidP="00B964DC">
      <w:pPr>
        <w:pStyle w:val="ListBullet2"/>
      </w:pPr>
      <w:r w:rsidRPr="00B964DC">
        <w:t>using signage to advise others of work activity and exclusion zone</w:t>
      </w:r>
    </w:p>
    <w:p w:rsidR="00000000" w:rsidRPr="00B964DC" w:rsidP="00B964DC">
      <w:pPr>
        <w:pStyle w:val="ListBullet"/>
      </w:pPr>
      <w:r w:rsidRPr="00B964DC">
        <w:t>clean, check, perform maintenance on and store equipment.</w:t>
      </w:r>
    </w:p>
    <w:p w:rsidR="00000000" w:rsidRPr="00B964DC" w:rsidP="00B964DC">
      <w:pPr>
        <w:pStyle w:val="ListBullet"/>
      </w:pPr>
      <w:r w:rsidRPr="00B964DC">
        <w:t>complete housekeeping activities.</w:t>
      </w:r>
    </w:p>
    <w:p w:rsidR="00000000" w:rsidRPr="00B964DC" w:rsidP="00B964DC">
      <w:pPr>
        <w:pStyle w:val="AllowPageBreak"/>
      </w:pPr>
    </w:p>
    <w:p w:rsidR="00000000" w:rsidRPr="00B964DC" w:rsidP="00B964DC">
      <w:pPr>
        <w:pStyle w:val="Heading1"/>
      </w:pPr>
      <w:bookmarkStart w:id="3" w:name="O_1068845"/>
      <w:bookmarkEnd w:id="3"/>
      <w:r w:rsidRPr="00B964DC">
        <w:t>Knowledge Evidence</w:t>
      </w:r>
    </w:p>
    <w:p w:rsidR="00000000" w:rsidRPr="00B964DC" w:rsidP="00327B79">
      <w:pPr>
        <w:pStyle w:val="BodyText"/>
      </w:pPr>
      <w:r w:rsidRPr="00B964DC">
        <w:t>The candidate must be abl</w:t>
      </w:r>
      <w:r w:rsidRPr="00B964DC">
        <w:t>e to demonstrate knowledge to complete the tasks outlined in the elements, performance criteria and foundation skills of this unit, including knowledge of:</w:t>
      </w:r>
    </w:p>
    <w:p w:rsidR="00000000" w:rsidRPr="00B964DC" w:rsidP="00B964DC">
      <w:pPr>
        <w:pStyle w:val="ListBullet"/>
      </w:pPr>
      <w:r w:rsidRPr="00B964DC">
        <w:t>communication techniques to receive and clarify work instructions</w:t>
      </w:r>
    </w:p>
    <w:p w:rsidR="00000000" w:rsidRPr="00B964DC" w:rsidP="00B964DC">
      <w:pPr>
        <w:pStyle w:val="ListBullet"/>
      </w:pPr>
      <w:r w:rsidRPr="00B964DC">
        <w:t>on site processes and responsibil</w:t>
      </w:r>
      <w:r w:rsidRPr="00B964DC">
        <w:t>ities relating to site isolation and traffic control</w:t>
      </w:r>
    </w:p>
    <w:p w:rsidR="00000000" w:rsidRPr="00B964DC" w:rsidP="00B964DC">
      <w:pPr>
        <w:pStyle w:val="ListBullet"/>
      </w:pPr>
      <w:r w:rsidRPr="00B964DC">
        <w:t>processes for operating adjacent to traffic</w:t>
      </w:r>
    </w:p>
    <w:p w:rsidR="00000000" w:rsidRPr="00B964DC" w:rsidP="00B964DC">
      <w:pPr>
        <w:pStyle w:val="ListBullet"/>
      </w:pPr>
      <w:r w:rsidRPr="00B964DC">
        <w:t xml:space="preserve">processes for calculating material requirements, application rates and travel speed </w:t>
      </w:r>
    </w:p>
    <w:p w:rsidR="00000000" w:rsidRPr="00B964DC" w:rsidP="00B964DC">
      <w:pPr>
        <w:pStyle w:val="ListBullet"/>
      </w:pPr>
      <w:r w:rsidRPr="00B964DC">
        <w:t xml:space="preserve">safety data sheet (SDS) compliance processes  </w:t>
      </w:r>
    </w:p>
    <w:p w:rsidR="00000000" w:rsidRPr="00B964DC" w:rsidP="00B964DC">
      <w:pPr>
        <w:pStyle w:val="ListBullet"/>
      </w:pPr>
      <w:r w:rsidRPr="00B964DC">
        <w:t>key components of job safety analyses (JSAs)/job safety environmental analyses (JSEAs)/safe work method statements (SWMSs)</w:t>
      </w:r>
    </w:p>
    <w:p w:rsidR="00000000" w:rsidRPr="00B964DC" w:rsidP="00B964DC">
      <w:pPr>
        <w:pStyle w:val="ListBullet"/>
      </w:pPr>
      <w:r w:rsidRPr="00B964DC">
        <w:t>key legislation for conducting bitumen sprayer operations</w:t>
      </w:r>
    </w:p>
    <w:p w:rsidR="00000000" w:rsidRPr="00B964DC" w:rsidP="00B964DC">
      <w:pPr>
        <w:pStyle w:val="ListBullet"/>
      </w:pPr>
      <w:r w:rsidRPr="00B964DC">
        <w:t>key policies, procedures and established requirements for conducting bitume</w:t>
      </w:r>
      <w:r w:rsidRPr="00B964DC">
        <w:t>n sprayer operations, including those for:</w:t>
      </w:r>
    </w:p>
    <w:p w:rsidR="00000000" w:rsidRPr="00B964DC" w:rsidP="00B964DC">
      <w:pPr>
        <w:pStyle w:val="ListBullet2"/>
      </w:pPr>
      <w:r w:rsidRPr="00B964DC">
        <w:t xml:space="preserve">work health and safety </w:t>
      </w:r>
    </w:p>
    <w:p w:rsidR="00000000" w:rsidRPr="00B964DC" w:rsidP="00B964DC">
      <w:pPr>
        <w:pStyle w:val="ListBullet2"/>
      </w:pPr>
      <w:r w:rsidRPr="00B964DC">
        <w:t xml:space="preserve">equipment safety </w:t>
      </w:r>
    </w:p>
    <w:p w:rsidR="00000000" w:rsidRPr="00B964DC" w:rsidP="00B964DC">
      <w:pPr>
        <w:pStyle w:val="ListBullet2"/>
      </w:pPr>
      <w:r w:rsidRPr="00B964DC">
        <w:t>establishing exclusion zones</w:t>
      </w:r>
    </w:p>
    <w:p w:rsidR="00000000" w:rsidRPr="00B964DC" w:rsidP="00B964DC">
      <w:pPr>
        <w:pStyle w:val="ListBullet2"/>
      </w:pPr>
      <w:r w:rsidRPr="00B964DC">
        <w:t>environmental protection, including waste disposal and recycling</w:t>
      </w:r>
    </w:p>
    <w:p w:rsidR="00000000" w:rsidRPr="00B964DC" w:rsidP="00B964DC">
      <w:pPr>
        <w:pStyle w:val="ListBullet2"/>
      </w:pPr>
      <w:r w:rsidRPr="00B964DC">
        <w:t>heating bitumen</w:t>
      </w:r>
    </w:p>
    <w:p w:rsidR="00000000" w:rsidRPr="00B964DC" w:rsidP="00B964DC">
      <w:pPr>
        <w:pStyle w:val="ListBullet2"/>
      </w:pPr>
      <w:r w:rsidRPr="00B964DC">
        <w:t>asphalt paving operations</w:t>
      </w:r>
    </w:p>
    <w:p w:rsidR="00000000" w:rsidRPr="00B964DC" w:rsidP="00B964DC">
      <w:pPr>
        <w:pStyle w:val="ListBullet2"/>
      </w:pPr>
      <w:r w:rsidRPr="00B964DC">
        <w:t>edge and joint treatments</w:t>
      </w:r>
    </w:p>
    <w:p w:rsidR="00000000" w:rsidRPr="00B964DC" w:rsidP="00B964DC">
      <w:pPr>
        <w:pStyle w:val="ListBullet2"/>
      </w:pPr>
      <w:r w:rsidRPr="00B964DC">
        <w:t>housekee</w:t>
      </w:r>
      <w:r w:rsidRPr="00B964DC">
        <w:t>ping</w:t>
      </w:r>
    </w:p>
    <w:p w:rsidR="00000000" w:rsidRPr="00B964DC" w:rsidP="00B964DC">
      <w:pPr>
        <w:pStyle w:val="ListBullet2"/>
      </w:pPr>
      <w:r w:rsidRPr="00B964DC">
        <w:t>safe operating techniques in all terrain</w:t>
      </w:r>
    </w:p>
    <w:p w:rsidR="00000000" w:rsidRPr="00B964DC" w:rsidP="00B964DC">
      <w:pPr>
        <w:pStyle w:val="ListBullet2"/>
      </w:pPr>
      <w:r w:rsidRPr="00B964DC">
        <w:t>operating and maintaining equipment</w:t>
      </w:r>
    </w:p>
    <w:p w:rsidR="00000000" w:rsidRPr="00B964DC" w:rsidP="00B964DC">
      <w:pPr>
        <w:pStyle w:val="ListBullet"/>
      </w:pPr>
      <w:r w:rsidRPr="00B964DC">
        <w:t>key factors affecting work activities described in performance evidence above, including:</w:t>
      </w:r>
    </w:p>
    <w:p w:rsidR="00000000" w:rsidRPr="00B964DC" w:rsidP="00B964DC">
      <w:pPr>
        <w:pStyle w:val="ListBullet2"/>
      </w:pPr>
      <w:r w:rsidRPr="00B964DC">
        <w:t>asphalt strength and performance characteristics</w:t>
      </w:r>
    </w:p>
    <w:p w:rsidR="00000000" w:rsidRPr="00B964DC" w:rsidP="00B964DC">
      <w:pPr>
        <w:pStyle w:val="ListBullet2"/>
      </w:pPr>
      <w:r w:rsidRPr="00B964DC">
        <w:t>bituminous materials and their characteristics</w:t>
      </w:r>
    </w:p>
    <w:p w:rsidR="00000000" w:rsidRPr="00B964DC" w:rsidP="00B964DC">
      <w:pPr>
        <w:pStyle w:val="ListBullet2"/>
      </w:pPr>
      <w:r w:rsidRPr="00B964DC">
        <w:t>bitumen spraying techniques</w:t>
      </w:r>
    </w:p>
    <w:p w:rsidR="00000000" w:rsidRPr="00B964DC" w:rsidP="00B964DC">
      <w:pPr>
        <w:pStyle w:val="ListBullet2"/>
      </w:pPr>
      <w:r w:rsidRPr="00B964DC">
        <w:t>hand spraying techniques</w:t>
      </w:r>
    </w:p>
    <w:p w:rsidR="00000000" w:rsidRPr="00B964DC" w:rsidP="00B964DC">
      <w:pPr>
        <w:pStyle w:val="ListBullet2"/>
      </w:pPr>
      <w:r w:rsidRPr="00B964DC">
        <w:t>different equipment types, characteristics, technical capabilities and limitations.</w:t>
      </w:r>
    </w:p>
    <w:p w:rsidR="00000000" w:rsidRPr="00B964DC" w:rsidP="00B964DC">
      <w:pPr>
        <w:pStyle w:val="AllowPageBreak"/>
      </w:pPr>
    </w:p>
    <w:p w:rsidR="00000000" w:rsidRPr="00B964DC" w:rsidP="00B964DC">
      <w:pPr>
        <w:pStyle w:val="Heading1"/>
      </w:pPr>
      <w:bookmarkStart w:id="4" w:name="O_1068844"/>
      <w:bookmarkEnd w:id="4"/>
      <w:r w:rsidRPr="00B964DC">
        <w:t>Assessment Conditions</w:t>
      </w:r>
    </w:p>
    <w:p w:rsidR="00000000" w:rsidRPr="00B964DC" w:rsidP="00327B79">
      <w:pPr>
        <w:pStyle w:val="BodyText"/>
      </w:pPr>
      <w:r w:rsidRPr="00B964DC">
        <w:t>Mandatory conditions for assess</w:t>
      </w:r>
      <w:r w:rsidRPr="00B964DC">
        <w:t>ment of this unit are stipulated below. The assessment must:</w:t>
      </w:r>
    </w:p>
    <w:p w:rsidR="00000000" w:rsidRPr="00B964DC" w:rsidP="00B964DC">
      <w:pPr>
        <w:pStyle w:val="ListBullet"/>
      </w:pPr>
      <w:r w:rsidRPr="00B964DC">
        <w:t>include access to:</w:t>
      </w:r>
    </w:p>
    <w:p w:rsidR="00000000" w:rsidRPr="00B964DC" w:rsidP="00B964DC">
      <w:pPr>
        <w:pStyle w:val="ListBullet2"/>
      </w:pPr>
      <w:r w:rsidRPr="00B964DC">
        <w:t>bitumen spraying equipment</w:t>
      </w:r>
    </w:p>
    <w:p w:rsidR="00000000" w:rsidRPr="00B964DC" w:rsidP="00B964DC">
      <w:pPr>
        <w:pStyle w:val="ListBullet2"/>
      </w:pPr>
      <w:r w:rsidRPr="00B964DC">
        <w:t>personal protective equipment</w:t>
      </w:r>
    </w:p>
    <w:p w:rsidR="00000000" w:rsidRPr="00B964DC" w:rsidP="00B964DC">
      <w:pPr>
        <w:pStyle w:val="ListBullet"/>
      </w:pPr>
      <w:r w:rsidRPr="00B964DC">
        <w:t>be conducted in a safe environment; and,</w:t>
      </w:r>
    </w:p>
    <w:p w:rsidR="00000000" w:rsidRPr="00B964DC" w:rsidP="00B964DC">
      <w:pPr>
        <w:pStyle w:val="ListBullet"/>
      </w:pPr>
      <w:r w:rsidRPr="00B964DC">
        <w:t>be assessed in context of this sector</w:t>
      </w:r>
      <w:r>
        <w:t>’</w:t>
      </w:r>
      <w:r w:rsidRPr="00B964DC">
        <w:t>s work environment; and,</w:t>
      </w:r>
    </w:p>
    <w:p w:rsidR="00000000" w:rsidRPr="00B964DC" w:rsidP="00B964DC">
      <w:pPr>
        <w:pStyle w:val="ListBullet"/>
      </w:pPr>
      <w:r w:rsidRPr="00B964DC">
        <w:t xml:space="preserve">be assessed </w:t>
      </w:r>
      <w:r w:rsidRPr="00B964DC">
        <w:t>in compliance with legislation/regulation and using policies, procedures, processes and operational manuals directly related to the industry sector for which it is being assessed; and,</w:t>
      </w:r>
    </w:p>
    <w:p w:rsidR="00000000" w:rsidRPr="00B964DC" w:rsidP="00B964DC">
      <w:pPr>
        <w:pStyle w:val="ListBullet"/>
      </w:pPr>
      <w:r w:rsidRPr="00B964DC">
        <w:t>confirm consistent performance can be applied in a range of relevant workplace circumstances.</w:t>
      </w:r>
    </w:p>
    <w:p w:rsidR="00000000" w:rsidRPr="00B964DC" w:rsidP="00B964DC">
      <w:pPr>
        <w:pStyle w:val="ListBullet"/>
      </w:pPr>
      <w:r w:rsidRPr="00B964DC">
        <w:t>Where personal safety or environmental damage are limiting factors, assessment may occur in a simulated work environment* provided it is realistic and sufficientl</w:t>
      </w:r>
      <w:r w:rsidRPr="00B964DC">
        <w:t>y rigorous to cover all aspects of this sectors workplace performance, including environment, task skills, task management skills, contingency management skills and job role environment skills.</w:t>
      </w:r>
    </w:p>
    <w:p w:rsidR="00000000" w:rsidRPr="00B964DC" w:rsidP="00B964DC">
      <w:pPr>
        <w:pStyle w:val="Heading1"/>
      </w:pPr>
      <w:r w:rsidRPr="00B964DC">
        <w:t>Assessor Requirements </w:t>
      </w:r>
    </w:p>
    <w:p w:rsidR="00000000" w:rsidRPr="00B964DC" w:rsidP="00327B79">
      <w:pPr>
        <w:pStyle w:val="BodyText"/>
      </w:pPr>
      <w:r w:rsidRPr="00B964DC">
        <w:t>Assessors must be able to clearly demon</w:t>
      </w:r>
      <w:r w:rsidRPr="00B964DC">
        <w:t>strate current and relevant industry knowledge and experience to satisfy the mandatory competency standards as set out in the Standards for Registered Training Organisations (RTOs) 2015/AQTF mandatory requirements for assessors current at the time of asses</w:t>
      </w:r>
      <w:r w:rsidRPr="00B964DC">
        <w:t>sment and any relevant licensing and certification requirements. This includes:</w:t>
      </w:r>
    </w:p>
    <w:p w:rsidR="00000000" w:rsidRPr="00B964DC" w:rsidP="00B964DC">
      <w:pPr>
        <w:pStyle w:val="ListBullet"/>
      </w:pPr>
      <w:r w:rsidRPr="00B964DC">
        <w:t>vocational competencies at least to the level being delivered and assessed</w:t>
      </w:r>
    </w:p>
    <w:p w:rsidR="00000000" w:rsidRPr="00B964DC" w:rsidP="00B964DC">
      <w:pPr>
        <w:pStyle w:val="ListBullet"/>
      </w:pPr>
      <w:r w:rsidRPr="00B964DC">
        <w:t>current industry skills directly relevant to the training and assessment being provided</w:t>
      </w:r>
    </w:p>
    <w:p w:rsidR="00000000" w:rsidRPr="00B964DC" w:rsidP="00B964DC">
      <w:pPr>
        <w:pStyle w:val="ListBullet"/>
      </w:pPr>
      <w:r w:rsidRPr="00B964DC">
        <w:t>current know</w:t>
      </w:r>
      <w:r w:rsidRPr="00B964DC">
        <w:t>ledge and skills in vocational training and learning that informs their training and assessment</w:t>
      </w:r>
    </w:p>
    <w:p w:rsidR="00000000" w:rsidRPr="00B964DC" w:rsidP="00B964DC">
      <w:pPr>
        <w:pStyle w:val="ListBullet"/>
      </w:pPr>
      <w:r w:rsidRPr="00B964DC">
        <w:t>formal relevant qualifications in training and assessment</w:t>
      </w:r>
    </w:p>
    <w:p w:rsidR="00000000" w:rsidRPr="00B964DC" w:rsidP="00B964DC">
      <w:pPr>
        <w:pStyle w:val="ListBullet"/>
      </w:pPr>
      <w:r w:rsidRPr="00B964DC">
        <w:t>having knowledge of and/or experience using the latest techniques and processes</w:t>
      </w:r>
    </w:p>
    <w:p w:rsidR="00000000" w:rsidRPr="00B964DC" w:rsidP="00B964DC">
      <w:pPr>
        <w:pStyle w:val="ListBullet"/>
      </w:pPr>
      <w:r w:rsidRPr="00B964DC">
        <w:t>possessing a high leve</w:t>
      </w:r>
      <w:r w:rsidRPr="00B964DC">
        <w:t>l of RII training product knowledge</w:t>
      </w:r>
    </w:p>
    <w:p w:rsidR="00000000" w:rsidRPr="00B964DC" w:rsidP="00B964DC">
      <w:pPr>
        <w:pStyle w:val="ListBullet"/>
      </w:pPr>
      <w:r w:rsidRPr="00B964DC">
        <w:t>having an understanding and knowledge of legislations and regulations relevant to the industry and to employment and workplaces</w:t>
      </w:r>
    </w:p>
    <w:p w:rsidR="00000000" w:rsidRPr="00B964DC" w:rsidP="00B964DC">
      <w:pPr>
        <w:pStyle w:val="ListBullet"/>
      </w:pPr>
      <w:r w:rsidRPr="00B964DC">
        <w:t>demonstrating the performance evidence, and knowledge evidence as outlined in this unit of c</w:t>
      </w:r>
      <w:r w:rsidRPr="00B964DC">
        <w:t>ompetency, and</w:t>
      </w:r>
    </w:p>
    <w:p w:rsidR="00000000" w:rsidRPr="00B964DC" w:rsidP="00B964DC">
      <w:pPr>
        <w:pStyle w:val="ListBullet"/>
      </w:pPr>
      <w:r w:rsidRPr="00B964DC">
        <w:t>the minimum years of current** work experience after competency has been obtained as specified below in an industry sector relevant to the outcomes of the unit.</w:t>
      </w:r>
    </w:p>
    <w:p w:rsidR="00000000" w:rsidRPr="00B964DC" w:rsidP="00327B79">
      <w:pPr>
        <w:pStyle w:val="BodyText"/>
      </w:pPr>
      <w:r w:rsidRPr="00B964DC">
        <w:t>It is also acceptable for the appropriately qualified assessor to work with an i</w:t>
      </w:r>
      <w:r w:rsidRPr="00B964DC">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B964DC">
        <w:t>assessment being provided and must work alongside a trainer and/or assessor to conduct the assessment. This means the industry subject matter expert should hold the unit being assessed (or an equivalent unit), and must also demonstrate skills and knowledge</w:t>
      </w:r>
      <w:r w:rsidRPr="00B964DC">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27B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DC">
            <w:pPr>
              <w:pStyle w:val="Heading4"/>
              <w:rPr>
                <w:lang w:val="en-NZ"/>
              </w:rPr>
            </w:pPr>
            <w:r w:rsidRPr="00B964D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DC">
            <w:pPr>
              <w:pStyle w:val="Heading4"/>
              <w:rPr>
                <w:lang w:val="en-NZ"/>
              </w:rPr>
            </w:pPr>
            <w:r w:rsidRPr="00B964DC">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DC">
            <w:pPr>
              <w:pStyle w:val="Heading4"/>
              <w:rPr>
                <w:lang w:val="en-NZ"/>
              </w:rPr>
            </w:pPr>
            <w:r w:rsidRPr="00B964DC">
              <w:t>Required assessor or industry subject matter expert expe</w:t>
            </w:r>
            <w:r w:rsidRPr="00B964DC">
              <w:t>rience</w:t>
            </w:r>
          </w:p>
        </w:tc>
      </w:tr>
      <w:tr w:rsidTr="00327B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1 Year</w:t>
            </w:r>
          </w:p>
        </w:tc>
      </w:tr>
      <w:tr w:rsidTr="00327B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2 Years</w:t>
            </w:r>
          </w:p>
        </w:tc>
      </w:tr>
      <w:tr w:rsidTr="00327B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3 Years</w:t>
            </w:r>
          </w:p>
        </w:tc>
      </w:tr>
      <w:tr w:rsidTr="00327B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5 Years</w:t>
            </w:r>
          </w:p>
        </w:tc>
      </w:tr>
      <w:tr w:rsidTr="00327B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4DC">
            <w:pPr>
              <w:pStyle w:val="BodyText"/>
              <w:rPr>
                <w:lang w:val="en-NZ"/>
              </w:rPr>
            </w:pPr>
            <w:r w:rsidRPr="00B964D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64DC" w:rsidP="00B964DC">
            <w:pPr>
              <w:pStyle w:val="BodyText"/>
            </w:pPr>
            <w:r w:rsidRPr="00B964DC">
              <w:t>Where this unit of competency is being assessed outside of the resources and infrastructure sectors assessor and/or industry subject matter expert experience should be in-line with industry standards for the sector in which it is being assessed and where n</w:t>
            </w:r>
            <w:r w:rsidRPr="00B964DC">
              <w:t>o industry standard is specified should comply with any relevant regulation.</w:t>
            </w:r>
          </w:p>
        </w:tc>
      </w:tr>
    </w:tbl>
    <w:p w:rsidR="00000000" w:rsidRPr="00B964DC" w:rsidP="00327B79">
      <w:pPr>
        <w:pStyle w:val="BodyText"/>
      </w:pPr>
      <w:r w:rsidRPr="00B964DC">
        <w:t>*Guidance on simulated environments has been stipulated in the RII Companion Volume Implementation Guide located on VETNet.</w:t>
      </w:r>
    </w:p>
    <w:p w:rsidR="00000000" w:rsidRPr="00B964DC" w:rsidP="00327B79">
      <w:pPr>
        <w:pStyle w:val="BodyText"/>
      </w:pPr>
      <w:r w:rsidRPr="00B964DC">
        <w:t>**Assessors can demonstrate current work experience t</w:t>
      </w:r>
      <w:r w:rsidRPr="00B964DC">
        <w:t>hrough employment within industry in a role relevant to the outcomes of the unit; or, for external assessors this can be demonstrated through exposure to industry by conducting a minimum number of site assessments as determined by the relevant industry sec</w:t>
      </w:r>
      <w:r w:rsidRPr="00B964DC">
        <w:t>tor, across various locations.</w:t>
      </w:r>
    </w:p>
    <w:p w:rsidR="00000000" w:rsidRPr="00B964DC" w:rsidP="00327B79">
      <w:pPr>
        <w:pStyle w:val="BodyText"/>
      </w:pPr>
      <w:r w:rsidRPr="00B964DC">
        <w:t>*** While a unit of competency does not have an AQF level, where a unit is being delivered outside of a qualification the first numeric character in the unit code should be considered as the AQF indicator level for assessment</w:t>
      </w:r>
      <w:r w:rsidRPr="00B964DC">
        <w:t xml:space="preserve"> purposes.</w:t>
      </w:r>
    </w:p>
    <w:p w:rsidR="00000000" w:rsidRPr="00B964DC" w:rsidP="00B964DC">
      <w:pPr>
        <w:pStyle w:val="Heading1"/>
      </w:pPr>
      <w:bookmarkStart w:id="5" w:name="O_1068842"/>
      <w:bookmarkEnd w:id="5"/>
      <w:r w:rsidRPr="00B964DC">
        <w:t>Links</w:t>
      </w:r>
    </w:p>
    <w:p w:rsidR="00000000" w:rsidRPr="00B964DC" w:rsidP="00327B79">
      <w:pPr>
        <w:pStyle w:val="BodyText"/>
      </w:pPr>
      <w:r w:rsidRPr="00B964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75C7">
        <w:rPr>
          <w:rStyle w:val="Hyperlink"/>
        </w:rPr>
        <w:t>https://vetnet.gov.au/Pages/TrainingDocs.aspx?q=88a61002-9a21-4386-aaf8-69c76e675272</w:t>
      </w:r>
      <w:r>
        <w:fldChar w:fldCharType="end"/>
      </w:r>
    </w:p>
    <w:p w:rsidR="00000000" w:rsidRPr="00B964DC" w:rsidP="00B964DC"/>
    <w:sectPr w:rsidSect="00B96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DC" w:rsidRPr="00327B79" w:rsidP="00327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79" w:rsidP="00B96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B79" w:rsidP="00B964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7B79" w:rsidP="00B96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4DC" w:rsidRPr="00327B79" w:rsidP="00327B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79" w:rsidRPr="002D2AF8" w:rsidP="00B964DC">
    <w:pPr>
      <w:pStyle w:val="Header"/>
      <w:framePr w:wrap="around"/>
    </w:pPr>
    <w:r>
      <w:fldChar w:fldCharType="begin"/>
    </w:r>
    <w:r>
      <w:instrText xml:space="preserve"> TITLE   \* MERGEFORMAT </w:instrText>
    </w:r>
    <w:r>
      <w:fldChar w:fldCharType="separate"/>
    </w:r>
    <w:r>
      <w:t>Assessment Requirements for RIICBS307E Conduct bitumen sprayer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7B79" w:rsidP="00B96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A9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23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68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4DC"/>
    <w:pPr>
      <w:spacing w:before="360" w:after="60"/>
      <w:outlineLvl w:val="0"/>
    </w:pPr>
    <w:rPr>
      <w:sz w:val="32"/>
    </w:rPr>
  </w:style>
  <w:style w:type="paragraph" w:styleId="Heading2">
    <w:name w:val="heading 2"/>
    <w:basedOn w:val="HeadingBase"/>
    <w:next w:val="BodyText"/>
    <w:link w:val="Heading2Char"/>
    <w:qFormat/>
    <w:rsid w:val="00B964DC"/>
    <w:pPr>
      <w:keepLines/>
      <w:spacing w:before="240" w:after="120"/>
      <w:outlineLvl w:val="1"/>
    </w:pPr>
    <w:rPr>
      <w:sz w:val="28"/>
      <w:szCs w:val="40"/>
    </w:rPr>
  </w:style>
  <w:style w:type="paragraph" w:styleId="Heading3">
    <w:name w:val="heading 3"/>
    <w:basedOn w:val="HeadingBase"/>
    <w:next w:val="BodyText"/>
    <w:link w:val="Heading3Char"/>
    <w:qFormat/>
    <w:rsid w:val="00B964DC"/>
    <w:pPr>
      <w:spacing w:before="180" w:after="120"/>
      <w:outlineLvl w:val="2"/>
    </w:pPr>
    <w:rPr>
      <w:spacing w:val="-10"/>
      <w:kern w:val="32"/>
    </w:rPr>
  </w:style>
  <w:style w:type="paragraph" w:styleId="Heading4">
    <w:name w:val="heading 4"/>
    <w:basedOn w:val="HeadingBase"/>
    <w:next w:val="BodyText"/>
    <w:link w:val="Heading4Char"/>
    <w:qFormat/>
    <w:rsid w:val="00B964DC"/>
    <w:pPr>
      <w:spacing w:before="160" w:after="120"/>
      <w:outlineLvl w:val="3"/>
    </w:pPr>
    <w:rPr>
      <w:sz w:val="22"/>
    </w:rPr>
  </w:style>
  <w:style w:type="paragraph" w:styleId="Heading5">
    <w:name w:val="heading 5"/>
    <w:basedOn w:val="HeadingBase"/>
    <w:next w:val="Normal"/>
    <w:link w:val="Heading5Char"/>
    <w:qFormat/>
    <w:rsid w:val="00B964DC"/>
    <w:pPr>
      <w:spacing w:before="80"/>
      <w:outlineLvl w:val="4"/>
    </w:pPr>
    <w:rPr>
      <w:color w:val="918585"/>
      <w:sz w:val="20"/>
    </w:rPr>
  </w:style>
  <w:style w:type="paragraph" w:styleId="Heading6">
    <w:name w:val="heading 6"/>
    <w:basedOn w:val="HeadingBase"/>
    <w:next w:val="Normal"/>
    <w:link w:val="Heading6Char"/>
    <w:qFormat/>
    <w:rsid w:val="00B964DC"/>
    <w:pPr>
      <w:spacing w:before="60"/>
      <w:outlineLvl w:val="5"/>
    </w:pPr>
    <w:rPr>
      <w:color w:val="918585"/>
      <w:sz w:val="20"/>
    </w:rPr>
  </w:style>
  <w:style w:type="paragraph" w:styleId="Heading7">
    <w:name w:val="heading 7"/>
    <w:basedOn w:val="Normal"/>
    <w:next w:val="Normal"/>
    <w:link w:val="Heading7Char"/>
    <w:qFormat/>
    <w:rsid w:val="00B964DC"/>
    <w:pPr>
      <w:ind w:left="720"/>
      <w:outlineLvl w:val="6"/>
    </w:pPr>
    <w:rPr>
      <w:i/>
    </w:rPr>
  </w:style>
  <w:style w:type="paragraph" w:styleId="Heading8">
    <w:name w:val="heading 8"/>
    <w:basedOn w:val="Normal"/>
    <w:next w:val="Normal"/>
    <w:link w:val="Heading8Char"/>
    <w:qFormat/>
    <w:rsid w:val="00B964DC"/>
    <w:pPr>
      <w:ind w:left="720"/>
      <w:outlineLvl w:val="7"/>
    </w:pPr>
    <w:rPr>
      <w:i/>
    </w:rPr>
  </w:style>
  <w:style w:type="paragraph" w:styleId="Heading9">
    <w:name w:val="heading 9"/>
    <w:basedOn w:val="Normal"/>
    <w:next w:val="Normal"/>
    <w:link w:val="Heading9Char"/>
    <w:qFormat/>
    <w:rsid w:val="00B964DC"/>
    <w:pPr>
      <w:ind w:left="720"/>
      <w:outlineLvl w:val="8"/>
    </w:pPr>
    <w:rPr>
      <w:i/>
    </w:rPr>
  </w:style>
  <w:style w:type="character" w:default="1" w:styleId="DefaultParagraphFont">
    <w:name w:val="Default Paragraph Font"/>
    <w:uiPriority w:val="1"/>
    <w:unhideWhenUsed/>
    <w:rsid w:val="00B96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4DC"/>
  </w:style>
  <w:style w:type="character" w:customStyle="1" w:styleId="Heading1Char">
    <w:name w:val="Heading 1 Char"/>
    <w:basedOn w:val="DefaultParagraphFont"/>
    <w:link w:val="Heading1"/>
    <w:rsid w:val="00B964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64DC"/>
    <w:rPr>
      <w:rFonts w:ascii="Times New Roman" w:eastAsia="Times New Roman" w:hAnsi="Times New Roman" w:cs="Times New Roman"/>
      <w:b/>
      <w:szCs w:val="20"/>
      <w:lang w:eastAsia="en-US"/>
    </w:rPr>
  </w:style>
  <w:style w:type="paragraph" w:styleId="BodyText">
    <w:name w:val="Body Text"/>
    <w:basedOn w:val="Normal"/>
    <w:link w:val="BodyTextChar"/>
    <w:rsid w:val="00B96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4DC"/>
    <w:rPr>
      <w:rFonts w:ascii="Times New Roman" w:eastAsia="Times New Roman" w:hAnsi="Times New Roman" w:cs="Times New Roman"/>
      <w:sz w:val="24"/>
      <w:lang w:eastAsia="en-US"/>
    </w:rPr>
  </w:style>
  <w:style w:type="paragraph" w:styleId="ListBullet">
    <w:name w:val="List Bullet"/>
    <w:basedOn w:val="List"/>
    <w:rsid w:val="00B964DC"/>
    <w:pPr>
      <w:numPr>
        <w:numId w:val="12"/>
      </w:numPr>
      <w:tabs>
        <w:tab w:val="clear" w:pos="340"/>
      </w:tabs>
      <w:spacing w:before="40" w:after="40"/>
    </w:pPr>
  </w:style>
  <w:style w:type="paragraph" w:styleId="ListBullet2">
    <w:name w:val="List Bullet 2"/>
    <w:basedOn w:val="List2"/>
    <w:rsid w:val="00B964DC"/>
    <w:pPr>
      <w:numPr>
        <w:numId w:val="13"/>
      </w:numPr>
      <w:tabs>
        <w:tab w:val="clear" w:pos="680"/>
      </w:tabs>
    </w:pPr>
  </w:style>
  <w:style w:type="paragraph" w:customStyle="1" w:styleId="SuperHeading">
    <w:name w:val="SuperHeading"/>
    <w:basedOn w:val="Normal"/>
    <w:rsid w:val="00B964DC"/>
    <w:pPr>
      <w:spacing w:before="240" w:after="120"/>
      <w:outlineLvl w:val="0"/>
    </w:pPr>
    <w:rPr>
      <w:rFonts w:ascii="Times New Roman" w:hAnsi="Times New Roman"/>
      <w:b/>
      <w:sz w:val="32"/>
    </w:rPr>
  </w:style>
  <w:style w:type="paragraph" w:customStyle="1" w:styleId="AllowPageBreak">
    <w:name w:val="AllowPageBreak"/>
    <w:rsid w:val="00B96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4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6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4DC"/>
    <w:rPr>
      <w:rFonts w:ascii="Courier New" w:eastAsia="Times New Roman" w:hAnsi="Courier New" w:cs="Times New Roman"/>
      <w:i/>
      <w:szCs w:val="20"/>
      <w:lang w:eastAsia="en-US"/>
    </w:rPr>
  </w:style>
  <w:style w:type="paragraph" w:customStyle="1" w:styleId="HeadingBase">
    <w:name w:val="Heading Base"/>
    <w:rsid w:val="00B96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4DC"/>
    <w:pPr>
      <w:tabs>
        <w:tab w:val="right" w:leader="dot" w:pos="9072"/>
      </w:tabs>
      <w:ind w:left="567"/>
    </w:pPr>
    <w:rPr>
      <w:szCs w:val="22"/>
    </w:rPr>
  </w:style>
  <w:style w:type="paragraph" w:customStyle="1" w:styleId="TOCBase">
    <w:name w:val="TOC Base"/>
    <w:rsid w:val="00B96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4DC"/>
    <w:pPr>
      <w:tabs>
        <w:tab w:val="right" w:leader="dot" w:pos="9072"/>
      </w:tabs>
      <w:spacing w:before="40" w:after="40"/>
      <w:ind w:left="284"/>
    </w:pPr>
    <w:rPr>
      <w:rFonts w:ascii="Times New Roman" w:hAnsi="Times New Roman"/>
    </w:rPr>
  </w:style>
  <w:style w:type="paragraph" w:styleId="TOC1">
    <w:name w:val="toc 1"/>
    <w:basedOn w:val="TOCBase"/>
    <w:next w:val="Normal"/>
    <w:rsid w:val="00B96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4DC"/>
    <w:rPr>
      <w:rFonts w:ascii="Times New Roman" w:eastAsia="Times New Roman" w:hAnsi="Times New Roman" w:cs="Times New Roman"/>
      <w:sz w:val="16"/>
      <w:lang w:eastAsia="en-US"/>
    </w:rPr>
  </w:style>
  <w:style w:type="paragraph" w:styleId="Title">
    <w:name w:val="Title"/>
    <w:basedOn w:val="HeadingBase"/>
    <w:link w:val="TitleChar"/>
    <w:qFormat/>
    <w:rsid w:val="00B964DC"/>
    <w:pPr>
      <w:spacing w:before="5040"/>
      <w:jc w:val="center"/>
    </w:pPr>
    <w:rPr>
      <w:sz w:val="48"/>
      <w:szCs w:val="72"/>
      <w:lang w:val="en-US"/>
    </w:rPr>
  </w:style>
  <w:style w:type="character" w:customStyle="1" w:styleId="TitleChar">
    <w:name w:val="Title Char"/>
    <w:basedOn w:val="DefaultParagraphFont"/>
    <w:link w:val="Title"/>
    <w:rsid w:val="00B96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4DC"/>
    <w:pPr>
      <w:tabs>
        <w:tab w:val="left" w:pos="3600"/>
        <w:tab w:val="left" w:pos="3958"/>
      </w:tabs>
    </w:pPr>
  </w:style>
  <w:style w:type="paragraph" w:styleId="List">
    <w:name w:val="List"/>
    <w:basedOn w:val="BodyText"/>
    <w:next w:val="BodyText"/>
    <w:rsid w:val="00B964DC"/>
    <w:pPr>
      <w:tabs>
        <w:tab w:val="left" w:pos="340"/>
      </w:tabs>
      <w:spacing w:before="60" w:after="60"/>
      <w:ind w:left="340" w:hanging="340"/>
    </w:pPr>
  </w:style>
  <w:style w:type="paragraph" w:customStyle="1" w:styleId="Note">
    <w:name w:val="Note"/>
    <w:basedOn w:val="BodyText"/>
    <w:rsid w:val="00B964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64DC"/>
    <w:rPr>
      <w:b/>
      <w:spacing w:val="0"/>
    </w:rPr>
  </w:style>
  <w:style w:type="paragraph" w:customStyle="1" w:styleId="SuperTitle">
    <w:name w:val="SuperTitle"/>
    <w:basedOn w:val="Title"/>
    <w:rsid w:val="00B964DC"/>
    <w:pPr>
      <w:framePr w:wrap="auto" w:hAnchor="text" w:y="6049"/>
    </w:pPr>
    <w:rPr>
      <w:color w:val="000000"/>
      <w:sz w:val="40"/>
    </w:rPr>
  </w:style>
  <w:style w:type="paragraph" w:customStyle="1" w:styleId="TOCTitle">
    <w:name w:val="TOCTitle"/>
    <w:basedOn w:val="Heading1"/>
    <w:rsid w:val="00B964DC"/>
    <w:pPr>
      <w:spacing w:after="240"/>
      <w:jc w:val="center"/>
      <w:outlineLvl w:val="9"/>
    </w:pPr>
    <w:rPr>
      <w:caps/>
    </w:rPr>
  </w:style>
  <w:style w:type="paragraph" w:customStyle="1" w:styleId="Version">
    <w:name w:val="Version"/>
    <w:rsid w:val="00B964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4DC"/>
    <w:pPr>
      <w:keepNext w:val="0"/>
      <w:tabs>
        <w:tab w:val="right" w:pos="4176"/>
      </w:tabs>
      <w:ind w:left="198" w:hanging="198"/>
    </w:pPr>
    <w:rPr>
      <w:rFonts w:ascii="Garamond" w:hAnsi="Garamond"/>
    </w:rPr>
  </w:style>
  <w:style w:type="paragraph" w:styleId="IndexHeading">
    <w:name w:val="index heading"/>
    <w:basedOn w:val="Normal"/>
    <w:next w:val="Index1"/>
    <w:semiHidden/>
    <w:rsid w:val="00B964DC"/>
    <w:pPr>
      <w:spacing w:before="120" w:after="120"/>
    </w:pPr>
    <w:rPr>
      <w:rFonts w:ascii="Arial" w:hAnsi="Arial"/>
      <w:b/>
      <w:color w:val="918585"/>
      <w:sz w:val="24"/>
    </w:rPr>
  </w:style>
  <w:style w:type="paragraph" w:styleId="Header">
    <w:name w:val="header"/>
    <w:basedOn w:val="Normal"/>
    <w:link w:val="HeaderChar"/>
    <w:rsid w:val="00B96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4DC"/>
    <w:rPr>
      <w:rFonts w:ascii="Times New Roman" w:eastAsia="Times New Roman" w:hAnsi="Times New Roman" w:cs="Times New Roman"/>
      <w:sz w:val="16"/>
      <w:szCs w:val="20"/>
      <w:lang w:val="en-GB" w:eastAsia="en-US"/>
    </w:rPr>
  </w:style>
  <w:style w:type="paragraph" w:customStyle="1" w:styleId="Chapter">
    <w:name w:val="Chapter"/>
    <w:basedOn w:val="Normal"/>
    <w:rsid w:val="00B964DC"/>
    <w:pPr>
      <w:spacing w:before="240"/>
    </w:pPr>
    <w:rPr>
      <w:rFonts w:ascii="Times New Roman" w:hAnsi="Times New Roman"/>
      <w:smallCaps/>
      <w:spacing w:val="80"/>
      <w:sz w:val="28"/>
    </w:rPr>
  </w:style>
  <w:style w:type="paragraph" w:customStyle="1" w:styleId="InChapter">
    <w:name w:val="InChapter"/>
    <w:basedOn w:val="Heading3"/>
    <w:rsid w:val="00B964DC"/>
    <w:pPr>
      <w:spacing w:after="240"/>
      <w:outlineLvl w:val="9"/>
    </w:pPr>
    <w:rPr>
      <w:noProof/>
    </w:rPr>
  </w:style>
  <w:style w:type="paragraph" w:styleId="Index2">
    <w:name w:val="index 2"/>
    <w:basedOn w:val="Normal"/>
    <w:next w:val="Normal"/>
    <w:semiHidden/>
    <w:rsid w:val="00B964DC"/>
    <w:pPr>
      <w:tabs>
        <w:tab w:val="right" w:pos="4176"/>
      </w:tabs>
      <w:ind w:left="568" w:hanging="284"/>
    </w:pPr>
    <w:rPr>
      <w:rFonts w:ascii="Garamond" w:hAnsi="Garamond"/>
    </w:rPr>
  </w:style>
  <w:style w:type="paragraph" w:customStyle="1" w:styleId="Byline">
    <w:name w:val="Byline"/>
    <w:rsid w:val="00B96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4DC"/>
    <w:pPr>
      <w:tabs>
        <w:tab w:val="clear" w:pos="3600"/>
        <w:tab w:val="clear" w:pos="3958"/>
      </w:tabs>
      <w:jc w:val="right"/>
    </w:pPr>
  </w:style>
  <w:style w:type="character" w:styleId="Emphasis">
    <w:name w:val="Emphasis"/>
    <w:basedOn w:val="DefaultParagraphFont"/>
    <w:qFormat/>
    <w:rsid w:val="00B964DC"/>
    <w:rPr>
      <w:i/>
    </w:rPr>
  </w:style>
  <w:style w:type="paragraph" w:styleId="Caption">
    <w:name w:val="caption"/>
    <w:basedOn w:val="BodyText"/>
    <w:next w:val="Normal"/>
    <w:qFormat/>
    <w:rsid w:val="00B964DC"/>
    <w:pPr>
      <w:framePr w:w="2268" w:hSpace="181" w:vSpace="181" w:wrap="around" w:vAnchor="text" w:hAnchor="page" w:x="1135" w:y="285" w:anchorLock="1"/>
    </w:pPr>
    <w:rPr>
      <w:i/>
    </w:rPr>
  </w:style>
  <w:style w:type="paragraph" w:customStyle="1" w:styleId="MiniTOCTitle">
    <w:name w:val="MiniTOCTitle"/>
    <w:basedOn w:val="Heading4"/>
    <w:rsid w:val="00B964DC"/>
    <w:pPr>
      <w:spacing w:before="240"/>
      <w:outlineLvl w:val="9"/>
    </w:pPr>
    <w:rPr>
      <w:noProof/>
      <w:sz w:val="24"/>
    </w:rPr>
  </w:style>
  <w:style w:type="paragraph" w:customStyle="1" w:styleId="MiniTOCItem">
    <w:name w:val="MiniTOCItem"/>
    <w:basedOn w:val="ListBullet"/>
    <w:rsid w:val="00B964DC"/>
    <w:pPr>
      <w:numPr>
        <w:numId w:val="0"/>
      </w:numPr>
      <w:tabs>
        <w:tab w:val="right" w:leader="dot" w:pos="6521"/>
      </w:tabs>
      <w:spacing w:before="0" w:after="0"/>
    </w:pPr>
  </w:style>
  <w:style w:type="paragraph" w:customStyle="1" w:styleId="TOFTitle">
    <w:name w:val="TOFTitle"/>
    <w:basedOn w:val="TOCTitle"/>
    <w:rsid w:val="00B964DC"/>
  </w:style>
  <w:style w:type="paragraph" w:styleId="TableofFigures">
    <w:name w:val="table of figures"/>
    <w:basedOn w:val="Normal"/>
    <w:next w:val="Normal"/>
    <w:semiHidden/>
    <w:rsid w:val="00B964DC"/>
    <w:pPr>
      <w:tabs>
        <w:tab w:val="right" w:leader="dot" w:pos="9072"/>
      </w:tabs>
      <w:ind w:left="970" w:hanging="403"/>
    </w:pPr>
    <w:rPr>
      <w:rFonts w:ascii="Times New Roman" w:hAnsi="Times New Roman"/>
      <w:b/>
    </w:rPr>
  </w:style>
  <w:style w:type="paragraph" w:styleId="ListNumber">
    <w:name w:val="List Number"/>
    <w:basedOn w:val="List"/>
    <w:rsid w:val="00B964DC"/>
    <w:pPr>
      <w:numPr>
        <w:numId w:val="15"/>
      </w:numPr>
      <w:tabs>
        <w:tab w:val="clear" w:pos="340"/>
      </w:tabs>
    </w:pPr>
  </w:style>
  <w:style w:type="character" w:customStyle="1" w:styleId="WingdingSymbols">
    <w:name w:val="Wingding Symbols"/>
    <w:rsid w:val="00B964DC"/>
    <w:rPr>
      <w:rFonts w:ascii="Wingdings" w:hAnsi="Wingdings"/>
    </w:rPr>
  </w:style>
  <w:style w:type="paragraph" w:customStyle="1" w:styleId="TableHeading">
    <w:name w:val="Table Heading"/>
    <w:basedOn w:val="HeadingBase"/>
    <w:rsid w:val="00B964DC"/>
    <w:pPr>
      <w:keepLines/>
      <w:pBdr>
        <w:bottom w:val="single" w:sz="6" w:space="1" w:color="918585"/>
      </w:pBdr>
      <w:spacing w:before="240"/>
    </w:pPr>
  </w:style>
  <w:style w:type="character" w:customStyle="1" w:styleId="HotSpot">
    <w:name w:val="HotSpot"/>
    <w:rsid w:val="00B964DC"/>
    <w:rPr>
      <w:color w:val="0033CC"/>
      <w:u w:val="none"/>
    </w:rPr>
  </w:style>
  <w:style w:type="paragraph" w:customStyle="1" w:styleId="BodyTextRight">
    <w:name w:val="Body Text Right"/>
    <w:basedOn w:val="BodyText"/>
    <w:rsid w:val="00B964DC"/>
    <w:pPr>
      <w:spacing w:before="0" w:after="0"/>
      <w:jc w:val="right"/>
    </w:pPr>
  </w:style>
  <w:style w:type="paragraph" w:styleId="Index3">
    <w:name w:val="index 3"/>
    <w:basedOn w:val="ListNumber2"/>
    <w:next w:val="Normal"/>
    <w:semiHidden/>
    <w:rsid w:val="00B964DC"/>
    <w:pPr>
      <w:numPr>
        <w:numId w:val="0"/>
      </w:numPr>
      <w:tabs>
        <w:tab w:val="right" w:leader="dot" w:pos="4176"/>
      </w:tabs>
    </w:pPr>
  </w:style>
  <w:style w:type="paragraph" w:styleId="ListNumber2">
    <w:name w:val="List Number 2"/>
    <w:basedOn w:val="List2"/>
    <w:rsid w:val="00B964DC"/>
    <w:pPr>
      <w:numPr>
        <w:numId w:val="10"/>
      </w:numPr>
      <w:tabs>
        <w:tab w:val="clear" w:pos="1060"/>
      </w:tabs>
    </w:pPr>
  </w:style>
  <w:style w:type="paragraph" w:customStyle="1" w:styleId="MarginNote">
    <w:name w:val="Margin Note"/>
    <w:basedOn w:val="BodyText"/>
    <w:rsid w:val="00B96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4DC"/>
    <w:rPr>
      <w:sz w:val="32"/>
    </w:rPr>
  </w:style>
  <w:style w:type="paragraph" w:customStyle="1" w:styleId="HeadingProcedure">
    <w:name w:val="Heading Procedure"/>
    <w:basedOn w:val="HeadingBase"/>
    <w:next w:val="Normal"/>
    <w:rsid w:val="00B964DC"/>
    <w:pPr>
      <w:tabs>
        <w:tab w:val="left" w:pos="0"/>
      </w:tabs>
      <w:spacing w:before="120" w:after="60"/>
    </w:pPr>
    <w:rPr>
      <w:i/>
      <w:color w:val="918585"/>
      <w:sz w:val="22"/>
    </w:rPr>
  </w:style>
  <w:style w:type="paragraph" w:customStyle="1" w:styleId="TableBodyText">
    <w:name w:val="Table Body Text"/>
    <w:basedOn w:val="BodyText"/>
    <w:rsid w:val="00B964DC"/>
    <w:pPr>
      <w:spacing w:before="60" w:after="60"/>
    </w:pPr>
  </w:style>
  <w:style w:type="paragraph" w:styleId="ListContinue">
    <w:name w:val="List Continue"/>
    <w:basedOn w:val="List"/>
    <w:rsid w:val="00B964DC"/>
    <w:pPr>
      <w:ind w:firstLine="0"/>
    </w:pPr>
  </w:style>
  <w:style w:type="paragraph" w:customStyle="1" w:styleId="ListNote">
    <w:name w:val="List Note"/>
    <w:basedOn w:val="List"/>
    <w:rsid w:val="00B964DC"/>
    <w:pPr>
      <w:pBdr>
        <w:top w:val="single" w:sz="6" w:space="2" w:color="918585"/>
        <w:bottom w:val="single" w:sz="6" w:space="2" w:color="918585"/>
      </w:pBdr>
      <w:tabs>
        <w:tab w:val="left" w:pos="1021"/>
      </w:tabs>
      <w:ind w:firstLine="0"/>
    </w:pPr>
  </w:style>
  <w:style w:type="paragraph" w:customStyle="1" w:styleId="Warning">
    <w:name w:val="Warning"/>
    <w:basedOn w:val="BodyText"/>
    <w:rsid w:val="00B964DC"/>
    <w:pPr>
      <w:shd w:val="clear" w:color="auto" w:fill="D9D9D9"/>
      <w:tabs>
        <w:tab w:val="left" w:pos="992"/>
      </w:tabs>
      <w:ind w:left="119" w:right="119"/>
    </w:pPr>
    <w:rPr>
      <w:sz w:val="20"/>
    </w:rPr>
  </w:style>
  <w:style w:type="paragraph" w:customStyle="1" w:styleId="MarginIcons">
    <w:name w:val="Margin Icons"/>
    <w:basedOn w:val="BodyText"/>
    <w:rsid w:val="00B96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4DC"/>
    <w:rPr>
      <w:rFonts w:ascii="Courier New" w:hAnsi="Courier New"/>
    </w:rPr>
  </w:style>
  <w:style w:type="paragraph" w:customStyle="1" w:styleId="NoteBullet">
    <w:name w:val="Note Bullet"/>
    <w:basedOn w:val="Note"/>
    <w:rsid w:val="00B964DC"/>
    <w:pPr>
      <w:tabs>
        <w:tab w:val="clear" w:pos="680"/>
      </w:tabs>
      <w:spacing w:before="60" w:after="60"/>
    </w:pPr>
  </w:style>
  <w:style w:type="paragraph" w:customStyle="1" w:styleId="SubHeading2">
    <w:name w:val="SubHeading2"/>
    <w:basedOn w:val="HeadingBase"/>
    <w:rsid w:val="00B964DC"/>
    <w:pPr>
      <w:spacing w:before="240" w:after="60"/>
    </w:pPr>
    <w:rPr>
      <w:sz w:val="20"/>
    </w:rPr>
  </w:style>
  <w:style w:type="paragraph" w:customStyle="1" w:styleId="SubHeading1">
    <w:name w:val="SubHeading1"/>
    <w:basedOn w:val="HeadingBase"/>
    <w:rsid w:val="00B964DC"/>
    <w:pPr>
      <w:spacing w:before="240" w:after="60"/>
    </w:pPr>
    <w:rPr>
      <w:color w:val="918585"/>
      <w:sz w:val="22"/>
    </w:rPr>
  </w:style>
  <w:style w:type="paragraph" w:customStyle="1" w:styleId="SideHeading">
    <w:name w:val="Side Heading"/>
    <w:basedOn w:val="HeadingBase"/>
    <w:rsid w:val="00B96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4DC"/>
    <w:pPr>
      <w:tabs>
        <w:tab w:val="num" w:pos="360"/>
      </w:tabs>
    </w:pPr>
  </w:style>
  <w:style w:type="paragraph" w:styleId="PlainText">
    <w:name w:val="Plain Text"/>
    <w:basedOn w:val="Normal"/>
    <w:link w:val="PlainTextChar"/>
    <w:rsid w:val="00B964DC"/>
    <w:rPr>
      <w:sz w:val="20"/>
    </w:rPr>
  </w:style>
  <w:style w:type="character" w:customStyle="1" w:styleId="PlainTextChar">
    <w:name w:val="Plain Text Char"/>
    <w:basedOn w:val="DefaultParagraphFont"/>
    <w:link w:val="PlainText"/>
    <w:rsid w:val="00B964DC"/>
    <w:rPr>
      <w:rFonts w:ascii="Courier New" w:eastAsia="Times New Roman" w:hAnsi="Courier New" w:cs="Times New Roman"/>
      <w:sz w:val="20"/>
      <w:szCs w:val="20"/>
      <w:lang w:eastAsia="en-US"/>
    </w:rPr>
  </w:style>
  <w:style w:type="character" w:customStyle="1" w:styleId="MenuOption">
    <w:name w:val="Menu Option"/>
    <w:basedOn w:val="DefaultParagraphFont"/>
    <w:rsid w:val="00B964DC"/>
    <w:rPr>
      <w:b/>
      <w:smallCaps/>
    </w:rPr>
  </w:style>
  <w:style w:type="paragraph" w:customStyle="1" w:styleId="TableListNumber">
    <w:name w:val="Table List Number"/>
    <w:basedOn w:val="ListNumber"/>
    <w:rsid w:val="00B964DC"/>
    <w:pPr>
      <w:numPr>
        <w:numId w:val="0"/>
      </w:numPr>
    </w:pPr>
  </w:style>
  <w:style w:type="paragraph" w:styleId="TOC4">
    <w:name w:val="toc 4"/>
    <w:basedOn w:val="TOCBase"/>
    <w:next w:val="Normal"/>
    <w:semiHidden/>
    <w:rsid w:val="00B964DC"/>
    <w:pPr>
      <w:tabs>
        <w:tab w:val="right" w:leader="dot" w:pos="9071"/>
      </w:tabs>
      <w:ind w:left="1701"/>
    </w:pPr>
  </w:style>
  <w:style w:type="paragraph" w:customStyle="1" w:styleId="ListAlpha">
    <w:name w:val="List Alpha"/>
    <w:basedOn w:val="List"/>
    <w:rsid w:val="00B964DC"/>
    <w:pPr>
      <w:numPr>
        <w:numId w:val="9"/>
      </w:numPr>
    </w:pPr>
  </w:style>
  <w:style w:type="paragraph" w:customStyle="1" w:styleId="ListAlpha2">
    <w:name w:val="List Alpha 2"/>
    <w:basedOn w:val="List2"/>
    <w:rsid w:val="00B964DC"/>
    <w:pPr>
      <w:numPr>
        <w:numId w:val="8"/>
      </w:numPr>
    </w:pPr>
  </w:style>
  <w:style w:type="paragraph" w:styleId="List2">
    <w:name w:val="List 2"/>
    <w:basedOn w:val="BodyText"/>
    <w:rsid w:val="00B964DC"/>
    <w:pPr>
      <w:tabs>
        <w:tab w:val="left" w:pos="680"/>
      </w:tabs>
      <w:spacing w:before="60" w:after="60"/>
      <w:ind w:left="680" w:hanging="340"/>
    </w:pPr>
  </w:style>
  <w:style w:type="paragraph" w:styleId="List3">
    <w:name w:val="List 3"/>
    <w:basedOn w:val="BodyText"/>
    <w:rsid w:val="00B964DC"/>
    <w:pPr>
      <w:tabs>
        <w:tab w:val="left" w:pos="1021"/>
      </w:tabs>
      <w:spacing w:before="60" w:after="60"/>
      <w:ind w:left="1020" w:hanging="340"/>
    </w:pPr>
  </w:style>
  <w:style w:type="paragraph" w:styleId="List4">
    <w:name w:val="List 4"/>
    <w:basedOn w:val="BodyText"/>
    <w:rsid w:val="00B964DC"/>
    <w:pPr>
      <w:tabs>
        <w:tab w:val="left" w:pos="1361"/>
      </w:tabs>
      <w:spacing w:before="60" w:after="60"/>
      <w:ind w:left="1361" w:hanging="340"/>
    </w:pPr>
  </w:style>
  <w:style w:type="paragraph" w:styleId="List5">
    <w:name w:val="List 5"/>
    <w:basedOn w:val="BodyText"/>
    <w:rsid w:val="00B964DC"/>
    <w:pPr>
      <w:tabs>
        <w:tab w:val="left" w:pos="1701"/>
      </w:tabs>
      <w:spacing w:before="60" w:after="60"/>
      <w:ind w:left="1701" w:hanging="340"/>
    </w:pPr>
  </w:style>
  <w:style w:type="paragraph" w:styleId="ListBullet3">
    <w:name w:val="List Bullet 3"/>
    <w:basedOn w:val="List3"/>
    <w:rsid w:val="00B964DC"/>
    <w:pPr>
      <w:numPr>
        <w:numId w:val="14"/>
      </w:numPr>
      <w:tabs>
        <w:tab w:val="clear" w:pos="1021"/>
      </w:tabs>
      <w:ind w:left="1037" w:hanging="357"/>
    </w:pPr>
  </w:style>
  <w:style w:type="paragraph" w:styleId="ListBullet4">
    <w:name w:val="List Bullet 4"/>
    <w:basedOn w:val="List4"/>
    <w:rsid w:val="00B964DC"/>
    <w:pPr>
      <w:numPr>
        <w:numId w:val="3"/>
      </w:numPr>
      <w:tabs>
        <w:tab w:val="clear" w:pos="1361"/>
      </w:tabs>
    </w:pPr>
  </w:style>
  <w:style w:type="paragraph" w:styleId="ListBullet5">
    <w:name w:val="List Bullet 5"/>
    <w:basedOn w:val="List5"/>
    <w:rsid w:val="00B964DC"/>
    <w:pPr>
      <w:numPr>
        <w:numId w:val="4"/>
      </w:numPr>
    </w:pPr>
  </w:style>
  <w:style w:type="paragraph" w:styleId="ListContinue2">
    <w:name w:val="List Continue 2"/>
    <w:basedOn w:val="List2"/>
    <w:rsid w:val="00B964DC"/>
    <w:pPr>
      <w:ind w:firstLine="0"/>
    </w:pPr>
  </w:style>
  <w:style w:type="paragraph" w:styleId="ListContinue3">
    <w:name w:val="List Continue 3"/>
    <w:basedOn w:val="List3"/>
    <w:rsid w:val="00B964DC"/>
    <w:pPr>
      <w:ind w:left="1021" w:firstLine="0"/>
    </w:pPr>
  </w:style>
  <w:style w:type="paragraph" w:styleId="ListContinue4">
    <w:name w:val="List Continue 4"/>
    <w:basedOn w:val="List4"/>
    <w:rsid w:val="00B964DC"/>
    <w:pPr>
      <w:ind w:firstLine="0"/>
    </w:pPr>
  </w:style>
  <w:style w:type="paragraph" w:styleId="ListContinue5">
    <w:name w:val="List Continue 5"/>
    <w:basedOn w:val="List5"/>
    <w:rsid w:val="00B964DC"/>
    <w:pPr>
      <w:ind w:firstLine="0"/>
    </w:pPr>
  </w:style>
  <w:style w:type="paragraph" w:styleId="ListNumber3">
    <w:name w:val="List Number 3"/>
    <w:basedOn w:val="List3"/>
    <w:rsid w:val="00B964DC"/>
    <w:pPr>
      <w:numPr>
        <w:numId w:val="5"/>
      </w:numPr>
    </w:pPr>
  </w:style>
  <w:style w:type="paragraph" w:styleId="ListNumber4">
    <w:name w:val="List Number 4"/>
    <w:basedOn w:val="List4"/>
    <w:rsid w:val="00B964DC"/>
    <w:pPr>
      <w:numPr>
        <w:numId w:val="6"/>
      </w:numPr>
    </w:pPr>
  </w:style>
  <w:style w:type="paragraph" w:styleId="ListNumber5">
    <w:name w:val="List Number 5"/>
    <w:basedOn w:val="List5"/>
    <w:rsid w:val="00B964DC"/>
    <w:pPr>
      <w:numPr>
        <w:numId w:val="7"/>
      </w:numPr>
    </w:pPr>
  </w:style>
  <w:style w:type="paragraph" w:styleId="BlockText">
    <w:name w:val="Block Text"/>
    <w:basedOn w:val="Normal"/>
    <w:rsid w:val="00B964DC"/>
    <w:pPr>
      <w:spacing w:after="120"/>
      <w:ind w:left="1440" w:right="1440"/>
    </w:pPr>
  </w:style>
  <w:style w:type="character" w:customStyle="1" w:styleId="Subscript">
    <w:name w:val="Subscript"/>
    <w:basedOn w:val="DefaultParagraphFont"/>
    <w:rsid w:val="00B964DC"/>
    <w:rPr>
      <w:sz w:val="16"/>
      <w:vertAlign w:val="subscript"/>
    </w:rPr>
  </w:style>
  <w:style w:type="character" w:customStyle="1" w:styleId="Superscript">
    <w:name w:val="Superscript"/>
    <w:basedOn w:val="DefaultParagraphFont"/>
    <w:rsid w:val="00B964DC"/>
    <w:rPr>
      <w:sz w:val="16"/>
      <w:vertAlign w:val="superscript"/>
    </w:rPr>
  </w:style>
  <w:style w:type="character" w:customStyle="1" w:styleId="Symbols">
    <w:name w:val="Symbols"/>
    <w:basedOn w:val="DefaultParagraphFont"/>
    <w:rsid w:val="00B964DC"/>
    <w:rPr>
      <w:rFonts w:ascii="Symbol" w:hAnsi="Symbol"/>
    </w:rPr>
  </w:style>
  <w:style w:type="character" w:customStyle="1" w:styleId="MenuOptions">
    <w:name w:val="Menu Options"/>
    <w:basedOn w:val="DefaultParagraphFont"/>
    <w:rsid w:val="00B964DC"/>
    <w:rPr>
      <w:rFonts w:ascii="Arial Narrow" w:hAnsi="Arial Narrow"/>
      <w:smallCaps/>
    </w:rPr>
  </w:style>
  <w:style w:type="character" w:customStyle="1" w:styleId="Buttons">
    <w:name w:val="Buttons"/>
    <w:basedOn w:val="DefaultParagraphFont"/>
    <w:rsid w:val="00B964DC"/>
    <w:rPr>
      <w:b/>
    </w:rPr>
  </w:style>
  <w:style w:type="character" w:customStyle="1" w:styleId="Underlined">
    <w:name w:val="Underlined"/>
    <w:basedOn w:val="DefaultParagraphFont"/>
    <w:rsid w:val="00B964DC"/>
    <w:rPr>
      <w:u w:val="single"/>
    </w:rPr>
  </w:style>
  <w:style w:type="paragraph" w:customStyle="1" w:styleId="TableBodyTextRight">
    <w:name w:val="Table Body Text Right"/>
    <w:basedOn w:val="TableBodyText"/>
    <w:rsid w:val="00B964DC"/>
    <w:pPr>
      <w:widowControl w:val="0"/>
      <w:autoSpaceDE w:val="0"/>
      <w:autoSpaceDN w:val="0"/>
      <w:adjustRightInd w:val="0"/>
      <w:jc w:val="right"/>
    </w:pPr>
    <w:rPr>
      <w:rFonts w:cs="Arial"/>
      <w:szCs w:val="18"/>
    </w:rPr>
  </w:style>
  <w:style w:type="paragraph" w:customStyle="1" w:styleId="CopyrightText">
    <w:name w:val="Copyright Text"/>
    <w:basedOn w:val="BodyText"/>
    <w:rsid w:val="00B964DC"/>
    <w:rPr>
      <w:sz w:val="18"/>
    </w:rPr>
  </w:style>
  <w:style w:type="paragraph" w:customStyle="1" w:styleId="BodySmallRight">
    <w:name w:val="Body Small Right"/>
    <w:basedOn w:val="BodyTextRight"/>
    <w:rsid w:val="00B964DC"/>
    <w:rPr>
      <w:sz w:val="18"/>
      <w:szCs w:val="18"/>
    </w:rPr>
  </w:style>
  <w:style w:type="paragraph" w:customStyle="1" w:styleId="MarginEdition">
    <w:name w:val="Margin Edition"/>
    <w:basedOn w:val="MarginNote"/>
    <w:rsid w:val="00B964DC"/>
    <w:pPr>
      <w:spacing w:before="0" w:after="0"/>
    </w:pPr>
    <w:rPr>
      <w:rFonts w:ascii="Times New Roman" w:hAnsi="Times New Roman"/>
      <w:color w:val="999999"/>
    </w:rPr>
  </w:style>
  <w:style w:type="paragraph" w:customStyle="1" w:styleId="Spacer">
    <w:name w:val="Spacer"/>
    <w:basedOn w:val="Normal"/>
    <w:rsid w:val="00B964DC"/>
    <w:rPr>
      <w:sz w:val="2"/>
      <w:szCs w:val="2"/>
    </w:rPr>
  </w:style>
  <w:style w:type="character" w:customStyle="1" w:styleId="Small">
    <w:name w:val="Small"/>
    <w:basedOn w:val="DefaultParagraphFont"/>
    <w:rsid w:val="00B964DC"/>
    <w:rPr>
      <w:sz w:val="16"/>
    </w:rPr>
  </w:style>
  <w:style w:type="paragraph" w:customStyle="1" w:styleId="WideTable">
    <w:name w:val="Wide Table"/>
    <w:basedOn w:val="Normal"/>
    <w:rsid w:val="00B964DC"/>
    <w:pPr>
      <w:ind w:left="-1418"/>
    </w:pPr>
    <w:rPr>
      <w:sz w:val="2"/>
      <w:szCs w:val="2"/>
    </w:rPr>
  </w:style>
  <w:style w:type="character" w:styleId="PageNumber">
    <w:name w:val="page number"/>
    <w:basedOn w:val="DefaultParagraphFont"/>
    <w:rsid w:val="00B964DC"/>
  </w:style>
  <w:style w:type="paragraph" w:styleId="Quote">
    <w:name w:val="Quote"/>
    <w:basedOn w:val="Heading1"/>
    <w:link w:val="QuoteChar"/>
    <w:qFormat/>
    <w:rsid w:val="00B964DC"/>
    <w:rPr>
      <w:b w:val="0"/>
      <w:sz w:val="72"/>
      <w:szCs w:val="72"/>
      <w:lang w:val="en-NZ"/>
    </w:rPr>
  </w:style>
  <w:style w:type="character" w:customStyle="1" w:styleId="QuoteChar">
    <w:name w:val="Quote Char"/>
    <w:basedOn w:val="DefaultParagraphFont"/>
    <w:link w:val="Quote"/>
    <w:rsid w:val="00B96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4DC"/>
    <w:pPr>
      <w:pageBreakBefore/>
    </w:pPr>
  </w:style>
  <w:style w:type="paragraph" w:customStyle="1" w:styleId="Border">
    <w:name w:val="Border"/>
    <w:basedOn w:val="Normal"/>
    <w:qFormat/>
    <w:rsid w:val="00B96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4DC"/>
    <w:rPr>
      <w:b/>
      <w:bCs/>
      <w:i/>
      <w:iCs/>
      <w:color w:val="auto"/>
    </w:rPr>
  </w:style>
  <w:style w:type="paragraph" w:styleId="IntenseQuote">
    <w:name w:val="Intense Quote"/>
    <w:basedOn w:val="Normal"/>
    <w:next w:val="Normal"/>
    <w:link w:val="IntenseQuoteChar"/>
    <w:uiPriority w:val="30"/>
    <w:qFormat/>
    <w:rsid w:val="00B96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4DC"/>
    <w:rPr>
      <w:smallCaps/>
      <w:color w:val="auto"/>
      <w:u w:val="single"/>
    </w:rPr>
  </w:style>
  <w:style w:type="character" w:styleId="IntenseReference">
    <w:name w:val="Intense Reference"/>
    <w:basedOn w:val="DefaultParagraphFont"/>
    <w:uiPriority w:val="32"/>
    <w:qFormat/>
    <w:rsid w:val="00B964DC"/>
    <w:rPr>
      <w:b/>
      <w:bCs/>
      <w:smallCaps/>
      <w:color w:val="auto"/>
      <w:spacing w:val="5"/>
      <w:u w:val="single"/>
    </w:rPr>
  </w:style>
  <w:style w:type="paragraph" w:customStyle="1" w:styleId="2ColumnHeading">
    <w:name w:val="2Column Heading"/>
    <w:basedOn w:val="BodyText"/>
    <w:qFormat/>
    <w:rsid w:val="00B964DC"/>
    <w:pPr>
      <w:spacing w:after="60"/>
      <w:ind w:left="-2268"/>
    </w:pPr>
    <w:rPr>
      <w:b/>
    </w:rPr>
  </w:style>
  <w:style w:type="paragraph" w:customStyle="1" w:styleId="Heading1TOC">
    <w:name w:val="Heading1 TOC"/>
    <w:basedOn w:val="Normal"/>
    <w:qFormat/>
    <w:rsid w:val="00B964DC"/>
    <w:pPr>
      <w:spacing w:before="240" w:after="120"/>
    </w:pPr>
    <w:rPr>
      <w:rFonts w:ascii="Times New Roman" w:hAnsi="Times New Roman"/>
      <w:b/>
      <w:sz w:val="32"/>
    </w:rPr>
  </w:style>
  <w:style w:type="paragraph" w:customStyle="1" w:styleId="Heading2TOC">
    <w:name w:val="Heading2 TOC"/>
    <w:basedOn w:val="Normal"/>
    <w:qFormat/>
    <w:rsid w:val="00B964DC"/>
    <w:pPr>
      <w:spacing w:before="240" w:after="60"/>
    </w:pPr>
    <w:rPr>
      <w:rFonts w:ascii="Times New Roman" w:hAnsi="Times New Roman"/>
      <w:b/>
      <w:sz w:val="28"/>
    </w:rPr>
  </w:style>
  <w:style w:type="character" w:customStyle="1" w:styleId="Underline">
    <w:name w:val="Underline"/>
    <w:basedOn w:val="DefaultParagraphFont"/>
    <w:qFormat/>
    <w:rsid w:val="00B964DC"/>
    <w:rPr>
      <w:u w:val="single"/>
    </w:rPr>
  </w:style>
  <w:style w:type="character" w:customStyle="1" w:styleId="BoldandItalics">
    <w:name w:val="Bold and Italics"/>
    <w:qFormat/>
    <w:rsid w:val="00B964DC"/>
    <w:rPr>
      <w:b/>
      <w:i/>
      <w:u w:val="none"/>
    </w:rPr>
  </w:style>
  <w:style w:type="paragraph" w:styleId="BalloonText">
    <w:name w:val="Balloon Text"/>
    <w:basedOn w:val="Normal"/>
    <w:link w:val="BalloonTextChar"/>
    <w:rsid w:val="00B964DC"/>
    <w:rPr>
      <w:rFonts w:ascii="Tahoma" w:hAnsi="Tahoma" w:cs="Tahoma"/>
      <w:sz w:val="16"/>
      <w:szCs w:val="16"/>
    </w:rPr>
  </w:style>
  <w:style w:type="character" w:customStyle="1" w:styleId="BalloonTextChar">
    <w:name w:val="Balloon Text Char"/>
    <w:basedOn w:val="DefaultParagraphFont"/>
    <w:link w:val="BalloonText"/>
    <w:rsid w:val="00B96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4DC"/>
    <w:rPr>
      <w:b/>
      <w:color w:val="660033"/>
      <w:spacing w:val="0"/>
    </w:rPr>
  </w:style>
  <w:style w:type="paragraph" w:customStyle="1" w:styleId="Nameditemlist">
    <w:name w:val="Named item list"/>
    <w:basedOn w:val="BodyText"/>
    <w:qFormat/>
    <w:rsid w:val="00B964DC"/>
    <w:pPr>
      <w:tabs>
        <w:tab w:val="left" w:pos="2835"/>
      </w:tabs>
      <w:ind w:left="2835" w:hanging="2835"/>
    </w:pPr>
  </w:style>
  <w:style w:type="paragraph" w:customStyle="1" w:styleId="BodyTextnopadding">
    <w:name w:val="Body Text no padding"/>
    <w:basedOn w:val="BodyText"/>
    <w:qFormat/>
    <w:rsid w:val="00B964DC"/>
    <w:pPr>
      <w:spacing w:before="0" w:after="0"/>
    </w:pPr>
  </w:style>
  <w:style w:type="paragraph" w:customStyle="1" w:styleId="BodyTextBold">
    <w:name w:val="Body Text Bold"/>
    <w:basedOn w:val="BodyText"/>
    <w:qFormat/>
    <w:rsid w:val="00B964DC"/>
    <w:rPr>
      <w:b/>
    </w:rPr>
  </w:style>
  <w:style w:type="character" w:styleId="Hyperlink">
    <w:name w:val="Hyperlink"/>
    <w:basedOn w:val="DefaultParagraphFont"/>
    <w:uiPriority w:val="99"/>
    <w:unhideWhenUsed/>
    <w:rsid w:val="00327B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6639</Characters>
  <Application>Microsoft Office Word</Application>
  <DocSecurity>0</DocSecurity>
  <Lines>150</Lines>
  <Paragraphs>106</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RIICBS307E Conduct bitumen sprayer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