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03B" w:rsidP="0043603B">
      <w:pPr>
        <w:pStyle w:val="Title"/>
      </w:pPr>
      <w:r>
        <w:fldChar w:fldCharType="begin"/>
      </w:r>
      <w:r>
        <w:instrText xml:space="preserve"> TITLE   \* MERGEFORMAT </w:instrText>
      </w:r>
      <w:r>
        <w:fldChar w:fldCharType="separate"/>
      </w:r>
      <w:r>
        <w:t>Assessment Requirements for RIICBS307D Conduct bitumen sprayer operations</w:t>
      </w:r>
      <w:r>
        <w:fldChar w:fldCharType="end"/>
      </w:r>
    </w:p>
    <w:p w:rsidR="0043603B" w:rsidP="0043603B">
      <w:pPr>
        <w:pStyle w:val="Version"/>
        <w:sectPr w:rsidSect="00C82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2DE0" w:rsidP="00C82DE0">
      <w:pPr>
        <w:pStyle w:val="SuperHeading"/>
      </w:pPr>
      <w:r w:rsidRPr="00C82DE0">
        <w:t>Assessment Requirements for RIICBS307D Conduct bitumen sprayer operations</w:t>
      </w:r>
    </w:p>
    <w:p w:rsidR="00000000" w:rsidRPr="00C82DE0" w:rsidP="00C82DE0">
      <w:pPr>
        <w:pStyle w:val="Heading1"/>
      </w:pPr>
      <w:bookmarkStart w:id="1" w:name="O_672601"/>
      <w:bookmarkEnd w:id="1"/>
      <w:r w:rsidRPr="00C82DE0">
        <w:t>Modification History</w:t>
      </w:r>
    </w:p>
    <w:tbl>
      <w:tblPr>
        <w:tblW w:w="0" w:type="auto"/>
        <w:tblCellMar>
          <w:left w:w="62" w:type="dxa"/>
          <w:right w:w="62" w:type="dxa"/>
        </w:tblCellMar>
        <w:tblLook w:val="0000"/>
      </w:tblPr>
      <w:tblGrid>
        <w:gridCol w:w="1107"/>
        <w:gridCol w:w="8089"/>
      </w:tblGrid>
      <w:tr w:rsidTr="0043603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Heading4"/>
              <w:rPr>
                <w:lang w:val="en-NZ"/>
              </w:rPr>
            </w:pPr>
            <w:r w:rsidRPr="00C82DE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Heading4"/>
              <w:rPr>
                <w:lang w:val="en-NZ"/>
              </w:rPr>
            </w:pPr>
            <w:r w:rsidRPr="00C82DE0">
              <w:t>Comment</w:t>
            </w:r>
          </w:p>
        </w:tc>
      </w:tr>
      <w:tr w:rsidTr="004360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BodyText"/>
              <w:rPr>
                <w:lang w:val="en-NZ"/>
              </w:rPr>
            </w:pPr>
            <w:r w:rsidRPr="00C82DE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BodyText"/>
              <w:rPr>
                <w:lang w:val="en-NZ"/>
              </w:rPr>
            </w:pPr>
            <w:r w:rsidRPr="00C82DE0">
              <w:t>This unit replaces RIICBS307A Conduct bitumen sprayer operations</w:t>
            </w:r>
          </w:p>
        </w:tc>
      </w:tr>
      <w:tr w:rsidTr="004360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BodyText"/>
              <w:rPr>
                <w:lang w:val="en-NZ"/>
              </w:rPr>
            </w:pPr>
            <w:r w:rsidRPr="00C82DE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BodyText"/>
              <w:rPr>
                <w:lang w:val="en-NZ"/>
              </w:rPr>
            </w:pPr>
            <w:r w:rsidRPr="00C82DE0">
              <w:t>Corrected Performance Criteria numbering.</w:t>
            </w:r>
          </w:p>
        </w:tc>
      </w:tr>
      <w:tr w:rsidTr="0043603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DE0">
            <w:pPr>
              <w:pStyle w:val="BodyText"/>
              <w:rPr>
                <w:lang w:val="en-NZ"/>
              </w:rPr>
            </w:pPr>
            <w:r w:rsidRPr="00C82DE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DE0" w:rsidP="00C82DE0">
            <w:pPr>
              <w:pStyle w:val="BodyText"/>
            </w:pPr>
            <w:r w:rsidRPr="00C82DE0">
              <w:t>Required frequency and volume of evidence amended in Performance evidence.</w:t>
            </w:r>
          </w:p>
          <w:p w:rsidR="00000000" w:rsidRPr="00C82DE0" w:rsidP="00C82DE0">
            <w:pPr>
              <w:pStyle w:val="BodyText"/>
            </w:pPr>
            <w:r w:rsidRPr="00C82DE0">
              <w:t>Substantial amendments made in Assessment Conditions field, including: references to Industry Sectors, assessor and subject matter expert experience requirements, how assessment sho</w:t>
            </w:r>
            <w:r w:rsidRPr="00C82DE0">
              <w:t>uld be conducted and what it should confirm.</w:t>
            </w:r>
          </w:p>
        </w:tc>
      </w:tr>
    </w:tbl>
    <w:p w:rsidR="00000000" w:rsidRPr="00C82DE0" w:rsidP="00C82DE0">
      <w:pPr>
        <w:pStyle w:val="BodyText"/>
      </w:pPr>
    </w:p>
    <w:p w:rsidR="00000000" w:rsidRPr="00C82DE0" w:rsidP="00C82DE0">
      <w:pPr>
        <w:pStyle w:val="AllowPageBreak"/>
      </w:pPr>
    </w:p>
    <w:p w:rsidR="00000000" w:rsidRPr="00C82DE0" w:rsidP="00C82DE0">
      <w:pPr>
        <w:pStyle w:val="Heading1"/>
      </w:pPr>
      <w:bookmarkStart w:id="2" w:name="O_672600"/>
      <w:bookmarkEnd w:id="2"/>
      <w:r w:rsidRPr="00C82DE0">
        <w:t>Performance Evidence</w:t>
      </w:r>
    </w:p>
    <w:p w:rsidR="00000000" w:rsidRPr="00C82DE0" w:rsidP="0043603B">
      <w:pPr>
        <w:pStyle w:val="BodyText"/>
      </w:pPr>
      <w:r w:rsidRPr="00C82DE0">
        <w:t>Evidence is required to be collected that demonstrates a candidate’s competency in this unit. Evidence must be relevant to the roles within this sector’</w:t>
      </w:r>
      <w:r w:rsidRPr="00C82DE0">
        <w:t>s work operations and satisfy all of the requirements of the performance criteria of this unit and include evidence that the candidate:</w:t>
      </w:r>
    </w:p>
    <w:p w:rsidR="00000000" w:rsidRPr="00C82DE0" w:rsidP="00C82DE0">
      <w:pPr>
        <w:pStyle w:val="ListBullet"/>
      </w:pPr>
      <w:r w:rsidRPr="00C82DE0">
        <w:t>locates and applies applicable documentation, policies and procedures</w:t>
      </w:r>
    </w:p>
    <w:p w:rsidR="00000000" w:rsidRPr="00C82DE0" w:rsidP="00C82DE0">
      <w:pPr>
        <w:pStyle w:val="ListBullet"/>
      </w:pPr>
      <w:r w:rsidRPr="00C82DE0">
        <w:t>implements the requirements, procedures and techn</w:t>
      </w:r>
      <w:r w:rsidRPr="00C82DE0">
        <w:t>iques for the safe, effective and efficient completion of bitumen sprayer operations including:</w:t>
      </w:r>
    </w:p>
    <w:p w:rsidR="00000000" w:rsidRPr="00C82DE0" w:rsidP="00C82DE0">
      <w:pPr>
        <w:pStyle w:val="ListBullet2"/>
      </w:pPr>
      <w:r w:rsidRPr="00C82DE0">
        <w:t>organising work activities</w:t>
      </w:r>
    </w:p>
    <w:p w:rsidR="00000000" w:rsidRPr="00C82DE0" w:rsidP="00C82DE0">
      <w:pPr>
        <w:pStyle w:val="ListBullet2"/>
      </w:pPr>
      <w:r w:rsidRPr="00C82DE0">
        <w:t>select and use relevant tools and equipment safely</w:t>
      </w:r>
    </w:p>
    <w:p w:rsidR="00000000" w:rsidRPr="00C82DE0" w:rsidP="00C82DE0">
      <w:pPr>
        <w:pStyle w:val="ListBullet2"/>
      </w:pPr>
      <w:r w:rsidRPr="00C82DE0">
        <w:t>identifying and reporting on hazards related to the worksite and work activity, including any environmental issues</w:t>
      </w:r>
    </w:p>
    <w:p w:rsidR="00000000" w:rsidRPr="00C82DE0" w:rsidP="00C82DE0">
      <w:pPr>
        <w:pStyle w:val="ListBullet"/>
      </w:pPr>
      <w:r w:rsidRPr="00C82DE0">
        <w:t>works effectively with others to undertake and complete bitumen sprayer operations that meets all of the required outcomes including:</w:t>
      </w:r>
    </w:p>
    <w:p w:rsidR="00000000" w:rsidRPr="00C82DE0" w:rsidP="00C82DE0">
      <w:pPr>
        <w:pStyle w:val="ListBullet2"/>
      </w:pPr>
      <w:r w:rsidRPr="00C82DE0">
        <w:t>organ</w:t>
      </w:r>
      <w:r w:rsidRPr="00C82DE0">
        <w:t>ising work activities to meet all task requirements</w:t>
      </w:r>
    </w:p>
    <w:p w:rsidR="00000000" w:rsidRPr="00C82DE0" w:rsidP="00C82DE0">
      <w:pPr>
        <w:pStyle w:val="ListBullet2"/>
      </w:pPr>
      <w:r w:rsidRPr="00C82DE0">
        <w:t xml:space="preserve">communicating clearly and concisely with others to receive and clarify work instructions </w:t>
      </w:r>
    </w:p>
    <w:p w:rsidR="00000000" w:rsidRPr="00C82DE0" w:rsidP="00C82DE0">
      <w:pPr>
        <w:pStyle w:val="ListBullet2"/>
      </w:pPr>
      <w:r w:rsidRPr="00C82DE0">
        <w:t>using a range of communication techniques and systems such as signage to advise others of work activity and exclus</w:t>
      </w:r>
      <w:r w:rsidRPr="00C82DE0">
        <w:t>ion zone</w:t>
      </w:r>
    </w:p>
    <w:p w:rsidR="00000000" w:rsidRPr="00C82DE0" w:rsidP="00C82DE0">
      <w:pPr>
        <w:pStyle w:val="ListBullet"/>
      </w:pPr>
      <w:r w:rsidRPr="00C82DE0">
        <w:t>demonstrates completion of conducting bitumen sprayer operations that safely, effectively and efficiently meets all of the required outcomes on more than one (1) occasion including:</w:t>
      </w:r>
    </w:p>
    <w:p w:rsidR="00000000" w:rsidRPr="00C82DE0" w:rsidP="00C82DE0">
      <w:pPr>
        <w:pStyle w:val="ListBullet2"/>
      </w:pPr>
      <w:r w:rsidRPr="00C82DE0">
        <w:t>a minimum of three (3) different materials to be loaded, mixed,</w:t>
      </w:r>
      <w:r w:rsidRPr="00C82DE0">
        <w:t xml:space="preserve"> heated and sprayed for two (2) sprayer loads each to be used for two (2) straight runs, two (2) tapers or turning slots and two (2) restricted areas to specified tolerances (spray runs to be a minimum total of 60% of the tank)</w:t>
      </w:r>
    </w:p>
    <w:p w:rsidR="00000000" w:rsidRPr="00C82DE0" w:rsidP="00C82DE0">
      <w:pPr>
        <w:pStyle w:val="ListBullet2"/>
      </w:pPr>
      <w:r w:rsidRPr="00C82DE0">
        <w:t>a minimum of two (2) areas t</w:t>
      </w:r>
      <w:r w:rsidRPr="00C82DE0">
        <w:t>o be hand lanced, each with a different material and to the specified tolerance</w:t>
      </w:r>
    </w:p>
    <w:p w:rsidR="00000000" w:rsidRPr="00C82DE0" w:rsidP="00C82DE0">
      <w:pPr>
        <w:pStyle w:val="ListBullet2"/>
      </w:pPr>
      <w:r w:rsidRPr="00C82DE0">
        <w:t>completion of all calculations and spray sheets for the activities</w:t>
      </w:r>
    </w:p>
    <w:p w:rsidR="00000000" w:rsidRPr="00C82DE0" w:rsidP="00C82DE0">
      <w:pPr>
        <w:pStyle w:val="AllowPageBreak"/>
      </w:pPr>
    </w:p>
    <w:p w:rsidR="00000000" w:rsidRPr="00C82DE0" w:rsidP="00C82DE0">
      <w:pPr>
        <w:pStyle w:val="Heading1"/>
      </w:pPr>
      <w:bookmarkStart w:id="3" w:name="O_672599"/>
      <w:bookmarkEnd w:id="3"/>
      <w:r w:rsidRPr="00C82DE0">
        <w:t>Knowledge Evidence</w:t>
      </w:r>
    </w:p>
    <w:p w:rsidR="00000000" w:rsidRPr="00C82DE0" w:rsidP="0043603B">
      <w:pPr>
        <w:pStyle w:val="BodyText"/>
      </w:pPr>
      <w:r w:rsidRPr="00C82DE0">
        <w:t>The candidate must demonstrate knowledge of the following when conducting</w:t>
      </w:r>
      <w:r w:rsidRPr="00C82DE0">
        <w:t xml:space="preserve"> bitumen sprayer operations:</w:t>
      </w:r>
    </w:p>
    <w:p w:rsidR="00000000" w:rsidRPr="00C82DE0" w:rsidP="00C82DE0">
      <w:pPr>
        <w:pStyle w:val="ListBullet"/>
      </w:pPr>
      <w:r w:rsidRPr="00C82DE0">
        <w:t>applying legislative, organisational and site requirements and procedures for:</w:t>
      </w:r>
    </w:p>
    <w:p w:rsidR="00000000" w:rsidRPr="00C82DE0" w:rsidP="00C82DE0">
      <w:pPr>
        <w:pStyle w:val="ListBullet2"/>
      </w:pPr>
      <w:r w:rsidRPr="00C82DE0">
        <w:t>site and equipment safety requirements</w:t>
      </w:r>
    </w:p>
    <w:p w:rsidR="00000000" w:rsidRPr="00C82DE0" w:rsidP="00C82DE0">
      <w:pPr>
        <w:pStyle w:val="ListBullet2"/>
      </w:pPr>
      <w:r w:rsidRPr="00C82DE0">
        <w:t>bitumen spraying</w:t>
      </w:r>
    </w:p>
    <w:p w:rsidR="00000000" w:rsidRPr="00C82DE0" w:rsidP="00C82DE0">
      <w:pPr>
        <w:pStyle w:val="ListBullet2"/>
      </w:pPr>
      <w:r w:rsidRPr="00C82DE0">
        <w:t>complying with the processes for heating bitumen</w:t>
      </w:r>
    </w:p>
    <w:p w:rsidR="00000000" w:rsidRPr="00C82DE0" w:rsidP="00C82DE0">
      <w:pPr>
        <w:pStyle w:val="ListBullet2"/>
      </w:pPr>
      <w:r w:rsidRPr="00C82DE0">
        <w:t>asphalt paving operations</w:t>
      </w:r>
    </w:p>
    <w:p w:rsidR="00000000" w:rsidRPr="00C82DE0" w:rsidP="00C82DE0">
      <w:pPr>
        <w:pStyle w:val="ListBullet2"/>
      </w:pPr>
      <w:r w:rsidRPr="00C82DE0">
        <w:t>asphalt strength and performance characteristics</w:t>
      </w:r>
    </w:p>
    <w:p w:rsidR="00000000" w:rsidRPr="00C82DE0" w:rsidP="00C82DE0">
      <w:pPr>
        <w:pStyle w:val="ListBullet2"/>
      </w:pPr>
      <w:r w:rsidRPr="00C82DE0">
        <w:t>edge and joint treatments</w:t>
      </w:r>
    </w:p>
    <w:p w:rsidR="00000000" w:rsidRPr="00C82DE0" w:rsidP="00C82DE0">
      <w:pPr>
        <w:pStyle w:val="ListBullet2"/>
      </w:pPr>
      <w:r w:rsidRPr="00C82DE0">
        <w:t>housekeeping</w:t>
      </w:r>
    </w:p>
    <w:p w:rsidR="00000000" w:rsidRPr="00C82DE0" w:rsidP="00C82DE0">
      <w:pPr>
        <w:pStyle w:val="ListBullet"/>
      </w:pPr>
      <w:r w:rsidRPr="00C82DE0">
        <w:t>communicating effectively to receive and clarify work instructions</w:t>
      </w:r>
    </w:p>
    <w:p w:rsidR="00000000" w:rsidRPr="00C82DE0" w:rsidP="00C82DE0">
      <w:pPr>
        <w:pStyle w:val="ListBullet"/>
      </w:pPr>
      <w:r w:rsidRPr="00C82DE0">
        <w:t>understanding bituminous materials and their characteristics</w:t>
      </w:r>
    </w:p>
    <w:p w:rsidR="00000000" w:rsidRPr="00C82DE0" w:rsidP="00C82DE0">
      <w:pPr>
        <w:pStyle w:val="ListBullet"/>
      </w:pPr>
      <w:r w:rsidRPr="00C82DE0">
        <w:t>understanding the different equipment t</w:t>
      </w:r>
      <w:r w:rsidRPr="00C82DE0">
        <w:t>ypes, characteristics, technical capabilities and limitations</w:t>
      </w:r>
    </w:p>
    <w:p w:rsidR="00000000" w:rsidRPr="00C82DE0" w:rsidP="00C82DE0">
      <w:pPr>
        <w:pStyle w:val="ListBullet"/>
      </w:pPr>
      <w:r w:rsidRPr="00C82DE0">
        <w:t>complying with the operational, maintenance and basic diagnostic procedures</w:t>
      </w:r>
    </w:p>
    <w:p w:rsidR="00000000" w:rsidRPr="00C82DE0" w:rsidP="00C82DE0">
      <w:pPr>
        <w:pStyle w:val="ListBullet"/>
      </w:pPr>
      <w:r w:rsidRPr="00C82DE0">
        <w:t>complying with site isolation and traffic control responsibilities and authorities</w:t>
      </w:r>
    </w:p>
    <w:p w:rsidR="00000000" w:rsidRPr="00C82DE0" w:rsidP="00C82DE0">
      <w:pPr>
        <w:pStyle w:val="ListBullet"/>
      </w:pPr>
      <w:r w:rsidRPr="00C82DE0">
        <w:t>understanding the processes for the</w:t>
      </w:r>
      <w:r w:rsidRPr="00C82DE0">
        <w:t xml:space="preserve"> calculation of material requirements, application rates and travel speed </w:t>
      </w:r>
    </w:p>
    <w:p w:rsidR="00000000" w:rsidRPr="00C82DE0" w:rsidP="00C82DE0">
      <w:pPr>
        <w:pStyle w:val="ListBullet"/>
      </w:pPr>
      <w:r w:rsidRPr="00C82DE0">
        <w:t xml:space="preserve">accessing, interpreting and applying safety data sheets </w:t>
      </w:r>
    </w:p>
    <w:p w:rsidR="00000000" w:rsidRPr="00C82DE0" w:rsidP="00C82DE0">
      <w:pPr>
        <w:pStyle w:val="ListBullet"/>
      </w:pPr>
      <w:r w:rsidRPr="00C82DE0">
        <w:t>using safe operating techniques in all terrain</w:t>
      </w:r>
    </w:p>
    <w:p w:rsidR="00000000" w:rsidRPr="00C82DE0" w:rsidP="00C82DE0">
      <w:pPr>
        <w:pStyle w:val="ListBullet"/>
      </w:pPr>
      <w:r w:rsidRPr="00C82DE0">
        <w:t>preparing and/or implementing with JSAs/JSEA/safe work method statements</w:t>
      </w:r>
    </w:p>
    <w:p w:rsidR="00000000" w:rsidRPr="00C82DE0" w:rsidP="00C82DE0">
      <w:pPr>
        <w:pStyle w:val="AllowPageBreak"/>
      </w:pPr>
    </w:p>
    <w:p w:rsidR="00000000" w:rsidRPr="00C82DE0" w:rsidP="00C82DE0">
      <w:pPr>
        <w:pStyle w:val="Heading1"/>
      </w:pPr>
      <w:bookmarkStart w:id="4" w:name="O_672598"/>
      <w:bookmarkEnd w:id="4"/>
      <w:r w:rsidRPr="00C82DE0">
        <w:t>Assessment Conditions</w:t>
      </w:r>
    </w:p>
    <w:p w:rsidR="00000000" w:rsidRPr="00C82DE0" w:rsidP="0043603B">
      <w:pPr>
        <w:pStyle w:val="BodyText"/>
      </w:pPr>
      <w:r w:rsidRPr="00C82DE0">
        <w:t>An assessor of this unit must satisfy the requirements of the NVR/AQTF or their successors; and Industry regulations for certification and licensing; and,</w:t>
      </w:r>
    </w:p>
    <w:p w:rsidR="00000000" w:rsidRPr="00C82DE0" w:rsidP="00C82DE0">
      <w:pPr>
        <w:pStyle w:val="ListBullet"/>
      </w:pPr>
      <w:r w:rsidRPr="00C82DE0">
        <w:t>this unit must be assessed in the context of this sector’s wor</w:t>
      </w:r>
      <w:r w:rsidRPr="00C82DE0">
        <w:t>k environment; and,</w:t>
      </w:r>
    </w:p>
    <w:p w:rsidR="00000000" w:rsidRPr="00C82DE0" w:rsidP="00C82DE0">
      <w:pPr>
        <w:pStyle w:val="ListBullet"/>
      </w:pPr>
      <w:r w:rsidRPr="00C82DE0">
        <w:t>this unit must be assessed using Resources and Infrastructure Industry sector specific policies, procedures, processes and operational manuals; and,</w:t>
      </w:r>
    </w:p>
    <w:p w:rsidR="00000000" w:rsidRPr="00C82DE0" w:rsidP="00C82DE0">
      <w:pPr>
        <w:pStyle w:val="ListBullet"/>
      </w:pPr>
      <w:r w:rsidRPr="00C82DE0">
        <w:t>this unit must be assessed in compliance with relevant legislation/regulation and using</w:t>
      </w:r>
      <w:r w:rsidRPr="00C82DE0">
        <w:t xml:space="preserve"> policies, procedures, processes and operational manuals directly related to the industry sector for which it is being assessed; and,</w:t>
      </w:r>
    </w:p>
    <w:p w:rsidR="00000000" w:rsidRPr="00C82DE0" w:rsidP="00C82DE0">
      <w:pPr>
        <w:pStyle w:val="ListBullet"/>
      </w:pPr>
      <w:r w:rsidRPr="00C82DE0">
        <w:t>assessment may be conducted in conjunction with the assessment of other Units of Competency; and,</w:t>
      </w:r>
    </w:p>
    <w:p w:rsidR="00000000" w:rsidRPr="00C82DE0" w:rsidP="00C82DE0">
      <w:pPr>
        <w:pStyle w:val="ListBullet"/>
      </w:pPr>
      <w:r w:rsidRPr="00C82DE0">
        <w:t xml:space="preserve">assessment must confirm </w:t>
      </w:r>
      <w:r w:rsidRPr="00C82DE0">
        <w:t>consistent performance can be applied in a range of relevant workplace circumstances; and,</w:t>
      </w:r>
    </w:p>
    <w:p w:rsidR="00000000" w:rsidRPr="00C82DE0" w:rsidP="00C82DE0">
      <w:pPr>
        <w:pStyle w:val="ListBullet"/>
      </w:pPr>
      <w:r w:rsidRPr="00C82DE0">
        <w:t>assessors must demonstrate the performance evidence, and knowledge evidence as outlined in this Unit of Competency, and through the minimum years of current* work ex</w:t>
      </w:r>
      <w:r w:rsidRPr="00C82DE0">
        <w:t>perience specified below in an Industry sector relevant to the outcomes of the unit; or,</w:t>
      </w:r>
    </w:p>
    <w:p w:rsidR="00000000" w:rsidRPr="00C82DE0" w:rsidP="00C82DE0">
      <w:pPr>
        <w:pStyle w:val="ListBullet"/>
      </w:pPr>
      <w:r w:rsidRPr="00C82DE0">
        <w:t>where the assessor does not meet experience requirements a co-assessment or partnership arrangement must exist between the qualified assessor and an Industry subject m</w:t>
      </w:r>
      <w:r w:rsidRPr="00C82DE0">
        <w:t>atter expert. The Industry subject matter expert should hold the unit being assessed (or an equivalent unit) and/or demonstrate equivalence of skills and knowledge at the unit level. An Industry technical expert must also demonstrate skills and knowledge f</w:t>
      </w:r>
      <w:r w:rsidRPr="00C82DE0">
        <w:t>rom the minimum years of current work experience specified below in the Industry sector, including time spent in roles related to the unit being assessed; and,</w:t>
      </w:r>
    </w:p>
    <w:p w:rsidR="00000000" w:rsidRPr="00C82DE0" w:rsidP="00C82DE0">
      <w:pPr>
        <w:pStyle w:val="ListBullet"/>
      </w:pPr>
      <w:r w:rsidRPr="00C82DE0">
        <w:t>assessor and Industry subject matter expert requirements differ depending on the Australian Qual</w:t>
      </w:r>
      <w:r w:rsidRPr="00C82DE0">
        <w:t>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82D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Heading4"/>
              <w:rPr>
                <w:lang w:val="en-NZ"/>
              </w:rPr>
            </w:pPr>
            <w:r w:rsidRPr="00C82D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Heading4"/>
              <w:rPr>
                <w:lang w:val="en-NZ"/>
              </w:rPr>
            </w:pPr>
            <w:r w:rsidRPr="00C82DE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Heading4"/>
              <w:rPr>
                <w:lang w:val="en-NZ"/>
              </w:rPr>
            </w:pPr>
            <w:r w:rsidRPr="00C82DE0">
              <w:t>Required assessor or Industry subject matter expert experience</w:t>
            </w:r>
          </w:p>
        </w:tc>
      </w:tr>
      <w:tr w:rsidTr="00C82DE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1 Year</w:t>
            </w:r>
          </w:p>
        </w:tc>
      </w:tr>
      <w:tr w:rsidTr="00C82DE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2 Years</w:t>
            </w:r>
          </w:p>
        </w:tc>
      </w:tr>
      <w:tr w:rsidTr="00C82D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3 Years</w:t>
            </w:r>
          </w:p>
        </w:tc>
      </w:tr>
      <w:tr w:rsidTr="00C82D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5 Years</w:t>
            </w:r>
          </w:p>
        </w:tc>
      </w:tr>
      <w:tr w:rsidTr="00C82D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2DE0">
            <w:pPr>
              <w:pStyle w:val="BodyText"/>
              <w:rPr>
                <w:lang w:val="en-NZ"/>
              </w:rPr>
            </w:pPr>
            <w:r w:rsidRPr="00C82D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2DE0" w:rsidP="00C82DE0">
            <w:pPr>
              <w:pStyle w:val="BodyText"/>
            </w:pPr>
            <w:r w:rsidRPr="00C82DE0">
              <w:t>Where this Unit is being assessed outside of the Resources and Infrastructure Sectors assessor and/or Industry subject matter expert experience should be in-line with industry standards for the sector in which it is being assessed and where no Industry sta</w:t>
            </w:r>
            <w:r w:rsidRPr="00C82DE0">
              <w:t>ndard is specified should comply with any relevant regulation.</w:t>
            </w:r>
          </w:p>
        </w:tc>
      </w:tr>
    </w:tbl>
    <w:p w:rsidR="00000000" w:rsidRPr="00C82DE0" w:rsidP="0043603B">
      <w:pPr>
        <w:pStyle w:val="BodyText"/>
      </w:pPr>
      <w:r w:rsidRPr="00C82DE0">
        <w:t>*Assessors can demonstrate current work experience through employment within Industry in a role relevant to the outcomes of the Unit; or, for external assessors this can be demonstrated throu</w:t>
      </w:r>
      <w:r w:rsidRPr="00C82DE0">
        <w:t>gh exposure to Industry by conducting frequent site assessments across various locations.</w:t>
      </w:r>
    </w:p>
    <w:p w:rsidR="00000000" w:rsidRPr="00C82DE0" w:rsidP="0043603B">
      <w:pPr>
        <w:pStyle w:val="BodyText"/>
      </w:pPr>
      <w:r w:rsidRPr="00C82DE0">
        <w:t>**Where a unit is being delivered outside of a Qualification the first numeric character in the Unit code should be considered to indicate the AQF level</w:t>
      </w:r>
    </w:p>
    <w:p w:rsidR="00000000" w:rsidRPr="00C82DE0" w:rsidP="00C82DE0">
      <w:pPr>
        <w:pStyle w:val="Heading1"/>
      </w:pPr>
      <w:bookmarkStart w:id="5" w:name="O_672610"/>
      <w:bookmarkEnd w:id="5"/>
      <w:r w:rsidRPr="00C82DE0">
        <w:t>Links</w:t>
      </w:r>
    </w:p>
    <w:p w:rsidR="00000000" w:rsidRPr="00C82DE0" w:rsidP="0043603B">
      <w:pPr>
        <w:pStyle w:val="BodyText"/>
      </w:pPr>
      <w:r w:rsidRPr="00C82D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4397E">
        <w:rPr>
          <w:rStyle w:val="Hyperlink"/>
        </w:rPr>
        <w:t>https://vetnet.gov.au/Pages/TrainingDocs.aspx?q=88a61002-9a21-4386-aaf8-69c76e675272</w:t>
      </w:r>
      <w:r>
        <w:fldChar w:fldCharType="end"/>
      </w:r>
    </w:p>
    <w:p w:rsidR="00000000" w:rsidRPr="00C82DE0" w:rsidP="00C82DE0"/>
    <w:sectPr w:rsidSect="00C82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E0" w:rsidRPr="0043603B" w:rsidP="00436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3B" w:rsidP="00C82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03B" w:rsidP="00C82D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3603B" w:rsidP="00C82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DE0" w:rsidRPr="0043603B" w:rsidP="00436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3B" w:rsidRPr="002D2AF8" w:rsidP="00C82DE0">
    <w:pPr>
      <w:pStyle w:val="Header"/>
      <w:framePr w:wrap="around"/>
    </w:pPr>
    <w:r>
      <w:fldChar w:fldCharType="begin"/>
    </w:r>
    <w:r>
      <w:instrText xml:space="preserve"> TITLE   \* MERGEFORMAT </w:instrText>
    </w:r>
    <w:r>
      <w:fldChar w:fldCharType="separate"/>
    </w:r>
    <w:r>
      <w:t>Assessment Requirements for RIICBS307D Conduct bitumen sprayer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43603B" w:rsidP="00C82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C6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CC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22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DE0"/>
    <w:pPr>
      <w:spacing w:before="360" w:after="60"/>
      <w:outlineLvl w:val="0"/>
    </w:pPr>
    <w:rPr>
      <w:sz w:val="32"/>
    </w:rPr>
  </w:style>
  <w:style w:type="paragraph" w:styleId="Heading2">
    <w:name w:val="heading 2"/>
    <w:basedOn w:val="HeadingBase"/>
    <w:next w:val="BodyText"/>
    <w:link w:val="Heading2Char"/>
    <w:qFormat/>
    <w:rsid w:val="00C82DE0"/>
    <w:pPr>
      <w:keepLines/>
      <w:spacing w:before="240" w:after="120"/>
      <w:outlineLvl w:val="1"/>
    </w:pPr>
    <w:rPr>
      <w:sz w:val="28"/>
      <w:szCs w:val="40"/>
    </w:rPr>
  </w:style>
  <w:style w:type="paragraph" w:styleId="Heading3">
    <w:name w:val="heading 3"/>
    <w:basedOn w:val="HeadingBase"/>
    <w:next w:val="BodyText"/>
    <w:link w:val="Heading3Char"/>
    <w:qFormat/>
    <w:rsid w:val="00C82DE0"/>
    <w:pPr>
      <w:spacing w:before="180" w:after="120"/>
      <w:outlineLvl w:val="2"/>
    </w:pPr>
    <w:rPr>
      <w:spacing w:val="-10"/>
      <w:kern w:val="32"/>
    </w:rPr>
  </w:style>
  <w:style w:type="paragraph" w:styleId="Heading4">
    <w:name w:val="heading 4"/>
    <w:basedOn w:val="HeadingBase"/>
    <w:next w:val="BodyText"/>
    <w:link w:val="Heading4Char"/>
    <w:qFormat/>
    <w:rsid w:val="00C82DE0"/>
    <w:pPr>
      <w:spacing w:before="160" w:after="120"/>
      <w:outlineLvl w:val="3"/>
    </w:pPr>
    <w:rPr>
      <w:sz w:val="22"/>
    </w:rPr>
  </w:style>
  <w:style w:type="paragraph" w:styleId="Heading5">
    <w:name w:val="heading 5"/>
    <w:basedOn w:val="HeadingBase"/>
    <w:next w:val="Normal"/>
    <w:link w:val="Heading5Char"/>
    <w:qFormat/>
    <w:rsid w:val="00C82DE0"/>
    <w:pPr>
      <w:spacing w:before="80"/>
      <w:outlineLvl w:val="4"/>
    </w:pPr>
    <w:rPr>
      <w:color w:val="918585"/>
      <w:sz w:val="20"/>
    </w:rPr>
  </w:style>
  <w:style w:type="paragraph" w:styleId="Heading6">
    <w:name w:val="heading 6"/>
    <w:basedOn w:val="HeadingBase"/>
    <w:next w:val="Normal"/>
    <w:link w:val="Heading6Char"/>
    <w:qFormat/>
    <w:rsid w:val="00C82DE0"/>
    <w:pPr>
      <w:spacing w:before="60"/>
      <w:outlineLvl w:val="5"/>
    </w:pPr>
    <w:rPr>
      <w:color w:val="918585"/>
      <w:sz w:val="20"/>
    </w:rPr>
  </w:style>
  <w:style w:type="paragraph" w:styleId="Heading7">
    <w:name w:val="heading 7"/>
    <w:basedOn w:val="Normal"/>
    <w:next w:val="Normal"/>
    <w:link w:val="Heading7Char"/>
    <w:qFormat/>
    <w:rsid w:val="00C82DE0"/>
    <w:pPr>
      <w:ind w:left="720"/>
      <w:outlineLvl w:val="6"/>
    </w:pPr>
    <w:rPr>
      <w:i/>
    </w:rPr>
  </w:style>
  <w:style w:type="paragraph" w:styleId="Heading8">
    <w:name w:val="heading 8"/>
    <w:basedOn w:val="Normal"/>
    <w:next w:val="Normal"/>
    <w:link w:val="Heading8Char"/>
    <w:qFormat/>
    <w:rsid w:val="00C82DE0"/>
    <w:pPr>
      <w:ind w:left="720"/>
      <w:outlineLvl w:val="7"/>
    </w:pPr>
    <w:rPr>
      <w:i/>
    </w:rPr>
  </w:style>
  <w:style w:type="paragraph" w:styleId="Heading9">
    <w:name w:val="heading 9"/>
    <w:basedOn w:val="Normal"/>
    <w:next w:val="Normal"/>
    <w:link w:val="Heading9Char"/>
    <w:qFormat/>
    <w:rsid w:val="00C82DE0"/>
    <w:pPr>
      <w:ind w:left="720"/>
      <w:outlineLvl w:val="8"/>
    </w:pPr>
    <w:rPr>
      <w:i/>
    </w:rPr>
  </w:style>
  <w:style w:type="character" w:default="1" w:styleId="DefaultParagraphFont">
    <w:name w:val="Default Paragraph Font"/>
    <w:uiPriority w:val="1"/>
    <w:unhideWhenUsed/>
    <w:rsid w:val="00C82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DE0"/>
  </w:style>
  <w:style w:type="character" w:customStyle="1" w:styleId="Heading1Char">
    <w:name w:val="Heading 1 Char"/>
    <w:basedOn w:val="DefaultParagraphFont"/>
    <w:link w:val="Heading1"/>
    <w:rsid w:val="00C82D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2DE0"/>
    <w:rPr>
      <w:rFonts w:ascii="Times New Roman" w:eastAsia="Times New Roman" w:hAnsi="Times New Roman" w:cs="Times New Roman"/>
      <w:b/>
      <w:szCs w:val="20"/>
      <w:lang w:eastAsia="en-US"/>
    </w:rPr>
  </w:style>
  <w:style w:type="paragraph" w:styleId="BodyText">
    <w:name w:val="Body Text"/>
    <w:basedOn w:val="Normal"/>
    <w:link w:val="BodyTextChar"/>
    <w:rsid w:val="00C82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DE0"/>
    <w:rPr>
      <w:rFonts w:ascii="Times New Roman" w:eastAsia="Times New Roman" w:hAnsi="Times New Roman" w:cs="Times New Roman"/>
      <w:sz w:val="24"/>
      <w:lang w:eastAsia="en-US"/>
    </w:rPr>
  </w:style>
  <w:style w:type="paragraph" w:styleId="ListBullet">
    <w:name w:val="List Bullet"/>
    <w:basedOn w:val="List"/>
    <w:rsid w:val="00C82DE0"/>
    <w:pPr>
      <w:numPr>
        <w:numId w:val="12"/>
      </w:numPr>
      <w:tabs>
        <w:tab w:val="clear" w:pos="340"/>
      </w:tabs>
      <w:spacing w:before="40" w:after="40"/>
    </w:pPr>
  </w:style>
  <w:style w:type="paragraph" w:styleId="ListBullet2">
    <w:name w:val="List Bullet 2"/>
    <w:basedOn w:val="List2"/>
    <w:rsid w:val="00C82DE0"/>
    <w:pPr>
      <w:numPr>
        <w:numId w:val="13"/>
      </w:numPr>
      <w:tabs>
        <w:tab w:val="clear" w:pos="680"/>
      </w:tabs>
    </w:pPr>
  </w:style>
  <w:style w:type="paragraph" w:customStyle="1" w:styleId="SuperHeading">
    <w:name w:val="SuperHeading"/>
    <w:basedOn w:val="Normal"/>
    <w:rsid w:val="00C82DE0"/>
    <w:pPr>
      <w:spacing w:before="240" w:after="120"/>
      <w:outlineLvl w:val="0"/>
    </w:pPr>
    <w:rPr>
      <w:rFonts w:ascii="Times New Roman" w:hAnsi="Times New Roman"/>
      <w:b/>
      <w:sz w:val="32"/>
    </w:rPr>
  </w:style>
  <w:style w:type="paragraph" w:customStyle="1" w:styleId="AllowPageBreak">
    <w:name w:val="AllowPageBreak"/>
    <w:rsid w:val="00C82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D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2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DE0"/>
    <w:rPr>
      <w:rFonts w:ascii="Courier New" w:eastAsia="Times New Roman" w:hAnsi="Courier New" w:cs="Times New Roman"/>
      <w:i/>
      <w:szCs w:val="20"/>
      <w:lang w:eastAsia="en-US"/>
    </w:rPr>
  </w:style>
  <w:style w:type="paragraph" w:customStyle="1" w:styleId="HeadingBase">
    <w:name w:val="Heading Base"/>
    <w:rsid w:val="00C82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DE0"/>
    <w:pPr>
      <w:tabs>
        <w:tab w:val="right" w:leader="dot" w:pos="9072"/>
      </w:tabs>
      <w:ind w:left="567"/>
    </w:pPr>
    <w:rPr>
      <w:szCs w:val="22"/>
    </w:rPr>
  </w:style>
  <w:style w:type="paragraph" w:customStyle="1" w:styleId="TOCBase">
    <w:name w:val="TOC Base"/>
    <w:rsid w:val="00C82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DE0"/>
    <w:pPr>
      <w:tabs>
        <w:tab w:val="right" w:leader="dot" w:pos="9072"/>
      </w:tabs>
      <w:spacing w:before="40" w:after="40"/>
      <w:ind w:left="284"/>
    </w:pPr>
    <w:rPr>
      <w:rFonts w:ascii="Times New Roman" w:hAnsi="Times New Roman"/>
    </w:rPr>
  </w:style>
  <w:style w:type="paragraph" w:styleId="TOC1">
    <w:name w:val="toc 1"/>
    <w:basedOn w:val="TOCBase"/>
    <w:next w:val="Normal"/>
    <w:rsid w:val="00C82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DE0"/>
    <w:rPr>
      <w:rFonts w:ascii="Times New Roman" w:eastAsia="Times New Roman" w:hAnsi="Times New Roman" w:cs="Times New Roman"/>
      <w:sz w:val="16"/>
      <w:lang w:eastAsia="en-US"/>
    </w:rPr>
  </w:style>
  <w:style w:type="paragraph" w:styleId="Title">
    <w:name w:val="Title"/>
    <w:basedOn w:val="HeadingBase"/>
    <w:link w:val="TitleChar"/>
    <w:qFormat/>
    <w:rsid w:val="00C82DE0"/>
    <w:pPr>
      <w:spacing w:before="5040"/>
      <w:jc w:val="center"/>
    </w:pPr>
    <w:rPr>
      <w:sz w:val="48"/>
      <w:szCs w:val="72"/>
      <w:lang w:val="en-US"/>
    </w:rPr>
  </w:style>
  <w:style w:type="character" w:customStyle="1" w:styleId="TitleChar">
    <w:name w:val="Title Char"/>
    <w:basedOn w:val="DefaultParagraphFont"/>
    <w:link w:val="Title"/>
    <w:rsid w:val="00C82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DE0"/>
    <w:pPr>
      <w:tabs>
        <w:tab w:val="left" w:pos="3600"/>
        <w:tab w:val="left" w:pos="3958"/>
      </w:tabs>
    </w:pPr>
  </w:style>
  <w:style w:type="paragraph" w:styleId="List">
    <w:name w:val="List"/>
    <w:basedOn w:val="BodyText"/>
    <w:next w:val="BodyText"/>
    <w:rsid w:val="00C82DE0"/>
    <w:pPr>
      <w:tabs>
        <w:tab w:val="left" w:pos="340"/>
      </w:tabs>
      <w:spacing w:before="60" w:after="60"/>
      <w:ind w:left="340" w:hanging="340"/>
    </w:pPr>
  </w:style>
  <w:style w:type="paragraph" w:customStyle="1" w:styleId="Note">
    <w:name w:val="Note"/>
    <w:basedOn w:val="BodyText"/>
    <w:rsid w:val="00C82D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DE0"/>
    <w:rPr>
      <w:b/>
      <w:spacing w:val="0"/>
    </w:rPr>
  </w:style>
  <w:style w:type="paragraph" w:customStyle="1" w:styleId="SuperTitle">
    <w:name w:val="SuperTitle"/>
    <w:basedOn w:val="Title"/>
    <w:rsid w:val="00C82DE0"/>
    <w:pPr>
      <w:framePr w:wrap="auto" w:hAnchor="text" w:y="6049"/>
    </w:pPr>
    <w:rPr>
      <w:color w:val="000000"/>
      <w:sz w:val="40"/>
    </w:rPr>
  </w:style>
  <w:style w:type="paragraph" w:customStyle="1" w:styleId="TOCTitle">
    <w:name w:val="TOCTitle"/>
    <w:basedOn w:val="Heading1"/>
    <w:rsid w:val="00C82DE0"/>
    <w:pPr>
      <w:spacing w:after="240"/>
      <w:jc w:val="center"/>
      <w:outlineLvl w:val="9"/>
    </w:pPr>
    <w:rPr>
      <w:caps/>
    </w:rPr>
  </w:style>
  <w:style w:type="paragraph" w:customStyle="1" w:styleId="Version">
    <w:name w:val="Version"/>
    <w:rsid w:val="00C82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DE0"/>
    <w:pPr>
      <w:keepNext w:val="0"/>
      <w:tabs>
        <w:tab w:val="right" w:pos="4176"/>
      </w:tabs>
      <w:ind w:left="198" w:hanging="198"/>
    </w:pPr>
    <w:rPr>
      <w:rFonts w:ascii="Garamond" w:hAnsi="Garamond"/>
    </w:rPr>
  </w:style>
  <w:style w:type="paragraph" w:styleId="IndexHeading">
    <w:name w:val="index heading"/>
    <w:basedOn w:val="Normal"/>
    <w:next w:val="Index1"/>
    <w:semiHidden/>
    <w:rsid w:val="00C82DE0"/>
    <w:pPr>
      <w:spacing w:before="120" w:after="120"/>
    </w:pPr>
    <w:rPr>
      <w:rFonts w:ascii="Arial" w:hAnsi="Arial"/>
      <w:b/>
      <w:color w:val="918585"/>
      <w:sz w:val="24"/>
    </w:rPr>
  </w:style>
  <w:style w:type="paragraph" w:styleId="Header">
    <w:name w:val="header"/>
    <w:basedOn w:val="Normal"/>
    <w:link w:val="HeaderChar"/>
    <w:rsid w:val="00C82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DE0"/>
    <w:rPr>
      <w:rFonts w:ascii="Times New Roman" w:eastAsia="Times New Roman" w:hAnsi="Times New Roman" w:cs="Times New Roman"/>
      <w:sz w:val="16"/>
      <w:szCs w:val="20"/>
      <w:lang w:val="en-GB" w:eastAsia="en-US"/>
    </w:rPr>
  </w:style>
  <w:style w:type="paragraph" w:customStyle="1" w:styleId="Chapter">
    <w:name w:val="Chapter"/>
    <w:basedOn w:val="Normal"/>
    <w:rsid w:val="00C82DE0"/>
    <w:pPr>
      <w:spacing w:before="240"/>
    </w:pPr>
    <w:rPr>
      <w:rFonts w:ascii="Times New Roman" w:hAnsi="Times New Roman"/>
      <w:smallCaps/>
      <w:spacing w:val="80"/>
      <w:sz w:val="28"/>
    </w:rPr>
  </w:style>
  <w:style w:type="paragraph" w:customStyle="1" w:styleId="InChapter">
    <w:name w:val="InChapter"/>
    <w:basedOn w:val="Heading3"/>
    <w:rsid w:val="00C82DE0"/>
    <w:pPr>
      <w:spacing w:after="240"/>
      <w:outlineLvl w:val="9"/>
    </w:pPr>
    <w:rPr>
      <w:noProof/>
    </w:rPr>
  </w:style>
  <w:style w:type="paragraph" w:styleId="Index2">
    <w:name w:val="index 2"/>
    <w:basedOn w:val="Normal"/>
    <w:next w:val="Normal"/>
    <w:semiHidden/>
    <w:rsid w:val="00C82DE0"/>
    <w:pPr>
      <w:tabs>
        <w:tab w:val="right" w:pos="4176"/>
      </w:tabs>
      <w:ind w:left="568" w:hanging="284"/>
    </w:pPr>
    <w:rPr>
      <w:rFonts w:ascii="Garamond" w:hAnsi="Garamond"/>
    </w:rPr>
  </w:style>
  <w:style w:type="paragraph" w:customStyle="1" w:styleId="Byline">
    <w:name w:val="Byline"/>
    <w:rsid w:val="00C82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DE0"/>
    <w:pPr>
      <w:tabs>
        <w:tab w:val="clear" w:pos="3600"/>
        <w:tab w:val="clear" w:pos="3958"/>
      </w:tabs>
      <w:jc w:val="right"/>
    </w:pPr>
  </w:style>
  <w:style w:type="character" w:styleId="Emphasis">
    <w:name w:val="Emphasis"/>
    <w:basedOn w:val="DefaultParagraphFont"/>
    <w:qFormat/>
    <w:rsid w:val="00C82DE0"/>
    <w:rPr>
      <w:i/>
    </w:rPr>
  </w:style>
  <w:style w:type="paragraph" w:styleId="Caption">
    <w:name w:val="caption"/>
    <w:basedOn w:val="BodyText"/>
    <w:next w:val="Normal"/>
    <w:qFormat/>
    <w:rsid w:val="00C82DE0"/>
    <w:pPr>
      <w:framePr w:w="2268" w:hSpace="181" w:vSpace="181" w:wrap="around" w:vAnchor="text" w:hAnchor="page" w:x="1135" w:y="285" w:anchorLock="1"/>
    </w:pPr>
    <w:rPr>
      <w:i/>
    </w:rPr>
  </w:style>
  <w:style w:type="paragraph" w:customStyle="1" w:styleId="MiniTOCTitle">
    <w:name w:val="MiniTOCTitle"/>
    <w:basedOn w:val="Heading4"/>
    <w:rsid w:val="00C82DE0"/>
    <w:pPr>
      <w:spacing w:before="240"/>
      <w:outlineLvl w:val="9"/>
    </w:pPr>
    <w:rPr>
      <w:noProof/>
      <w:sz w:val="24"/>
    </w:rPr>
  </w:style>
  <w:style w:type="paragraph" w:customStyle="1" w:styleId="MiniTOCItem">
    <w:name w:val="MiniTOCItem"/>
    <w:basedOn w:val="ListBullet"/>
    <w:rsid w:val="00C82DE0"/>
    <w:pPr>
      <w:numPr>
        <w:numId w:val="0"/>
      </w:numPr>
      <w:tabs>
        <w:tab w:val="right" w:leader="dot" w:pos="6521"/>
      </w:tabs>
      <w:spacing w:before="0" w:after="0"/>
    </w:pPr>
  </w:style>
  <w:style w:type="paragraph" w:customStyle="1" w:styleId="TOFTitle">
    <w:name w:val="TOFTitle"/>
    <w:basedOn w:val="TOCTitle"/>
    <w:rsid w:val="00C82DE0"/>
  </w:style>
  <w:style w:type="paragraph" w:styleId="TableofFigures">
    <w:name w:val="table of figures"/>
    <w:basedOn w:val="Normal"/>
    <w:next w:val="Normal"/>
    <w:semiHidden/>
    <w:rsid w:val="00C82DE0"/>
    <w:pPr>
      <w:tabs>
        <w:tab w:val="right" w:leader="dot" w:pos="9072"/>
      </w:tabs>
      <w:ind w:left="970" w:hanging="403"/>
    </w:pPr>
    <w:rPr>
      <w:rFonts w:ascii="Times New Roman" w:hAnsi="Times New Roman"/>
      <w:b/>
    </w:rPr>
  </w:style>
  <w:style w:type="paragraph" w:styleId="ListNumber">
    <w:name w:val="List Number"/>
    <w:basedOn w:val="List"/>
    <w:rsid w:val="00C82DE0"/>
    <w:pPr>
      <w:numPr>
        <w:numId w:val="15"/>
      </w:numPr>
      <w:tabs>
        <w:tab w:val="clear" w:pos="340"/>
      </w:tabs>
    </w:pPr>
  </w:style>
  <w:style w:type="character" w:customStyle="1" w:styleId="WingdingSymbols">
    <w:name w:val="Wingding Symbols"/>
    <w:rsid w:val="00C82DE0"/>
    <w:rPr>
      <w:rFonts w:ascii="Wingdings" w:hAnsi="Wingdings"/>
    </w:rPr>
  </w:style>
  <w:style w:type="paragraph" w:customStyle="1" w:styleId="TableHeading">
    <w:name w:val="Table Heading"/>
    <w:basedOn w:val="HeadingBase"/>
    <w:rsid w:val="00C82DE0"/>
    <w:pPr>
      <w:keepLines/>
      <w:pBdr>
        <w:bottom w:val="single" w:sz="6" w:space="1" w:color="918585"/>
      </w:pBdr>
      <w:spacing w:before="240"/>
    </w:pPr>
  </w:style>
  <w:style w:type="character" w:customStyle="1" w:styleId="HotSpot">
    <w:name w:val="HotSpot"/>
    <w:rsid w:val="00C82DE0"/>
    <w:rPr>
      <w:color w:val="0033CC"/>
      <w:u w:val="none"/>
    </w:rPr>
  </w:style>
  <w:style w:type="paragraph" w:customStyle="1" w:styleId="BodyTextRight">
    <w:name w:val="Body Text Right"/>
    <w:basedOn w:val="BodyText"/>
    <w:rsid w:val="00C82DE0"/>
    <w:pPr>
      <w:spacing w:before="0" w:after="0"/>
      <w:jc w:val="right"/>
    </w:pPr>
  </w:style>
  <w:style w:type="paragraph" w:styleId="Index3">
    <w:name w:val="index 3"/>
    <w:basedOn w:val="ListNumber2"/>
    <w:next w:val="Normal"/>
    <w:semiHidden/>
    <w:rsid w:val="00C82DE0"/>
    <w:pPr>
      <w:numPr>
        <w:numId w:val="0"/>
      </w:numPr>
      <w:tabs>
        <w:tab w:val="right" w:leader="dot" w:pos="4176"/>
      </w:tabs>
    </w:pPr>
  </w:style>
  <w:style w:type="paragraph" w:styleId="ListNumber2">
    <w:name w:val="List Number 2"/>
    <w:basedOn w:val="List2"/>
    <w:rsid w:val="00C82DE0"/>
    <w:pPr>
      <w:numPr>
        <w:numId w:val="10"/>
      </w:numPr>
      <w:tabs>
        <w:tab w:val="clear" w:pos="1060"/>
      </w:tabs>
    </w:pPr>
  </w:style>
  <w:style w:type="paragraph" w:customStyle="1" w:styleId="MarginNote">
    <w:name w:val="Margin Note"/>
    <w:basedOn w:val="BodyText"/>
    <w:rsid w:val="00C82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DE0"/>
    <w:rPr>
      <w:sz w:val="32"/>
    </w:rPr>
  </w:style>
  <w:style w:type="paragraph" w:customStyle="1" w:styleId="HeadingProcedure">
    <w:name w:val="Heading Procedure"/>
    <w:basedOn w:val="HeadingBase"/>
    <w:next w:val="Normal"/>
    <w:rsid w:val="00C82DE0"/>
    <w:pPr>
      <w:tabs>
        <w:tab w:val="left" w:pos="0"/>
      </w:tabs>
      <w:spacing w:before="120" w:after="60"/>
    </w:pPr>
    <w:rPr>
      <w:i/>
      <w:color w:val="918585"/>
      <w:sz w:val="22"/>
    </w:rPr>
  </w:style>
  <w:style w:type="paragraph" w:customStyle="1" w:styleId="TableBodyText">
    <w:name w:val="Table Body Text"/>
    <w:basedOn w:val="BodyText"/>
    <w:rsid w:val="00C82DE0"/>
    <w:pPr>
      <w:spacing w:before="60" w:after="60"/>
    </w:pPr>
  </w:style>
  <w:style w:type="paragraph" w:styleId="ListContinue">
    <w:name w:val="List Continue"/>
    <w:basedOn w:val="List"/>
    <w:rsid w:val="00C82DE0"/>
    <w:pPr>
      <w:ind w:firstLine="0"/>
    </w:pPr>
  </w:style>
  <w:style w:type="paragraph" w:customStyle="1" w:styleId="ListNote">
    <w:name w:val="List Note"/>
    <w:basedOn w:val="List"/>
    <w:rsid w:val="00C82DE0"/>
    <w:pPr>
      <w:pBdr>
        <w:top w:val="single" w:sz="6" w:space="2" w:color="918585"/>
        <w:bottom w:val="single" w:sz="6" w:space="2" w:color="918585"/>
      </w:pBdr>
      <w:tabs>
        <w:tab w:val="left" w:pos="1021"/>
      </w:tabs>
      <w:ind w:firstLine="0"/>
    </w:pPr>
  </w:style>
  <w:style w:type="paragraph" w:customStyle="1" w:styleId="Warning">
    <w:name w:val="Warning"/>
    <w:basedOn w:val="BodyText"/>
    <w:rsid w:val="00C82DE0"/>
    <w:pPr>
      <w:shd w:val="clear" w:color="auto" w:fill="D9D9D9"/>
      <w:tabs>
        <w:tab w:val="left" w:pos="992"/>
      </w:tabs>
      <w:ind w:left="119" w:right="119"/>
    </w:pPr>
    <w:rPr>
      <w:sz w:val="20"/>
    </w:rPr>
  </w:style>
  <w:style w:type="paragraph" w:customStyle="1" w:styleId="MarginIcons">
    <w:name w:val="Margin Icons"/>
    <w:basedOn w:val="BodyText"/>
    <w:rsid w:val="00C82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DE0"/>
    <w:rPr>
      <w:rFonts w:ascii="Courier New" w:hAnsi="Courier New"/>
    </w:rPr>
  </w:style>
  <w:style w:type="paragraph" w:customStyle="1" w:styleId="NoteBullet">
    <w:name w:val="Note Bullet"/>
    <w:basedOn w:val="Note"/>
    <w:rsid w:val="00C82DE0"/>
    <w:pPr>
      <w:tabs>
        <w:tab w:val="clear" w:pos="680"/>
      </w:tabs>
      <w:spacing w:before="60" w:after="60"/>
    </w:pPr>
  </w:style>
  <w:style w:type="paragraph" w:customStyle="1" w:styleId="SubHeading2">
    <w:name w:val="SubHeading2"/>
    <w:basedOn w:val="HeadingBase"/>
    <w:rsid w:val="00C82DE0"/>
    <w:pPr>
      <w:spacing w:before="240" w:after="60"/>
    </w:pPr>
    <w:rPr>
      <w:sz w:val="20"/>
    </w:rPr>
  </w:style>
  <w:style w:type="paragraph" w:customStyle="1" w:styleId="SubHeading1">
    <w:name w:val="SubHeading1"/>
    <w:basedOn w:val="HeadingBase"/>
    <w:rsid w:val="00C82DE0"/>
    <w:pPr>
      <w:spacing w:before="240" w:after="60"/>
    </w:pPr>
    <w:rPr>
      <w:color w:val="918585"/>
      <w:sz w:val="22"/>
    </w:rPr>
  </w:style>
  <w:style w:type="paragraph" w:customStyle="1" w:styleId="SideHeading">
    <w:name w:val="Side Heading"/>
    <w:basedOn w:val="HeadingBase"/>
    <w:rsid w:val="00C82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DE0"/>
    <w:pPr>
      <w:tabs>
        <w:tab w:val="num" w:pos="360"/>
      </w:tabs>
    </w:pPr>
  </w:style>
  <w:style w:type="paragraph" w:styleId="PlainText">
    <w:name w:val="Plain Text"/>
    <w:basedOn w:val="Normal"/>
    <w:link w:val="PlainTextChar"/>
    <w:rsid w:val="00C82DE0"/>
    <w:rPr>
      <w:sz w:val="20"/>
    </w:rPr>
  </w:style>
  <w:style w:type="character" w:customStyle="1" w:styleId="PlainTextChar">
    <w:name w:val="Plain Text Char"/>
    <w:basedOn w:val="DefaultParagraphFont"/>
    <w:link w:val="PlainText"/>
    <w:rsid w:val="00C82DE0"/>
    <w:rPr>
      <w:rFonts w:ascii="Courier New" w:eastAsia="Times New Roman" w:hAnsi="Courier New" w:cs="Times New Roman"/>
      <w:sz w:val="20"/>
      <w:szCs w:val="20"/>
      <w:lang w:eastAsia="en-US"/>
    </w:rPr>
  </w:style>
  <w:style w:type="character" w:customStyle="1" w:styleId="MenuOption">
    <w:name w:val="Menu Option"/>
    <w:basedOn w:val="DefaultParagraphFont"/>
    <w:rsid w:val="00C82DE0"/>
    <w:rPr>
      <w:b/>
      <w:smallCaps/>
    </w:rPr>
  </w:style>
  <w:style w:type="paragraph" w:customStyle="1" w:styleId="TableListNumber">
    <w:name w:val="Table List Number"/>
    <w:basedOn w:val="ListNumber"/>
    <w:rsid w:val="00C82DE0"/>
    <w:pPr>
      <w:numPr>
        <w:numId w:val="0"/>
      </w:numPr>
    </w:pPr>
  </w:style>
  <w:style w:type="paragraph" w:styleId="TOC4">
    <w:name w:val="toc 4"/>
    <w:basedOn w:val="TOCBase"/>
    <w:next w:val="Normal"/>
    <w:semiHidden/>
    <w:rsid w:val="00C82DE0"/>
    <w:pPr>
      <w:tabs>
        <w:tab w:val="right" w:leader="dot" w:pos="9071"/>
      </w:tabs>
      <w:ind w:left="1701"/>
    </w:pPr>
  </w:style>
  <w:style w:type="paragraph" w:customStyle="1" w:styleId="ListAlpha">
    <w:name w:val="List Alpha"/>
    <w:basedOn w:val="List"/>
    <w:rsid w:val="00C82DE0"/>
    <w:pPr>
      <w:numPr>
        <w:numId w:val="9"/>
      </w:numPr>
    </w:pPr>
  </w:style>
  <w:style w:type="paragraph" w:customStyle="1" w:styleId="ListAlpha2">
    <w:name w:val="List Alpha 2"/>
    <w:basedOn w:val="List2"/>
    <w:rsid w:val="00C82DE0"/>
    <w:pPr>
      <w:numPr>
        <w:numId w:val="8"/>
      </w:numPr>
    </w:pPr>
  </w:style>
  <w:style w:type="paragraph" w:styleId="List2">
    <w:name w:val="List 2"/>
    <w:basedOn w:val="BodyText"/>
    <w:rsid w:val="00C82DE0"/>
    <w:pPr>
      <w:tabs>
        <w:tab w:val="left" w:pos="680"/>
      </w:tabs>
      <w:spacing w:before="60" w:after="60"/>
      <w:ind w:left="680" w:hanging="340"/>
    </w:pPr>
  </w:style>
  <w:style w:type="paragraph" w:styleId="List3">
    <w:name w:val="List 3"/>
    <w:basedOn w:val="BodyText"/>
    <w:rsid w:val="00C82DE0"/>
    <w:pPr>
      <w:tabs>
        <w:tab w:val="left" w:pos="1021"/>
      </w:tabs>
      <w:spacing w:before="60" w:after="60"/>
      <w:ind w:left="1020" w:hanging="340"/>
    </w:pPr>
  </w:style>
  <w:style w:type="paragraph" w:styleId="List4">
    <w:name w:val="List 4"/>
    <w:basedOn w:val="BodyText"/>
    <w:rsid w:val="00C82DE0"/>
    <w:pPr>
      <w:tabs>
        <w:tab w:val="left" w:pos="1361"/>
      </w:tabs>
      <w:spacing w:before="60" w:after="60"/>
      <w:ind w:left="1361" w:hanging="340"/>
    </w:pPr>
  </w:style>
  <w:style w:type="paragraph" w:styleId="List5">
    <w:name w:val="List 5"/>
    <w:basedOn w:val="BodyText"/>
    <w:rsid w:val="00C82DE0"/>
    <w:pPr>
      <w:tabs>
        <w:tab w:val="left" w:pos="1701"/>
      </w:tabs>
      <w:spacing w:before="60" w:after="60"/>
      <w:ind w:left="1701" w:hanging="340"/>
    </w:pPr>
  </w:style>
  <w:style w:type="paragraph" w:styleId="ListBullet3">
    <w:name w:val="List Bullet 3"/>
    <w:basedOn w:val="List3"/>
    <w:rsid w:val="00C82DE0"/>
    <w:pPr>
      <w:numPr>
        <w:numId w:val="14"/>
      </w:numPr>
      <w:tabs>
        <w:tab w:val="clear" w:pos="1021"/>
      </w:tabs>
      <w:ind w:left="1037" w:hanging="357"/>
    </w:pPr>
  </w:style>
  <w:style w:type="paragraph" w:styleId="ListBullet4">
    <w:name w:val="List Bullet 4"/>
    <w:basedOn w:val="List4"/>
    <w:rsid w:val="00C82DE0"/>
    <w:pPr>
      <w:numPr>
        <w:numId w:val="3"/>
      </w:numPr>
      <w:tabs>
        <w:tab w:val="clear" w:pos="1361"/>
      </w:tabs>
    </w:pPr>
  </w:style>
  <w:style w:type="paragraph" w:styleId="ListBullet5">
    <w:name w:val="List Bullet 5"/>
    <w:basedOn w:val="List5"/>
    <w:rsid w:val="00C82DE0"/>
    <w:pPr>
      <w:numPr>
        <w:numId w:val="4"/>
      </w:numPr>
    </w:pPr>
  </w:style>
  <w:style w:type="paragraph" w:styleId="ListContinue2">
    <w:name w:val="List Continue 2"/>
    <w:basedOn w:val="List2"/>
    <w:rsid w:val="00C82DE0"/>
    <w:pPr>
      <w:ind w:firstLine="0"/>
    </w:pPr>
  </w:style>
  <w:style w:type="paragraph" w:styleId="ListContinue3">
    <w:name w:val="List Continue 3"/>
    <w:basedOn w:val="List3"/>
    <w:rsid w:val="00C82DE0"/>
    <w:pPr>
      <w:ind w:left="1021" w:firstLine="0"/>
    </w:pPr>
  </w:style>
  <w:style w:type="paragraph" w:styleId="ListContinue4">
    <w:name w:val="List Continue 4"/>
    <w:basedOn w:val="List4"/>
    <w:rsid w:val="00C82DE0"/>
    <w:pPr>
      <w:ind w:firstLine="0"/>
    </w:pPr>
  </w:style>
  <w:style w:type="paragraph" w:styleId="ListContinue5">
    <w:name w:val="List Continue 5"/>
    <w:basedOn w:val="List5"/>
    <w:rsid w:val="00C82DE0"/>
    <w:pPr>
      <w:ind w:firstLine="0"/>
    </w:pPr>
  </w:style>
  <w:style w:type="paragraph" w:styleId="ListNumber3">
    <w:name w:val="List Number 3"/>
    <w:basedOn w:val="List3"/>
    <w:rsid w:val="00C82DE0"/>
    <w:pPr>
      <w:numPr>
        <w:numId w:val="5"/>
      </w:numPr>
    </w:pPr>
  </w:style>
  <w:style w:type="paragraph" w:styleId="ListNumber4">
    <w:name w:val="List Number 4"/>
    <w:basedOn w:val="List4"/>
    <w:rsid w:val="00C82DE0"/>
    <w:pPr>
      <w:numPr>
        <w:numId w:val="6"/>
      </w:numPr>
    </w:pPr>
  </w:style>
  <w:style w:type="paragraph" w:styleId="ListNumber5">
    <w:name w:val="List Number 5"/>
    <w:basedOn w:val="List5"/>
    <w:rsid w:val="00C82DE0"/>
    <w:pPr>
      <w:numPr>
        <w:numId w:val="7"/>
      </w:numPr>
    </w:pPr>
  </w:style>
  <w:style w:type="paragraph" w:styleId="BlockText">
    <w:name w:val="Block Text"/>
    <w:basedOn w:val="Normal"/>
    <w:rsid w:val="00C82DE0"/>
    <w:pPr>
      <w:spacing w:after="120"/>
      <w:ind w:left="1440" w:right="1440"/>
    </w:pPr>
  </w:style>
  <w:style w:type="character" w:customStyle="1" w:styleId="Subscript">
    <w:name w:val="Subscript"/>
    <w:basedOn w:val="DefaultParagraphFont"/>
    <w:rsid w:val="00C82DE0"/>
    <w:rPr>
      <w:sz w:val="16"/>
      <w:vertAlign w:val="subscript"/>
    </w:rPr>
  </w:style>
  <w:style w:type="character" w:customStyle="1" w:styleId="Superscript">
    <w:name w:val="Superscript"/>
    <w:basedOn w:val="DefaultParagraphFont"/>
    <w:rsid w:val="00C82DE0"/>
    <w:rPr>
      <w:sz w:val="16"/>
      <w:vertAlign w:val="superscript"/>
    </w:rPr>
  </w:style>
  <w:style w:type="character" w:customStyle="1" w:styleId="Symbols">
    <w:name w:val="Symbols"/>
    <w:basedOn w:val="DefaultParagraphFont"/>
    <w:rsid w:val="00C82DE0"/>
    <w:rPr>
      <w:rFonts w:ascii="Symbol" w:hAnsi="Symbol"/>
    </w:rPr>
  </w:style>
  <w:style w:type="character" w:customStyle="1" w:styleId="MenuOptions">
    <w:name w:val="Menu Options"/>
    <w:basedOn w:val="DefaultParagraphFont"/>
    <w:rsid w:val="00C82DE0"/>
    <w:rPr>
      <w:rFonts w:ascii="Arial Narrow" w:hAnsi="Arial Narrow"/>
      <w:smallCaps/>
    </w:rPr>
  </w:style>
  <w:style w:type="character" w:customStyle="1" w:styleId="Buttons">
    <w:name w:val="Buttons"/>
    <w:basedOn w:val="DefaultParagraphFont"/>
    <w:rsid w:val="00C82DE0"/>
    <w:rPr>
      <w:b/>
    </w:rPr>
  </w:style>
  <w:style w:type="character" w:customStyle="1" w:styleId="Underlined">
    <w:name w:val="Underlined"/>
    <w:basedOn w:val="DefaultParagraphFont"/>
    <w:rsid w:val="00C82DE0"/>
    <w:rPr>
      <w:u w:val="single"/>
    </w:rPr>
  </w:style>
  <w:style w:type="paragraph" w:customStyle="1" w:styleId="TableBodyTextRight">
    <w:name w:val="Table Body Text Right"/>
    <w:basedOn w:val="TableBodyText"/>
    <w:rsid w:val="00C82DE0"/>
    <w:pPr>
      <w:widowControl w:val="0"/>
      <w:autoSpaceDE w:val="0"/>
      <w:autoSpaceDN w:val="0"/>
      <w:adjustRightInd w:val="0"/>
      <w:jc w:val="right"/>
    </w:pPr>
    <w:rPr>
      <w:rFonts w:cs="Arial"/>
      <w:szCs w:val="18"/>
    </w:rPr>
  </w:style>
  <w:style w:type="paragraph" w:customStyle="1" w:styleId="CopyrightText">
    <w:name w:val="Copyright Text"/>
    <w:basedOn w:val="BodyText"/>
    <w:rsid w:val="00C82DE0"/>
    <w:rPr>
      <w:sz w:val="18"/>
    </w:rPr>
  </w:style>
  <w:style w:type="paragraph" w:customStyle="1" w:styleId="BodySmallRight">
    <w:name w:val="Body Small Right"/>
    <w:basedOn w:val="BodyTextRight"/>
    <w:rsid w:val="00C82DE0"/>
    <w:rPr>
      <w:sz w:val="18"/>
      <w:szCs w:val="18"/>
    </w:rPr>
  </w:style>
  <w:style w:type="paragraph" w:customStyle="1" w:styleId="MarginEdition">
    <w:name w:val="Margin Edition"/>
    <w:basedOn w:val="MarginNote"/>
    <w:rsid w:val="00C82DE0"/>
    <w:pPr>
      <w:spacing w:before="0" w:after="0"/>
    </w:pPr>
    <w:rPr>
      <w:rFonts w:ascii="Times New Roman" w:hAnsi="Times New Roman"/>
      <w:color w:val="999999"/>
    </w:rPr>
  </w:style>
  <w:style w:type="paragraph" w:customStyle="1" w:styleId="Spacer">
    <w:name w:val="Spacer"/>
    <w:basedOn w:val="Normal"/>
    <w:rsid w:val="00C82DE0"/>
    <w:rPr>
      <w:sz w:val="2"/>
      <w:szCs w:val="2"/>
    </w:rPr>
  </w:style>
  <w:style w:type="character" w:customStyle="1" w:styleId="Small">
    <w:name w:val="Small"/>
    <w:basedOn w:val="DefaultParagraphFont"/>
    <w:rsid w:val="00C82DE0"/>
    <w:rPr>
      <w:sz w:val="16"/>
    </w:rPr>
  </w:style>
  <w:style w:type="paragraph" w:customStyle="1" w:styleId="WideTable">
    <w:name w:val="Wide Table"/>
    <w:basedOn w:val="Normal"/>
    <w:rsid w:val="00C82DE0"/>
    <w:pPr>
      <w:ind w:left="-1418"/>
    </w:pPr>
    <w:rPr>
      <w:sz w:val="2"/>
      <w:szCs w:val="2"/>
    </w:rPr>
  </w:style>
  <w:style w:type="character" w:styleId="PageNumber">
    <w:name w:val="page number"/>
    <w:basedOn w:val="DefaultParagraphFont"/>
    <w:rsid w:val="00C82DE0"/>
  </w:style>
  <w:style w:type="paragraph" w:styleId="Quote">
    <w:name w:val="Quote"/>
    <w:basedOn w:val="Heading1"/>
    <w:link w:val="QuoteChar"/>
    <w:qFormat/>
    <w:rsid w:val="00C82DE0"/>
    <w:rPr>
      <w:b w:val="0"/>
      <w:sz w:val="72"/>
      <w:szCs w:val="72"/>
      <w:lang w:val="en-NZ"/>
    </w:rPr>
  </w:style>
  <w:style w:type="character" w:customStyle="1" w:styleId="QuoteChar">
    <w:name w:val="Quote Char"/>
    <w:basedOn w:val="DefaultParagraphFont"/>
    <w:link w:val="Quote"/>
    <w:rsid w:val="00C82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DE0"/>
    <w:pPr>
      <w:pageBreakBefore/>
    </w:pPr>
  </w:style>
  <w:style w:type="paragraph" w:customStyle="1" w:styleId="Border">
    <w:name w:val="Border"/>
    <w:basedOn w:val="Normal"/>
    <w:qFormat/>
    <w:rsid w:val="00C82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DE0"/>
    <w:rPr>
      <w:b/>
      <w:bCs/>
      <w:i/>
      <w:iCs/>
      <w:color w:val="auto"/>
    </w:rPr>
  </w:style>
  <w:style w:type="paragraph" w:styleId="IntenseQuote">
    <w:name w:val="Intense Quote"/>
    <w:basedOn w:val="Normal"/>
    <w:next w:val="Normal"/>
    <w:link w:val="IntenseQuoteChar"/>
    <w:uiPriority w:val="30"/>
    <w:qFormat/>
    <w:rsid w:val="00C82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DE0"/>
    <w:rPr>
      <w:smallCaps/>
      <w:color w:val="auto"/>
      <w:u w:val="single"/>
    </w:rPr>
  </w:style>
  <w:style w:type="character" w:styleId="IntenseReference">
    <w:name w:val="Intense Reference"/>
    <w:basedOn w:val="DefaultParagraphFont"/>
    <w:uiPriority w:val="32"/>
    <w:qFormat/>
    <w:rsid w:val="00C82DE0"/>
    <w:rPr>
      <w:b/>
      <w:bCs/>
      <w:smallCaps/>
      <w:color w:val="auto"/>
      <w:spacing w:val="5"/>
      <w:u w:val="single"/>
    </w:rPr>
  </w:style>
  <w:style w:type="paragraph" w:customStyle="1" w:styleId="2ColumnHeading">
    <w:name w:val="2Column Heading"/>
    <w:basedOn w:val="BodyText"/>
    <w:qFormat/>
    <w:rsid w:val="00C82DE0"/>
    <w:pPr>
      <w:spacing w:after="60"/>
      <w:ind w:left="-2268"/>
    </w:pPr>
    <w:rPr>
      <w:b/>
    </w:rPr>
  </w:style>
  <w:style w:type="paragraph" w:customStyle="1" w:styleId="Heading1TOC">
    <w:name w:val="Heading1 TOC"/>
    <w:basedOn w:val="Normal"/>
    <w:qFormat/>
    <w:rsid w:val="00C82DE0"/>
    <w:pPr>
      <w:spacing w:before="240" w:after="120"/>
    </w:pPr>
    <w:rPr>
      <w:rFonts w:ascii="Times New Roman" w:hAnsi="Times New Roman"/>
      <w:b/>
      <w:sz w:val="32"/>
    </w:rPr>
  </w:style>
  <w:style w:type="paragraph" w:customStyle="1" w:styleId="Heading2TOC">
    <w:name w:val="Heading2 TOC"/>
    <w:basedOn w:val="Normal"/>
    <w:qFormat/>
    <w:rsid w:val="00C82DE0"/>
    <w:pPr>
      <w:spacing w:before="240" w:after="60"/>
    </w:pPr>
    <w:rPr>
      <w:rFonts w:ascii="Times New Roman" w:hAnsi="Times New Roman"/>
      <w:b/>
      <w:sz w:val="28"/>
    </w:rPr>
  </w:style>
  <w:style w:type="character" w:customStyle="1" w:styleId="Underline">
    <w:name w:val="Underline"/>
    <w:basedOn w:val="DefaultParagraphFont"/>
    <w:qFormat/>
    <w:rsid w:val="00C82DE0"/>
    <w:rPr>
      <w:u w:val="single"/>
    </w:rPr>
  </w:style>
  <w:style w:type="character" w:customStyle="1" w:styleId="BoldandItalics">
    <w:name w:val="Bold and Italics"/>
    <w:qFormat/>
    <w:rsid w:val="00C82DE0"/>
    <w:rPr>
      <w:b/>
      <w:i/>
      <w:u w:val="none"/>
    </w:rPr>
  </w:style>
  <w:style w:type="paragraph" w:styleId="BalloonText">
    <w:name w:val="Balloon Text"/>
    <w:basedOn w:val="Normal"/>
    <w:link w:val="BalloonTextChar"/>
    <w:rsid w:val="00C82DE0"/>
    <w:rPr>
      <w:rFonts w:ascii="Tahoma" w:hAnsi="Tahoma" w:cs="Tahoma"/>
      <w:sz w:val="16"/>
      <w:szCs w:val="16"/>
    </w:rPr>
  </w:style>
  <w:style w:type="character" w:customStyle="1" w:styleId="BalloonTextChar">
    <w:name w:val="Balloon Text Char"/>
    <w:basedOn w:val="DefaultParagraphFont"/>
    <w:link w:val="BalloonText"/>
    <w:rsid w:val="00C82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DE0"/>
    <w:rPr>
      <w:b/>
      <w:color w:val="660033"/>
      <w:spacing w:val="0"/>
    </w:rPr>
  </w:style>
  <w:style w:type="paragraph" w:customStyle="1" w:styleId="Nameditemlist">
    <w:name w:val="Named item list"/>
    <w:basedOn w:val="BodyText"/>
    <w:qFormat/>
    <w:rsid w:val="00C82DE0"/>
    <w:pPr>
      <w:tabs>
        <w:tab w:val="left" w:pos="2835"/>
      </w:tabs>
      <w:ind w:left="2835" w:hanging="2835"/>
    </w:pPr>
  </w:style>
  <w:style w:type="paragraph" w:customStyle="1" w:styleId="BodyTextnopadding">
    <w:name w:val="Body Text no padding"/>
    <w:basedOn w:val="BodyText"/>
    <w:qFormat/>
    <w:rsid w:val="00C82DE0"/>
    <w:pPr>
      <w:spacing w:before="0" w:after="0"/>
    </w:pPr>
  </w:style>
  <w:style w:type="paragraph" w:customStyle="1" w:styleId="BodyTextBold">
    <w:name w:val="Body Text Bold"/>
    <w:basedOn w:val="BodyText"/>
    <w:qFormat/>
    <w:rsid w:val="00C82DE0"/>
    <w:rPr>
      <w:b/>
    </w:rPr>
  </w:style>
  <w:style w:type="character" w:styleId="Hyperlink">
    <w:name w:val="Hyperlink"/>
    <w:basedOn w:val="DefaultParagraphFont"/>
    <w:uiPriority w:val="99"/>
    <w:unhideWhenUsed/>
    <w:rsid w:val="00436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5837</Characters>
  <Application>Microsoft Office Word</Application>
  <DocSecurity>0</DocSecurity>
  <Lines>142</Lines>
  <Paragraphs>90</Paragraphs>
  <ScaleCrop>false</ScaleCrop>
  <Company>Author-it Software Corporation Ltd.</Company>
  <LinksUpToDate>false</LinksUpToDate>
  <CharactersWithSpaces>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RIICBS307D Conduct bitumen sprayer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2020-03-02T00:44:00Z</dcterms:created>
  <dcterms:modified xsi:type="dcterms:W3CDTF">2020-03-02T00:44:00Z</dcterms:modified>
</cp:coreProperties>
</file>