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725" w:rsidP="00537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RIICBM303D Install pre-cast parapets</w:t>
      </w:r>
      <w:r>
        <w:fldChar w:fldCharType="end"/>
      </w:r>
    </w:p>
    <w:p w:rsidR="00537725" w:rsidP="00537725">
      <w:pPr>
        <w:pStyle w:val="Version"/>
        <w:sectPr w:rsidSect="005D1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1F49" w:rsidP="005D1F49">
      <w:pPr>
        <w:pStyle w:val="SuperHeading"/>
      </w:pPr>
      <w:r w:rsidRPr="005D1F49">
        <w:t>Assessment Requirements for RIICBM303D Install pre-cast parapets</w:t>
      </w:r>
    </w:p>
    <w:p w:rsidR="00000000" w:rsidRPr="005D1F49" w:rsidP="005D1F49">
      <w:pPr>
        <w:pStyle w:val="Heading1"/>
      </w:pPr>
      <w:bookmarkStart w:id="1" w:name="O_669256"/>
      <w:bookmarkEnd w:id="1"/>
      <w:r w:rsidRPr="005D1F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560"/>
      </w:tblGrid>
      <w:tr w:rsidTr="00537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49">
            <w:pPr>
              <w:pStyle w:val="Heading4"/>
              <w:rPr>
                <w:lang w:val="en-NZ"/>
              </w:rPr>
            </w:pPr>
            <w:r w:rsidRPr="005D1F49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49">
            <w:pPr>
              <w:pStyle w:val="Heading4"/>
              <w:rPr>
                <w:lang w:val="en-NZ"/>
              </w:rPr>
            </w:pPr>
            <w:r w:rsidRPr="005D1F49">
              <w:t>Comment</w:t>
            </w:r>
          </w:p>
        </w:tc>
      </w:tr>
      <w:tr w:rsidTr="00537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This unit replaces RIICBM303A Install pre-cast parapets.</w:t>
            </w:r>
          </w:p>
        </w:tc>
      </w:tr>
      <w:tr w:rsidTr="00537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49" w:rsidP="005D1F49">
            <w:pPr>
              <w:pStyle w:val="BodyText"/>
            </w:pPr>
            <w:r w:rsidRPr="005D1F49">
              <w:t>Corrected Knowledge Evidence formatting.</w:t>
            </w:r>
          </w:p>
          <w:p w:rsidR="00000000" w:rsidRPr="005D1F49" w:rsidP="005D1F49">
            <w:pPr>
              <w:pStyle w:val="BodyText"/>
            </w:pPr>
            <w:r w:rsidRPr="005D1F49">
              <w:t>Required frequency and volume of evidence amended in Performance evidence.</w:t>
            </w:r>
          </w:p>
          <w:p w:rsidR="00000000" w:rsidRPr="005D1F49" w:rsidP="005D1F49">
            <w:pPr>
              <w:pStyle w:val="BodyText"/>
            </w:pPr>
            <w:r w:rsidRPr="005D1F49">
              <w:t>Substantial amendments made in Assessment Conditions field, including: references to Industry Sectors, assessor and subject matter expert experience requirements, how assessment sho</w:t>
            </w:r>
            <w:r w:rsidRPr="005D1F49">
              <w:t>uld be conducted and what it should confirm.</w:t>
            </w:r>
          </w:p>
        </w:tc>
      </w:tr>
    </w:tbl>
    <w:p w:rsidR="00000000" w:rsidRPr="005D1F49" w:rsidP="005D1F49">
      <w:pPr>
        <w:pStyle w:val="BodyText"/>
      </w:pPr>
    </w:p>
    <w:p w:rsidR="00000000" w:rsidRPr="005D1F49" w:rsidP="005D1F49">
      <w:pPr>
        <w:pStyle w:val="AllowPageBreak"/>
      </w:pPr>
    </w:p>
    <w:p w:rsidR="00000000" w:rsidRPr="005D1F49" w:rsidP="005D1F49">
      <w:pPr>
        <w:pStyle w:val="Heading1"/>
      </w:pPr>
      <w:bookmarkStart w:id="2" w:name="O_669255"/>
      <w:bookmarkEnd w:id="2"/>
      <w:r w:rsidRPr="005D1F49">
        <w:t>Performance Evidence</w:t>
      </w:r>
    </w:p>
    <w:p w:rsidR="00000000" w:rsidRPr="005D1F49" w:rsidP="00537725">
      <w:pPr>
        <w:pStyle w:val="BodyText"/>
      </w:pPr>
      <w:r w:rsidRPr="005D1F49">
        <w:t>Evidence is required to be collected that demonstrates a candidate’s competency in this unit. Evidence must be relevant to the roles within this sector’s work operations a</w:t>
      </w:r>
      <w:r w:rsidRPr="005D1F49">
        <w:t>nd satisfy all of the requirements of the performance criteria of this unit and include evidence that the candidate:</w:t>
      </w:r>
    </w:p>
    <w:p w:rsidR="00000000" w:rsidRPr="005D1F49" w:rsidP="005D1F49">
      <w:pPr>
        <w:pStyle w:val="ListBullet"/>
      </w:pPr>
      <w:r w:rsidRPr="005D1F49">
        <w:t>locates and applies applicable legislation, documentation, policies and procedures</w:t>
      </w:r>
    </w:p>
    <w:p w:rsidR="00000000" w:rsidRPr="005D1F49" w:rsidP="005D1F49">
      <w:pPr>
        <w:pStyle w:val="ListBullet"/>
      </w:pPr>
      <w:r w:rsidRPr="005D1F49">
        <w:t>works effectively with others to undertake and complete the installation of pre-cast parapets that meets all of the required outcomes including:</w:t>
      </w:r>
    </w:p>
    <w:p w:rsidR="00000000" w:rsidRPr="005D1F49" w:rsidP="005D1F49">
      <w:pPr>
        <w:pStyle w:val="ListBullet2"/>
      </w:pPr>
      <w:r w:rsidRPr="005D1F49">
        <w:t>using a range of communication techniques and equipment to convey information to others</w:t>
      </w:r>
    </w:p>
    <w:p w:rsidR="00000000" w:rsidRPr="005D1F49" w:rsidP="005D1F49">
      <w:pPr>
        <w:pStyle w:val="ListBullet2"/>
      </w:pPr>
      <w:r w:rsidRPr="005D1F49">
        <w:t>maintaining written an</w:t>
      </w:r>
      <w:r w:rsidRPr="005D1F49">
        <w:t>d verbal reporting requirements and procedures</w:t>
      </w:r>
    </w:p>
    <w:p w:rsidR="00000000" w:rsidRPr="005D1F49" w:rsidP="005D1F49">
      <w:pPr>
        <w:pStyle w:val="ListBullet2"/>
      </w:pPr>
      <w:r w:rsidRPr="005D1F49">
        <w:t>communicating clearly and concisely with others to receive and clarify work instructions</w:t>
      </w:r>
    </w:p>
    <w:p w:rsidR="00000000" w:rsidRPr="005D1F49" w:rsidP="005D1F49">
      <w:pPr>
        <w:pStyle w:val="ListBullet2"/>
      </w:pPr>
      <w:r w:rsidRPr="005D1F49">
        <w:t>implementing traffic management signage</w:t>
      </w:r>
    </w:p>
    <w:p w:rsidR="00000000" w:rsidRPr="005D1F49" w:rsidP="005D1F49">
      <w:pPr>
        <w:pStyle w:val="ListBullet"/>
      </w:pPr>
      <w:r w:rsidRPr="005D1F49">
        <w:t>demonstrates completion of installing pre-cast parapets that safely, effectivel</w:t>
      </w:r>
      <w:r w:rsidRPr="005D1F49">
        <w:t>y and efficiently meets all of the required outcomes on more than one (1) occasion including:</w:t>
      </w:r>
    </w:p>
    <w:p w:rsidR="00000000" w:rsidRPr="005D1F49" w:rsidP="005D1F49">
      <w:pPr>
        <w:pStyle w:val="ListBullet2"/>
      </w:pPr>
      <w:r w:rsidRPr="005D1F49">
        <w:t xml:space="preserve">determining the location and sequence of individual pre-cast parapet unit and installation </w:t>
      </w:r>
    </w:p>
    <w:p w:rsidR="00000000" w:rsidRPr="005D1F49" w:rsidP="005D1F49">
      <w:pPr>
        <w:pStyle w:val="ListBullet2"/>
      </w:pPr>
      <w:r w:rsidRPr="005D1F49">
        <w:t>checking lifting points and conformity to design prior to lifting</w:t>
      </w:r>
    </w:p>
    <w:p w:rsidR="00000000" w:rsidRPr="005D1F49" w:rsidP="005D1F49">
      <w:pPr>
        <w:pStyle w:val="ListBullet2"/>
      </w:pPr>
      <w:r w:rsidRPr="005D1F49">
        <w:t>pos</w:t>
      </w:r>
      <w:r w:rsidRPr="005D1F49">
        <w:t>itioning, fixing and finishing the pre-cast parapet units including the installation of end units, services and fittings for a multi-span bridge with a minimum length of twenty (20) metres to specifications</w:t>
      </w:r>
    </w:p>
    <w:p w:rsidR="00000000" w:rsidRPr="005D1F49" w:rsidP="005D1F49">
      <w:pPr>
        <w:pStyle w:val="ListBullet2"/>
      </w:pPr>
      <w:r w:rsidRPr="005D1F49">
        <w:t>manoeuvring, positioning and adjusting parapets</w:t>
      </w:r>
    </w:p>
    <w:p w:rsidR="00000000" w:rsidRPr="005D1F49" w:rsidP="005D1F49">
      <w:pPr>
        <w:pStyle w:val="AllowPageBreak"/>
      </w:pPr>
    </w:p>
    <w:p w:rsidR="00000000" w:rsidRPr="005D1F49" w:rsidP="005D1F49">
      <w:pPr>
        <w:pStyle w:val="Heading1"/>
      </w:pPr>
      <w:bookmarkStart w:id="3" w:name="O_669254"/>
      <w:bookmarkEnd w:id="3"/>
      <w:r w:rsidRPr="005D1F49">
        <w:t>Knowledge Evidence</w:t>
      </w:r>
    </w:p>
    <w:p w:rsidR="00000000" w:rsidRPr="005D1F49" w:rsidP="00537725">
      <w:pPr>
        <w:pStyle w:val="BodyText"/>
      </w:pPr>
      <w:r w:rsidRPr="005D1F49">
        <w:t>The candidate must demonstrate knowledge of the following in applying the install pre-cast parapets through:</w:t>
      </w:r>
    </w:p>
    <w:p w:rsidR="00000000" w:rsidRPr="005D1F49" w:rsidP="005D1F49">
      <w:pPr>
        <w:pStyle w:val="ListBullet"/>
      </w:pPr>
      <w:r w:rsidRPr="005D1F49">
        <w:t>applying legislative, organisation and site requirements for:</w:t>
      </w:r>
    </w:p>
    <w:p w:rsidR="00000000" w:rsidRPr="005D1F49" w:rsidP="005D1F49">
      <w:pPr>
        <w:pStyle w:val="ListBullet2"/>
      </w:pPr>
      <w:r w:rsidRPr="005D1F49">
        <w:t>risk assessment and management</w:t>
      </w:r>
    </w:p>
    <w:p w:rsidR="00000000" w:rsidRPr="005D1F49" w:rsidP="005D1F49">
      <w:pPr>
        <w:pStyle w:val="ListBullet2"/>
      </w:pPr>
      <w:r w:rsidRPr="005D1F49">
        <w:t>site and equipment safety requirements</w:t>
      </w:r>
    </w:p>
    <w:p w:rsidR="00000000" w:rsidRPr="005D1F49" w:rsidP="005D1F49">
      <w:pPr>
        <w:pStyle w:val="ListBullet2"/>
      </w:pPr>
      <w:r w:rsidRPr="005D1F49">
        <w:t>bridge construction and sequencing</w:t>
      </w:r>
    </w:p>
    <w:p w:rsidR="00000000" w:rsidRPr="005D1F49" w:rsidP="005D1F49">
      <w:pPr>
        <w:pStyle w:val="ListBullet2"/>
      </w:pPr>
      <w:r w:rsidRPr="005D1F49">
        <w:t>pre-cast concrete parapets and installation</w:t>
      </w:r>
    </w:p>
    <w:p w:rsidR="00000000" w:rsidRPr="005D1F49" w:rsidP="005D1F49">
      <w:pPr>
        <w:pStyle w:val="ListBullet2"/>
      </w:pPr>
      <w:r w:rsidRPr="005D1F49">
        <w:t>bridge barriers</w:t>
      </w:r>
    </w:p>
    <w:p w:rsidR="00000000" w:rsidRPr="005D1F49" w:rsidP="005D1F49">
      <w:pPr>
        <w:pStyle w:val="ListBullet2"/>
      </w:pPr>
      <w:r w:rsidRPr="005D1F49">
        <w:t>concrete and concreting</w:t>
      </w:r>
    </w:p>
    <w:p w:rsidR="00000000" w:rsidRPr="005D1F49" w:rsidP="005D1F49">
      <w:pPr>
        <w:pStyle w:val="ListBullet2"/>
      </w:pPr>
      <w:r w:rsidRPr="005D1F49">
        <w:t>service installation</w:t>
      </w:r>
    </w:p>
    <w:p w:rsidR="00000000" w:rsidRPr="005D1F49" w:rsidP="005D1F49">
      <w:pPr>
        <w:pStyle w:val="ListBullet2"/>
      </w:pPr>
      <w:r w:rsidRPr="005D1F49">
        <w:t>safe lifting techniques</w:t>
      </w:r>
    </w:p>
    <w:p w:rsidR="00000000" w:rsidRPr="005D1F49" w:rsidP="005D1F49">
      <w:pPr>
        <w:pStyle w:val="ListBullet2"/>
      </w:pPr>
      <w:r w:rsidRPr="005D1F49">
        <w:t>safe working procedures for working at heights and ov</w:t>
      </w:r>
      <w:r w:rsidRPr="005D1F49">
        <w:t>er water</w:t>
      </w:r>
    </w:p>
    <w:p w:rsidR="00000000" w:rsidRPr="005D1F49" w:rsidP="005D1F49">
      <w:pPr>
        <w:pStyle w:val="ListBullet2"/>
      </w:pPr>
      <w:r w:rsidRPr="005D1F49">
        <w:t>site isolation and traffic control responsibilities and authorities</w:t>
      </w:r>
    </w:p>
    <w:p w:rsidR="00000000" w:rsidRPr="005D1F49" w:rsidP="005D1F49">
      <w:pPr>
        <w:pStyle w:val="ListBullet2"/>
      </w:pPr>
      <w:r w:rsidRPr="005D1F49">
        <w:t>project quality requirements</w:t>
      </w:r>
    </w:p>
    <w:p w:rsidR="00000000" w:rsidRPr="005D1F49" w:rsidP="005D1F49">
      <w:pPr>
        <w:pStyle w:val="ListBullet"/>
      </w:pPr>
      <w:r w:rsidRPr="005D1F49">
        <w:t>civil construction terminology</w:t>
      </w:r>
    </w:p>
    <w:p w:rsidR="00000000" w:rsidRPr="005D1F49" w:rsidP="005D1F49">
      <w:pPr>
        <w:pStyle w:val="ListBullet"/>
      </w:pPr>
      <w:r w:rsidRPr="005D1F49">
        <w:t>interpreting engineering drawings</w:t>
      </w:r>
    </w:p>
    <w:p w:rsidR="00000000" w:rsidRPr="005D1F49" w:rsidP="005D1F49">
      <w:pPr>
        <w:pStyle w:val="ListBullet"/>
      </w:pPr>
      <w:r w:rsidRPr="005D1F49">
        <w:t>equipment types, characteristics, technical capabilities and limitations</w:t>
      </w:r>
    </w:p>
    <w:p w:rsidR="00000000" w:rsidRPr="005D1F49" w:rsidP="005D1F49">
      <w:pPr>
        <w:pStyle w:val="ListBullet"/>
      </w:pPr>
      <w:r w:rsidRPr="005D1F49">
        <w:t>safety data</w:t>
      </w:r>
      <w:r w:rsidRPr="005D1F49">
        <w:t xml:space="preserve"> sheets and materials handling methods</w:t>
      </w:r>
    </w:p>
    <w:p w:rsidR="00000000" w:rsidRPr="005D1F49" w:rsidP="005D1F49">
      <w:pPr>
        <w:pStyle w:val="ListBullet"/>
      </w:pPr>
      <w:r w:rsidRPr="005D1F49">
        <w:t>JSA/JSEA/safe work method statements</w:t>
      </w:r>
    </w:p>
    <w:p w:rsidR="00000000" w:rsidRPr="005D1F49" w:rsidP="005D1F49">
      <w:pPr>
        <w:pStyle w:val="AllowPageBreak"/>
      </w:pPr>
    </w:p>
    <w:p w:rsidR="00000000" w:rsidRPr="005D1F49" w:rsidP="005D1F49">
      <w:pPr>
        <w:pStyle w:val="Heading1"/>
      </w:pPr>
      <w:bookmarkStart w:id="4" w:name="O_669253"/>
      <w:bookmarkEnd w:id="4"/>
      <w:r w:rsidRPr="005D1F49">
        <w:t>Assessment Conditions</w:t>
      </w:r>
    </w:p>
    <w:p w:rsidR="00000000" w:rsidRPr="005D1F49" w:rsidP="005D1F49">
      <w:pPr>
        <w:pStyle w:val="ListBullet"/>
      </w:pPr>
      <w:r w:rsidRPr="005D1F49">
        <w:t xml:space="preserve">An assessor of this unit must satisfy the requirements of the NVR/AQTF or their successors; </w:t>
      </w:r>
      <w:r w:rsidRPr="005D1F49">
        <w:t>and Industry regulations for certification and licensing; and,</w:t>
      </w:r>
    </w:p>
    <w:p w:rsidR="00000000" w:rsidRPr="005D1F49" w:rsidP="005D1F49">
      <w:pPr>
        <w:pStyle w:val="ListBullet"/>
      </w:pPr>
      <w:r w:rsidRPr="005D1F49">
        <w:t>this unit must be assessed in the context of this sector’s work environment; and,</w:t>
      </w:r>
    </w:p>
    <w:p w:rsidR="00000000" w:rsidRPr="005D1F49" w:rsidP="005D1F49">
      <w:pPr>
        <w:pStyle w:val="ListBullet"/>
      </w:pPr>
      <w:r w:rsidRPr="005D1F49">
        <w:t>this unit must be assessed in compliance with relevant legislation/regulation and using policies, procedures, p</w:t>
      </w:r>
      <w:r w:rsidRPr="005D1F49">
        <w:t>rocesses and operational manuals directly related to the industry sector for which it is being assessed; and,</w:t>
      </w:r>
    </w:p>
    <w:p w:rsidR="00000000" w:rsidRPr="005D1F49" w:rsidP="005D1F49">
      <w:pPr>
        <w:pStyle w:val="ListBullet"/>
      </w:pPr>
      <w:r w:rsidRPr="005D1F49">
        <w:t>assessment may be conducted in conjunction with the assessment of other Units of Competency; and,</w:t>
      </w:r>
    </w:p>
    <w:p w:rsidR="00000000" w:rsidRPr="005D1F49" w:rsidP="005D1F49">
      <w:pPr>
        <w:pStyle w:val="ListBullet"/>
      </w:pPr>
      <w:r w:rsidRPr="005D1F49">
        <w:t>assessment must confirm consistent performance c</w:t>
      </w:r>
      <w:r w:rsidRPr="005D1F49">
        <w:t>an be applied in a range of relevant workplace circumstances; and,</w:t>
      </w:r>
    </w:p>
    <w:p w:rsidR="00000000" w:rsidRPr="005D1F49" w:rsidP="005D1F49">
      <w:pPr>
        <w:pStyle w:val="ListBullet"/>
      </w:pPr>
      <w:r w:rsidRPr="005D1F49">
        <w:t>assessors must demonstrate the performance evidence, and knowledge evidence as outlined in this Unit of Competency, and through the minimum years of current* work experience specified below</w:t>
      </w:r>
      <w:r w:rsidRPr="005D1F49">
        <w:t xml:space="preserve"> in an Industry sector relevant to the outcomes of the unit; or,</w:t>
      </w:r>
    </w:p>
    <w:p w:rsidR="00000000" w:rsidRPr="005D1F49" w:rsidP="005D1F49">
      <w:pPr>
        <w:pStyle w:val="ListBullet"/>
      </w:pPr>
      <w:r w:rsidRPr="005D1F49">
        <w:t>where the assessor does not meet experience requirements a co-assessment or partnership arrangement must exist between the qualified assessor and an Industry subject matter expert. The Indust</w:t>
      </w:r>
      <w:r w:rsidRPr="005D1F49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5D1F49">
        <w:t xml:space="preserve"> current work experience specified below in the Industry sector, including time spent in roles related to the unit being assessed; and,</w:t>
      </w:r>
    </w:p>
    <w:p w:rsidR="00000000" w:rsidRPr="005D1F49" w:rsidP="005D1F49">
      <w:pPr>
        <w:pStyle w:val="ListBullet"/>
      </w:pPr>
      <w:r w:rsidRPr="005D1F49">
        <w:t>assessor and Industry subject matter expert requirements differ depending on the Australian Qualifications Framework Lev</w:t>
      </w:r>
      <w:r w:rsidRPr="005D1F49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D1F4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Heading4"/>
              <w:rPr>
                <w:lang w:val="en-NZ"/>
              </w:rPr>
            </w:pPr>
            <w:r w:rsidRPr="005D1F4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Heading4"/>
              <w:rPr>
                <w:lang w:val="en-NZ"/>
              </w:rPr>
            </w:pPr>
            <w:r w:rsidRPr="005D1F4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Heading4"/>
              <w:rPr>
                <w:lang w:val="en-NZ"/>
              </w:rPr>
            </w:pPr>
            <w:r w:rsidRPr="005D1F49">
              <w:t>Required assessor or Industry subject matter expert experience</w:t>
            </w:r>
          </w:p>
        </w:tc>
      </w:tr>
      <w:tr w:rsidTr="005D1F4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1 Year</w:t>
            </w:r>
          </w:p>
        </w:tc>
      </w:tr>
      <w:tr w:rsidTr="005D1F4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2 Years</w:t>
            </w:r>
          </w:p>
        </w:tc>
      </w:tr>
      <w:tr w:rsidTr="005D1F4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3 Years</w:t>
            </w:r>
          </w:p>
        </w:tc>
      </w:tr>
      <w:tr w:rsidTr="005D1F4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5 Years</w:t>
            </w:r>
          </w:p>
        </w:tc>
      </w:tr>
      <w:tr w:rsidTr="005D1F4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F49">
            <w:pPr>
              <w:pStyle w:val="BodyText"/>
              <w:rPr>
                <w:lang w:val="en-NZ"/>
              </w:rPr>
            </w:pPr>
            <w:r w:rsidRPr="005D1F4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D1F49" w:rsidP="005D1F49">
            <w:pPr>
              <w:pStyle w:val="BodyText"/>
            </w:pPr>
            <w:r w:rsidRPr="005D1F4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D1F49">
              <w:t>ndard is specified should comply with any relevant regulation.</w:t>
            </w:r>
          </w:p>
        </w:tc>
      </w:tr>
    </w:tbl>
    <w:p w:rsidR="00000000" w:rsidRPr="005D1F49" w:rsidP="00537725">
      <w:pPr>
        <w:pStyle w:val="BodyText"/>
      </w:pPr>
      <w:r w:rsidRPr="005D1F49">
        <w:t>*Assessors can demonstrate current work experience through employment within Industry in a role relevant to the outcomes of the Unit; or, for external assessors this can be demonstrated throu</w:t>
      </w:r>
      <w:r w:rsidRPr="005D1F49">
        <w:t>gh exposure to Industry by conducting frequent site assessments across various locations.</w:t>
      </w:r>
    </w:p>
    <w:p w:rsidR="00000000" w:rsidRPr="005D1F49" w:rsidP="00537725">
      <w:pPr>
        <w:pStyle w:val="BodyText"/>
      </w:pPr>
      <w:r w:rsidRPr="005D1F49">
        <w:t>**Where a unit is being delivered outside of a Qualification the first numeric character in the Unit code should be considered to indicate the AQF level</w:t>
      </w:r>
    </w:p>
    <w:p w:rsidR="00000000" w:rsidRPr="005D1F49" w:rsidP="005D1F49">
      <w:pPr>
        <w:pStyle w:val="Heading1"/>
      </w:pPr>
      <w:bookmarkStart w:id="5" w:name="O_669265"/>
      <w:bookmarkEnd w:id="5"/>
      <w:r w:rsidRPr="005D1F49">
        <w:t>Links</w:t>
      </w:r>
    </w:p>
    <w:p w:rsidR="00000000" w:rsidRPr="005D1F49" w:rsidP="00537725">
      <w:pPr>
        <w:pStyle w:val="BodyText"/>
      </w:pPr>
      <w:r w:rsidRPr="005D1F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6388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D1F49" w:rsidP="005D1F49"/>
    <w:sectPr w:rsidSect="005D1F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49" w:rsidRPr="00537725" w:rsidP="00537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25" w:rsidP="005D1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725" w:rsidP="005D1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725" w:rsidP="005D1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F49" w:rsidRPr="00537725" w:rsidP="005377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25" w:rsidRPr="002D2AF8" w:rsidP="005D1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RIICBM303D Install pre-cast parapets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537725" w:rsidP="005D1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A803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800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14A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F49"/>
  </w:style>
  <w:style w:type="character" w:customStyle="1" w:styleId="Heading1Char">
    <w:name w:val="Heading 1 Char"/>
    <w:basedOn w:val="DefaultParagraphFont"/>
    <w:link w:val="Heading1"/>
    <w:rsid w:val="005D1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F4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D1F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F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F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1F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1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F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F49"/>
    <w:rPr>
      <w:b/>
      <w:spacing w:val="0"/>
    </w:rPr>
  </w:style>
  <w:style w:type="paragraph" w:customStyle="1" w:styleId="SuperTitle">
    <w:name w:val="SuperTitle"/>
    <w:basedOn w:val="Title"/>
    <w:rsid w:val="005D1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F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1F49"/>
    <w:rPr>
      <w:i/>
    </w:rPr>
  </w:style>
  <w:style w:type="paragraph" w:styleId="Caption">
    <w:name w:val="caption"/>
    <w:basedOn w:val="BodyText"/>
    <w:next w:val="Normal"/>
    <w:qFormat/>
    <w:rsid w:val="005D1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F49"/>
  </w:style>
  <w:style w:type="paragraph" w:styleId="TableofFigures">
    <w:name w:val="table of figures"/>
    <w:basedOn w:val="Normal"/>
    <w:next w:val="Normal"/>
    <w:semiHidden/>
    <w:rsid w:val="005D1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F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1F49"/>
    <w:rPr>
      <w:rFonts w:ascii="Wingdings" w:hAnsi="Wingdings"/>
    </w:rPr>
  </w:style>
  <w:style w:type="paragraph" w:customStyle="1" w:styleId="TableHeading">
    <w:name w:val="Table Heading"/>
    <w:basedOn w:val="HeadingBase"/>
    <w:rsid w:val="005D1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F49"/>
    <w:rPr>
      <w:color w:val="0033CC"/>
      <w:u w:val="none"/>
    </w:rPr>
  </w:style>
  <w:style w:type="paragraph" w:customStyle="1" w:styleId="BodyTextRight">
    <w:name w:val="Body Text Right"/>
    <w:basedOn w:val="BodyText"/>
    <w:rsid w:val="005D1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F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F49"/>
    <w:rPr>
      <w:sz w:val="32"/>
    </w:rPr>
  </w:style>
  <w:style w:type="paragraph" w:customStyle="1" w:styleId="HeadingProcedure">
    <w:name w:val="Heading Procedure"/>
    <w:basedOn w:val="HeadingBase"/>
    <w:next w:val="Normal"/>
    <w:rsid w:val="005D1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F49"/>
    <w:pPr>
      <w:spacing w:before="60" w:after="60"/>
    </w:pPr>
  </w:style>
  <w:style w:type="paragraph" w:styleId="ListContinue">
    <w:name w:val="List Continue"/>
    <w:basedOn w:val="List"/>
    <w:rsid w:val="005D1F49"/>
    <w:pPr>
      <w:ind w:firstLine="0"/>
    </w:pPr>
  </w:style>
  <w:style w:type="paragraph" w:customStyle="1" w:styleId="ListNote">
    <w:name w:val="List Note"/>
    <w:basedOn w:val="List"/>
    <w:rsid w:val="005D1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F49"/>
    <w:rPr>
      <w:rFonts w:ascii="Courier New" w:hAnsi="Courier New"/>
    </w:rPr>
  </w:style>
  <w:style w:type="paragraph" w:customStyle="1" w:styleId="NoteBullet">
    <w:name w:val="Note Bullet"/>
    <w:basedOn w:val="Note"/>
    <w:rsid w:val="005D1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F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F49"/>
    <w:rPr>
      <w:b/>
      <w:smallCaps/>
    </w:rPr>
  </w:style>
  <w:style w:type="paragraph" w:customStyle="1" w:styleId="TableListNumber">
    <w:name w:val="Table List Number"/>
    <w:basedOn w:val="ListNumber"/>
    <w:rsid w:val="005D1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F49"/>
    <w:pPr>
      <w:numPr>
        <w:numId w:val="9"/>
      </w:numPr>
    </w:pPr>
  </w:style>
  <w:style w:type="paragraph" w:customStyle="1" w:styleId="ListAlpha2">
    <w:name w:val="List Alpha 2"/>
    <w:basedOn w:val="List2"/>
    <w:rsid w:val="005D1F49"/>
    <w:pPr>
      <w:numPr>
        <w:numId w:val="8"/>
      </w:numPr>
    </w:pPr>
  </w:style>
  <w:style w:type="paragraph" w:styleId="List2">
    <w:name w:val="List 2"/>
    <w:basedOn w:val="BodyText"/>
    <w:rsid w:val="005D1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F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F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F49"/>
    <w:pPr>
      <w:numPr>
        <w:numId w:val="4"/>
      </w:numPr>
    </w:pPr>
  </w:style>
  <w:style w:type="paragraph" w:styleId="ListContinue2">
    <w:name w:val="List Continue 2"/>
    <w:basedOn w:val="List2"/>
    <w:rsid w:val="005D1F49"/>
    <w:pPr>
      <w:ind w:firstLine="0"/>
    </w:pPr>
  </w:style>
  <w:style w:type="paragraph" w:styleId="ListContinue3">
    <w:name w:val="List Continue 3"/>
    <w:basedOn w:val="List3"/>
    <w:rsid w:val="005D1F49"/>
    <w:pPr>
      <w:ind w:left="1021" w:firstLine="0"/>
    </w:pPr>
  </w:style>
  <w:style w:type="paragraph" w:styleId="ListContinue4">
    <w:name w:val="List Continue 4"/>
    <w:basedOn w:val="List4"/>
    <w:rsid w:val="005D1F49"/>
    <w:pPr>
      <w:ind w:firstLine="0"/>
    </w:pPr>
  </w:style>
  <w:style w:type="paragraph" w:styleId="ListContinue5">
    <w:name w:val="List Continue 5"/>
    <w:basedOn w:val="List5"/>
    <w:rsid w:val="005D1F49"/>
    <w:pPr>
      <w:ind w:firstLine="0"/>
    </w:pPr>
  </w:style>
  <w:style w:type="paragraph" w:styleId="ListNumber3">
    <w:name w:val="List Number 3"/>
    <w:basedOn w:val="List3"/>
    <w:rsid w:val="005D1F49"/>
    <w:pPr>
      <w:numPr>
        <w:numId w:val="5"/>
      </w:numPr>
    </w:pPr>
  </w:style>
  <w:style w:type="paragraph" w:styleId="ListNumber4">
    <w:name w:val="List Number 4"/>
    <w:basedOn w:val="List4"/>
    <w:rsid w:val="005D1F49"/>
    <w:pPr>
      <w:numPr>
        <w:numId w:val="6"/>
      </w:numPr>
    </w:pPr>
  </w:style>
  <w:style w:type="paragraph" w:styleId="ListNumber5">
    <w:name w:val="List Number 5"/>
    <w:basedOn w:val="List5"/>
    <w:rsid w:val="005D1F49"/>
    <w:pPr>
      <w:numPr>
        <w:numId w:val="7"/>
      </w:numPr>
    </w:pPr>
  </w:style>
  <w:style w:type="paragraph" w:styleId="BlockText">
    <w:name w:val="Block Text"/>
    <w:basedOn w:val="Normal"/>
    <w:rsid w:val="005D1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F49"/>
    <w:rPr>
      <w:sz w:val="16"/>
      <w:vertAlign w:val="superscript"/>
    </w:rPr>
  </w:style>
  <w:style w:type="character" w:customStyle="1" w:styleId="Symbols">
    <w:name w:val="Symbols"/>
    <w:basedOn w:val="DefaultParagraphFont"/>
    <w:rsid w:val="005D1F49"/>
    <w:rPr>
      <w:rFonts w:ascii="Symbol" w:hAnsi="Symbol"/>
    </w:rPr>
  </w:style>
  <w:style w:type="character" w:customStyle="1" w:styleId="MenuOptions">
    <w:name w:val="Menu Options"/>
    <w:basedOn w:val="DefaultParagraphFont"/>
    <w:rsid w:val="005D1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F49"/>
    <w:rPr>
      <w:b/>
    </w:rPr>
  </w:style>
  <w:style w:type="character" w:customStyle="1" w:styleId="Underlined">
    <w:name w:val="Underlined"/>
    <w:basedOn w:val="DefaultParagraphFont"/>
    <w:rsid w:val="005D1F49"/>
    <w:rPr>
      <w:u w:val="single"/>
    </w:rPr>
  </w:style>
  <w:style w:type="paragraph" w:customStyle="1" w:styleId="TableBodyTextRight">
    <w:name w:val="Table Body Text Right"/>
    <w:basedOn w:val="TableBodyText"/>
    <w:rsid w:val="005D1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F49"/>
    <w:rPr>
      <w:sz w:val="18"/>
    </w:rPr>
  </w:style>
  <w:style w:type="paragraph" w:customStyle="1" w:styleId="BodySmallRight">
    <w:name w:val="Body Small Right"/>
    <w:basedOn w:val="BodyTextRight"/>
    <w:rsid w:val="005D1F49"/>
    <w:rPr>
      <w:sz w:val="18"/>
      <w:szCs w:val="18"/>
    </w:rPr>
  </w:style>
  <w:style w:type="paragraph" w:customStyle="1" w:styleId="MarginEdition">
    <w:name w:val="Margin Edition"/>
    <w:basedOn w:val="MarginNote"/>
    <w:rsid w:val="005D1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F49"/>
    <w:rPr>
      <w:sz w:val="2"/>
      <w:szCs w:val="2"/>
    </w:rPr>
  </w:style>
  <w:style w:type="character" w:customStyle="1" w:styleId="Small">
    <w:name w:val="Small"/>
    <w:basedOn w:val="DefaultParagraphFont"/>
    <w:rsid w:val="005D1F49"/>
    <w:rPr>
      <w:sz w:val="16"/>
    </w:rPr>
  </w:style>
  <w:style w:type="paragraph" w:customStyle="1" w:styleId="WideTable">
    <w:name w:val="Wide Table"/>
    <w:basedOn w:val="Normal"/>
    <w:rsid w:val="005D1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F49"/>
  </w:style>
  <w:style w:type="paragraph" w:styleId="Quote">
    <w:name w:val="Quote"/>
    <w:basedOn w:val="Heading1"/>
    <w:link w:val="QuoteChar"/>
    <w:qFormat/>
    <w:rsid w:val="005D1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F49"/>
    <w:pPr>
      <w:pageBreakBefore/>
    </w:pPr>
  </w:style>
  <w:style w:type="paragraph" w:customStyle="1" w:styleId="Border">
    <w:name w:val="Border"/>
    <w:basedOn w:val="Normal"/>
    <w:qFormat/>
    <w:rsid w:val="005D1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F49"/>
    <w:rPr>
      <w:u w:val="single"/>
    </w:rPr>
  </w:style>
  <w:style w:type="character" w:customStyle="1" w:styleId="BoldandItalics">
    <w:name w:val="Bold and Italics"/>
    <w:qFormat/>
    <w:rsid w:val="005D1F49"/>
    <w:rPr>
      <w:b/>
      <w:i/>
      <w:u w:val="none"/>
    </w:rPr>
  </w:style>
  <w:style w:type="paragraph" w:styleId="BalloonText">
    <w:name w:val="Balloon Text"/>
    <w:basedOn w:val="Normal"/>
    <w:link w:val="BalloonTextChar"/>
    <w:rsid w:val="005D1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F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F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F49"/>
    <w:pPr>
      <w:spacing w:before="0" w:after="0"/>
    </w:pPr>
  </w:style>
  <w:style w:type="paragraph" w:customStyle="1" w:styleId="BodyTextBold">
    <w:name w:val="Body Text Bold"/>
    <w:basedOn w:val="BodyText"/>
    <w:qFormat/>
    <w:rsid w:val="005D1F49"/>
    <w:rPr>
      <w:b/>
    </w:rPr>
  </w:style>
  <w:style w:type="character" w:styleId="Hyperlink">
    <w:name w:val="Hyperlink"/>
    <w:basedOn w:val="DefaultParagraphFont"/>
    <w:uiPriority w:val="99"/>
    <w:unhideWhenUsed/>
    <w:rsid w:val="005377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5143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5868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RIICBM303D Install pre-cast parapets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2020-09-23T08:45:00Z</dcterms:created>
  <dcterms:modified xsi:type="dcterms:W3CDTF">2020-09-23T08:45:00Z</dcterms:modified>
</cp:coreProperties>
</file>