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4A9" w:rsidP="008B24A9">
      <w:pPr>
        <w:pStyle w:val="Title"/>
      </w:pPr>
      <w:r>
        <w:fldChar w:fldCharType="begin"/>
      </w:r>
      <w:r>
        <w:instrText xml:space="preserve"> TITLE   \* MERGEFORMAT </w:instrText>
      </w:r>
      <w:r>
        <w:fldChar w:fldCharType="separate"/>
      </w:r>
      <w:r>
        <w:t>RIIBLA602E Establish and maintain explosives safety and security management systems</w:t>
      </w:r>
      <w:r>
        <w:fldChar w:fldCharType="end"/>
      </w:r>
    </w:p>
    <w:p w:rsidR="008B24A9" w:rsidP="008B24A9">
      <w:pPr>
        <w:pStyle w:val="Version"/>
        <w:sectPr w:rsidSect="009F2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27E" w:rsidP="009F227E">
      <w:pPr>
        <w:pStyle w:val="SuperHeading"/>
      </w:pPr>
      <w:r w:rsidRPr="009F227E">
        <w:t>RIIBLA602E Establish and maintain explosives safety and security management systems</w:t>
      </w:r>
    </w:p>
    <w:p w:rsidR="00000000" w:rsidRPr="009F227E" w:rsidP="009F227E">
      <w:pPr>
        <w:pStyle w:val="Heading1"/>
      </w:pPr>
      <w:bookmarkStart w:id="1" w:name="O_1172276"/>
      <w:bookmarkEnd w:id="1"/>
      <w:r w:rsidRPr="009F227E">
        <w:t>Modification History</w:t>
      </w:r>
    </w:p>
    <w:tbl>
      <w:tblPr>
        <w:tblW w:w="9522" w:type="dxa"/>
        <w:tblLayout w:type="fixed"/>
        <w:tblCellMar>
          <w:left w:w="62" w:type="dxa"/>
          <w:right w:w="62" w:type="dxa"/>
        </w:tblCellMar>
        <w:tblLook w:val="0000"/>
      </w:tblPr>
      <w:tblGrid>
        <w:gridCol w:w="2864"/>
        <w:gridCol w:w="6658"/>
      </w:tblGrid>
      <w:tr w:rsidTr="009F227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BodyText"/>
            </w:pPr>
            <w:r w:rsidRPr="009F227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BodyText"/>
              <w:rPr>
                <w:lang w:val="en-NZ"/>
              </w:rPr>
            </w:pPr>
            <w:r w:rsidRPr="009F227E">
              <w:rPr>
                <w:rStyle w:val="SpecialBold"/>
              </w:rPr>
              <w:t>Comments</w:t>
            </w:r>
          </w:p>
        </w:tc>
      </w:tr>
      <w:tr w:rsidTr="009F227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BodyText"/>
              <w:rPr>
                <w:lang w:val="en-NZ"/>
              </w:rPr>
            </w:pPr>
            <w:r w:rsidRPr="009F227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BodyText"/>
            </w:pPr>
            <w:r w:rsidRPr="009F227E">
              <w:t>This version first released with RII Resources and Infrastructure Industry Training Package Version 7.0.</w:t>
            </w:r>
          </w:p>
        </w:tc>
      </w:tr>
    </w:tbl>
    <w:p w:rsidR="00000000" w:rsidRPr="009F227E" w:rsidP="009F227E">
      <w:pPr>
        <w:pStyle w:val="BodyText"/>
      </w:pPr>
    </w:p>
    <w:p w:rsidR="00000000" w:rsidRPr="009F227E" w:rsidP="009F227E">
      <w:pPr>
        <w:pStyle w:val="AllowPageBreak"/>
      </w:pPr>
    </w:p>
    <w:p w:rsidR="00000000" w:rsidRPr="009F227E" w:rsidP="009F227E">
      <w:pPr>
        <w:pStyle w:val="Heading1"/>
      </w:pPr>
      <w:bookmarkStart w:id="2" w:name="O_1172281"/>
      <w:bookmarkEnd w:id="2"/>
      <w:r w:rsidRPr="009F227E">
        <w:t>Application</w:t>
      </w:r>
    </w:p>
    <w:p w:rsidR="00000000" w:rsidRPr="009F227E" w:rsidP="008B24A9">
      <w:pPr>
        <w:pStyle w:val="BodyText"/>
      </w:pPr>
      <w:r w:rsidRPr="009F227E">
        <w:t xml:space="preserve">This unit describes the skills and knowledge required to establish and maintain an explosives safety and security management system in the extractive, coal mining and metalliferous mining sectors. It includes establishing </w:t>
      </w:r>
      <w:r w:rsidRPr="009F227E">
        <w:t>systems for managing safety and security throughout activities covering the explosives lifecycle, and supporting relevant processes and procedures, training requirements, and audit and review systems. The explosives lifecycle includes all activities undert</w:t>
      </w:r>
      <w:r w:rsidRPr="009F227E">
        <w:t>aken during explosives operations, including delivery, storage, manufacture, transport, use, misfire management and disposal, incident management and maintenance processes for plant and equipment.</w:t>
      </w:r>
    </w:p>
    <w:p w:rsidR="00000000" w:rsidRPr="009F227E" w:rsidP="008B24A9">
      <w:pPr>
        <w:pStyle w:val="BodyText"/>
      </w:pPr>
      <w:r w:rsidRPr="009F227E">
        <w:t>The unit applies to those working in management roles or te</w:t>
      </w:r>
      <w:r w:rsidRPr="009F227E">
        <w:t>chnical specialist roles. They generally perform complex, non</w:t>
      </w:r>
      <w:r w:rsidRPr="009F227E">
        <w:noBreakHyphen/>
        <w:t>routine tasks involving strategic and planning activities and are responsible for establishing and maintaining operational systems and plans.</w:t>
      </w:r>
    </w:p>
    <w:p w:rsidR="00000000" w:rsidRPr="009F227E" w:rsidP="008B24A9">
      <w:pPr>
        <w:pStyle w:val="BodyText"/>
      </w:pPr>
      <w:r w:rsidRPr="009F227E">
        <w:t>Licensing, legislative and certification requirement</w:t>
      </w:r>
      <w:r w:rsidRPr="009F227E">
        <w:t xml:space="preserve">s that apply to this unit can vary between states, territories, and industry sectors. Users must check requirements with relevant body before applying the unit. </w:t>
      </w:r>
    </w:p>
    <w:p w:rsidR="00000000" w:rsidRPr="009F227E" w:rsidP="009F227E">
      <w:pPr>
        <w:pStyle w:val="Heading1"/>
      </w:pPr>
      <w:bookmarkStart w:id="3" w:name="O_1172280"/>
      <w:bookmarkEnd w:id="3"/>
      <w:r w:rsidRPr="009F227E">
        <w:t>Unit Sector</w:t>
      </w:r>
    </w:p>
    <w:p w:rsidR="00000000" w:rsidRPr="009F227E" w:rsidP="008B24A9">
      <w:pPr>
        <w:pStyle w:val="List"/>
      </w:pPr>
      <w:r w:rsidRPr="009F227E">
        <w:t>Coal mining</w:t>
      </w:r>
    </w:p>
    <w:p w:rsidR="00000000" w:rsidRPr="009F227E" w:rsidP="008B24A9">
      <w:pPr>
        <w:pStyle w:val="List"/>
      </w:pPr>
      <w:r w:rsidRPr="009F227E">
        <w:t>Extractive</w:t>
      </w:r>
    </w:p>
    <w:p w:rsidR="00000000" w:rsidRPr="009F227E" w:rsidP="008B24A9">
      <w:pPr>
        <w:pStyle w:val="List"/>
      </w:pPr>
      <w:r w:rsidRPr="009F227E">
        <w:t>Metalliferous mining</w:t>
      </w:r>
    </w:p>
    <w:p w:rsidR="00000000" w:rsidRPr="009F227E" w:rsidP="009F227E">
      <w:pPr>
        <w:pStyle w:val="AllowPageBreak"/>
      </w:pPr>
    </w:p>
    <w:p w:rsidR="00000000" w:rsidRPr="009F227E" w:rsidP="009F227E">
      <w:pPr>
        <w:pStyle w:val="Heading1"/>
      </w:pPr>
      <w:bookmarkStart w:id="4" w:name="O_1172279"/>
      <w:bookmarkEnd w:id="4"/>
      <w:r w:rsidRPr="009F227E">
        <w:t>Elements and Performance Criteria</w:t>
      </w:r>
    </w:p>
    <w:tbl>
      <w:tblPr>
        <w:tblW w:w="0" w:type="auto"/>
        <w:tblCellMar>
          <w:left w:w="62" w:type="dxa"/>
          <w:right w:w="62" w:type="dxa"/>
        </w:tblCellMar>
        <w:tblLook w:val="0000"/>
      </w:tblPr>
      <w:tblGrid>
        <w:gridCol w:w="2285"/>
        <w:gridCol w:w="6911"/>
      </w:tblGrid>
      <w:tr w:rsidTr="008B24A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BodyText"/>
            </w:pPr>
            <w:r w:rsidRPr="009F227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BodyText"/>
              <w:rPr>
                <w:lang w:val="en-NZ"/>
              </w:rPr>
            </w:pPr>
            <w:r w:rsidRPr="009F227E">
              <w:rPr>
                <w:rStyle w:val="SpecialBold"/>
              </w:rPr>
              <w:t>PERFORMANCE CRITERIA</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BodyText"/>
            </w:pPr>
            <w:r w:rsidRPr="009F227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BodyText"/>
              <w:rPr>
                <w:lang w:val="en-NZ"/>
              </w:rPr>
            </w:pPr>
            <w:r w:rsidRPr="009F227E">
              <w:rPr>
                <w:rStyle w:val="Emphasis"/>
              </w:rPr>
              <w:t>Performance criteria describe the performance needed to demonstrate achievement of the element.</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List"/>
              <w:rPr>
                <w:lang w:val="en-NZ"/>
              </w:rPr>
            </w:pPr>
            <w:r w:rsidRPr="009F227E">
              <w:t xml:space="preserve">1. Determine blasting </w:t>
            </w:r>
            <w:r w:rsidRPr="009F227E">
              <w:t xml:space="preserve">objectives and prepare to establish and maintain explosives safety and management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List"/>
            </w:pPr>
            <w:r w:rsidRPr="009F227E">
              <w:t>1.1 Obtain, interpret and confirm blasting objectives</w:t>
            </w:r>
          </w:p>
          <w:p w:rsidR="00000000" w:rsidRPr="009F227E" w:rsidP="009F227E">
            <w:pPr>
              <w:pStyle w:val="List"/>
            </w:pPr>
            <w:r w:rsidRPr="009F227E">
              <w:t>1.2 Access, interpret and apply documentation required to establish and maintain explosiv</w:t>
            </w:r>
            <w:r w:rsidRPr="009F227E">
              <w:t>es safety and security management systems</w:t>
            </w:r>
          </w:p>
          <w:p w:rsidR="00000000" w:rsidRPr="009F227E" w:rsidP="009F227E">
            <w:pPr>
              <w:pStyle w:val="List"/>
            </w:pPr>
            <w:r w:rsidRPr="009F227E">
              <w:t>1.3 Develop organisational safety and security policies, objectives and procedures that outline organisational commitment to explosives safety and security, and proposed implementation of required legislation</w:t>
            </w:r>
          </w:p>
          <w:p w:rsidR="00000000" w:rsidRPr="009F227E" w:rsidP="009F227E">
            <w:pPr>
              <w:pStyle w:val="List"/>
            </w:pPr>
            <w:r w:rsidRPr="009F227E">
              <w:t>1.4 D</w:t>
            </w:r>
            <w:r w:rsidRPr="009F227E">
              <w:t>efine, allocate and include job descriptions and duty statements for required positions</w:t>
            </w:r>
          </w:p>
          <w:p w:rsidR="00000000" w:rsidRPr="009F227E" w:rsidP="009F227E">
            <w:pPr>
              <w:pStyle w:val="List"/>
            </w:pPr>
            <w:r w:rsidRPr="009F227E">
              <w:t>1.5 Identify, obtain and allocate resources for operation of explosives safety and security management system</w:t>
            </w:r>
          </w:p>
          <w:p w:rsidR="00000000" w:rsidP="009F227E">
            <w:pPr>
              <w:pStyle w:val="List"/>
              <w:rPr>
                <w:lang w:val="en-NZ"/>
              </w:rPr>
            </w:pPr>
            <w:r w:rsidRPr="009F227E">
              <w:t>1.6 Communicate information on explosives safety and secur</w:t>
            </w:r>
            <w:r w:rsidRPr="009F227E">
              <w:t>ity management system and procedures in a format accessible to required personnel</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List"/>
              <w:rPr>
                <w:lang w:val="en-NZ"/>
              </w:rPr>
            </w:pPr>
            <w:r w:rsidRPr="009F227E">
              <w:t>2. Establish and maintain participative arrangements for management of explosives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List"/>
            </w:pPr>
            <w:r w:rsidRPr="009F227E">
              <w:t>2.1 Establish and maintain consultative processes with required personnel</w:t>
            </w:r>
          </w:p>
          <w:p w:rsidR="00000000" w:rsidRPr="009F227E" w:rsidP="009F227E">
            <w:pPr>
              <w:pStyle w:val="List"/>
            </w:pPr>
            <w:r w:rsidRPr="009F227E">
              <w:t>2.2 Confirm issue</w:t>
            </w:r>
            <w:r w:rsidRPr="009F227E">
              <w:t>s raised through participation and consultation are addressed according to organisational procedures</w:t>
            </w:r>
          </w:p>
          <w:p w:rsidR="00000000" w:rsidP="009F227E">
            <w:pPr>
              <w:pStyle w:val="List"/>
              <w:rPr>
                <w:lang w:val="en-NZ"/>
              </w:rPr>
            </w:pPr>
            <w:r w:rsidRPr="009F227E">
              <w:t>2.3 Confirm information about the outcomes of participation and consultation is provided in a format accessible to required personnel</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List"/>
              <w:rPr>
                <w:lang w:val="en-NZ"/>
              </w:rPr>
            </w:pPr>
            <w:r w:rsidRPr="009F227E">
              <w:t>3. Establish and maintain processes for identifying safety and security hazards throughout explosives lifecycle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List"/>
            </w:pPr>
            <w:r w:rsidRPr="009F227E">
              <w:t>3.1 Develop and maintain process for ongoing identification of existing and potential safety and security hazards throughout explosives lifecycl</w:t>
            </w:r>
            <w:r w:rsidRPr="009F227E">
              <w:t>e for the operation</w:t>
            </w:r>
          </w:p>
          <w:p w:rsidR="00000000" w:rsidRPr="009F227E" w:rsidP="009F227E">
            <w:pPr>
              <w:pStyle w:val="List"/>
            </w:pPr>
            <w:r w:rsidRPr="009F227E">
              <w:t xml:space="preserve">3.2 Monitor activities to confirm that safety and security hazard identification procedures are adopted throughout explosives lifecycle </w:t>
            </w:r>
          </w:p>
          <w:p w:rsidR="00000000" w:rsidP="009F227E">
            <w:pPr>
              <w:pStyle w:val="List"/>
              <w:rPr>
                <w:lang w:val="en-NZ"/>
              </w:rPr>
            </w:pPr>
            <w:r w:rsidRPr="009F227E">
              <w:t>3.3 Confirm safety and security hazard identification procedures are applied at planning, design an</w:t>
            </w:r>
            <w:r w:rsidRPr="009F227E">
              <w:t xml:space="preserve">d evaluation stages of any change to explosives activities </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List"/>
              <w:rPr>
                <w:lang w:val="en-NZ"/>
              </w:rPr>
            </w:pPr>
            <w:r w:rsidRPr="009F227E">
              <w:t>4. Establish and maintain procedures for assessing safety and security risk throughout explosives lifecycle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List"/>
            </w:pPr>
            <w:r w:rsidRPr="009F227E">
              <w:t>4.1 Develop procedures for ongoing assessment of safety and security risks throughout a</w:t>
            </w:r>
            <w:r w:rsidRPr="009F227E">
              <w:t>ctivities encompassing explosives lifecycle for the operation</w:t>
            </w:r>
          </w:p>
          <w:p w:rsidR="00000000" w:rsidRPr="009F227E" w:rsidP="009F227E">
            <w:pPr>
              <w:pStyle w:val="List"/>
            </w:pPr>
            <w:r w:rsidRPr="009F227E">
              <w:t>4.2 Monitor activities to confirm risk assessment procedure is adopted effectively throughout the organisation</w:t>
            </w:r>
          </w:p>
          <w:p w:rsidR="00000000" w:rsidRPr="009F227E" w:rsidP="009F227E">
            <w:pPr>
              <w:pStyle w:val="List"/>
            </w:pPr>
            <w:r w:rsidRPr="009F227E">
              <w:t>4.3 Confirm appropriate assessment of safety and security risks identified througho</w:t>
            </w:r>
            <w:r w:rsidRPr="009F227E">
              <w:t>ut activities encompassing explosives lifecycle for the operation</w:t>
            </w:r>
          </w:p>
          <w:p w:rsidR="00000000" w:rsidP="009F227E">
            <w:pPr>
              <w:pStyle w:val="List"/>
              <w:rPr>
                <w:lang w:val="en-NZ"/>
              </w:rPr>
            </w:pPr>
            <w:r w:rsidRPr="009F227E">
              <w:t>4.4 Confirm procedures are in place for safety and security risk assessment to be addressed at the planning, design and evaluation stages of any change to explosives activities within the or</w:t>
            </w:r>
            <w:r w:rsidRPr="009F227E">
              <w:t>ganisation</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List"/>
              <w:rPr>
                <w:lang w:val="en-NZ"/>
              </w:rPr>
            </w:pPr>
            <w:r w:rsidRPr="009F227E">
              <w:t xml:space="preserve">5. Establish and maintain procedures for treating safety and security risks throughout </w:t>
            </w:r>
            <w:r w:rsidRPr="009F227E">
              <w:t>explosives lifecycle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List"/>
            </w:pPr>
            <w:r w:rsidRPr="009F227E">
              <w:t>5.1 Develop measures to control assessed safety and security risks according to legislative requirements, industry standards and codes o</w:t>
            </w:r>
            <w:r w:rsidRPr="009F227E">
              <w:t>f practice, and trends identified from organisational records management system</w:t>
            </w:r>
          </w:p>
          <w:p w:rsidR="00000000" w:rsidRPr="009F227E" w:rsidP="009F227E">
            <w:pPr>
              <w:pStyle w:val="List"/>
            </w:pPr>
            <w:r w:rsidRPr="009F227E">
              <w:t xml:space="preserve">5.2 Confirm implementation of interim solutions, until permanent control </w:t>
            </w:r>
            <w:r w:rsidRPr="009F227E">
              <w:t>measure is developed, when measures that treat identified safety and security risks at their source are</w:t>
            </w:r>
            <w:r w:rsidRPr="009F227E">
              <w:t xml:space="preserve"> not immediately practicable</w:t>
            </w:r>
          </w:p>
          <w:p w:rsidR="00000000" w:rsidRPr="009F227E" w:rsidP="009F227E">
            <w:pPr>
              <w:pStyle w:val="List"/>
            </w:pPr>
            <w:r w:rsidRPr="009F227E">
              <w:t>5.3 Monitor activities to confirm that safety and security risk treatment procedure is adopted throughout organisational activities that cover explosives lifecycle</w:t>
            </w:r>
          </w:p>
          <w:p w:rsidR="00000000" w:rsidRPr="009F227E" w:rsidP="009F227E">
            <w:pPr>
              <w:pStyle w:val="List"/>
            </w:pPr>
            <w:r w:rsidRPr="009F227E">
              <w:t xml:space="preserve">5.4 Confirm safety and security risk treatment is addressed at </w:t>
            </w:r>
            <w:r w:rsidRPr="009F227E">
              <w:t>planning, design and evaluation stages of any change to explosives activities in the organisation, and confirm inclusion of required safety and security risk control measures</w:t>
            </w:r>
          </w:p>
          <w:p w:rsidR="00000000" w:rsidP="009F227E">
            <w:pPr>
              <w:pStyle w:val="List"/>
              <w:rPr>
                <w:lang w:val="en-NZ"/>
              </w:rPr>
            </w:pPr>
            <w:r w:rsidRPr="009F227E">
              <w:t>5.5 Identify inadequacies in existing safety and security risk treatment measures</w:t>
            </w:r>
            <w:r w:rsidRPr="009F227E">
              <w:t>, and provide resources to implement new measures according to organisational procedures</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List"/>
              <w:rPr>
                <w:lang w:val="en-NZ"/>
              </w:rPr>
            </w:pPr>
            <w:r w:rsidRPr="009F227E">
              <w:t>6. Establish and maintain organisational procedures for addressing unplanned explosives safety and security incidents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List"/>
            </w:pPr>
            <w:r w:rsidRPr="009F227E">
              <w:t>6.1 Identify range of most likely, potential, un</w:t>
            </w:r>
            <w:r w:rsidRPr="009F227E">
              <w:t>planned, safety and security incidents according to analysis of likely risks relating to activities covering explosives lifecycle</w:t>
            </w:r>
          </w:p>
          <w:p w:rsidR="00000000" w:rsidRPr="009F227E" w:rsidP="009F227E">
            <w:pPr>
              <w:pStyle w:val="List"/>
            </w:pPr>
            <w:r w:rsidRPr="009F227E">
              <w:t>6.2 Develop procedures for addressing sa</w:t>
            </w:r>
            <w:r w:rsidRPr="009F227E">
              <w:t>fety and security risks associated with identified potential events according to legislative, emergency services and explosives supplier requirements</w:t>
            </w:r>
          </w:p>
          <w:p w:rsidR="00000000" w:rsidP="009F227E">
            <w:pPr>
              <w:pStyle w:val="List"/>
              <w:rPr>
                <w:lang w:val="en-NZ"/>
              </w:rPr>
            </w:pPr>
            <w:r w:rsidRPr="009F227E">
              <w:t>6.3 Provide safety and security information and training to required personnel implementing procedures cov</w:t>
            </w:r>
            <w:r w:rsidRPr="009F227E">
              <w:t>ering explosives lifecycle activities according to legislative, organisational and explosives supplier requirements</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List"/>
              <w:rPr>
                <w:lang w:val="en-NZ"/>
              </w:rPr>
            </w:pPr>
            <w:r w:rsidRPr="009F227E">
              <w:t>7. Establish and maintain explosives training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List"/>
            </w:pPr>
            <w:r w:rsidRPr="009F227E">
              <w:t>7.1 Develop training program addressing training needs of required personnel accordin</w:t>
            </w:r>
            <w:r w:rsidRPr="009F227E">
              <w:t>g to explosives activities being undertaken</w:t>
            </w:r>
          </w:p>
          <w:p w:rsidR="00000000" w:rsidP="009F227E">
            <w:pPr>
              <w:pStyle w:val="List"/>
              <w:rPr>
                <w:lang w:val="en-NZ"/>
              </w:rPr>
            </w:pPr>
            <w:r w:rsidRPr="009F227E">
              <w:t>7.2 Confirm implementation of training program according to organisational requirements</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List"/>
              <w:rPr>
                <w:lang w:val="en-NZ"/>
              </w:rPr>
            </w:pPr>
            <w:r w:rsidRPr="009F227E">
              <w:t>8. Establish and maintain system for explosives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List"/>
            </w:pPr>
            <w:r w:rsidRPr="009F227E">
              <w:t xml:space="preserve">8.1 Establish system for recording explosives lifecycle activities </w:t>
            </w:r>
            <w:r w:rsidRPr="009F227E">
              <w:t>and outcomes according to legislative and organisational requirements</w:t>
            </w:r>
          </w:p>
          <w:p w:rsidR="00000000" w:rsidP="009F227E">
            <w:pPr>
              <w:pStyle w:val="List"/>
              <w:rPr>
                <w:lang w:val="en-NZ"/>
              </w:rPr>
            </w:pPr>
            <w:r w:rsidRPr="009F227E">
              <w:t>8.2 Monitor explosives record system and confirm system allows for identification of patterns of occupational injury, incidents and security breaches in the organisation</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List"/>
              <w:rPr>
                <w:lang w:val="en-NZ"/>
              </w:rPr>
            </w:pPr>
            <w:r w:rsidRPr="009F227E">
              <w:t>9. Evaluate exp</w:t>
            </w:r>
            <w:r w:rsidRPr="009F227E">
              <w:t>losives safety and security management system and related policies, procedures and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List"/>
            </w:pPr>
            <w:r w:rsidRPr="009F227E">
              <w:t>9.1 Assess effectiveness of explosives safety and security management system and related policies, procedures and programs</w:t>
            </w:r>
          </w:p>
          <w:p w:rsidR="00000000" w:rsidRPr="009F227E" w:rsidP="009F227E">
            <w:pPr>
              <w:pStyle w:val="List"/>
            </w:pPr>
            <w:r w:rsidRPr="009F227E">
              <w:t>9.2 Develop and confirm implementation of</w:t>
            </w:r>
            <w:r w:rsidRPr="009F227E">
              <w:t xml:space="preserve"> improvements to explosives safety and security management system, and confirm resultant achievement of improved blasting outcomes </w:t>
            </w:r>
          </w:p>
          <w:p w:rsidR="00000000" w:rsidRPr="009F227E" w:rsidP="009F227E">
            <w:pPr>
              <w:pStyle w:val="List"/>
            </w:pPr>
            <w:r w:rsidRPr="009F227E">
              <w:t>9.3 Assess and confirm compliance with legislative requirements relating to explosives and relevant industry sector, industr</w:t>
            </w:r>
            <w:r w:rsidRPr="009F227E">
              <w:t>y standards and codes of practice, guidance notes and guidelines</w:t>
            </w:r>
          </w:p>
        </w:tc>
      </w:tr>
    </w:tbl>
    <w:p w:rsidR="00000000" w:rsidRPr="009F227E" w:rsidP="009F227E">
      <w:pPr>
        <w:pStyle w:val="BodyText"/>
      </w:pPr>
    </w:p>
    <w:p w:rsidR="00000000" w:rsidRPr="009F227E" w:rsidP="009F227E">
      <w:pPr>
        <w:pStyle w:val="AllowPageBreak"/>
      </w:pPr>
    </w:p>
    <w:p w:rsidR="00000000" w:rsidRPr="009F227E" w:rsidP="009F227E">
      <w:pPr>
        <w:pStyle w:val="Heading1"/>
      </w:pPr>
      <w:bookmarkStart w:id="5" w:name="O_1172278"/>
      <w:bookmarkEnd w:id="5"/>
      <w:r w:rsidRPr="009F227E">
        <w:t>Foundation Skills</w:t>
      </w:r>
    </w:p>
    <w:p w:rsidR="00000000" w:rsidRPr="008B24A9" w:rsidP="008B24A9">
      <w:pPr>
        <w:pStyle w:val="BodyText"/>
        <w:rPr>
          <w:i/>
        </w:rPr>
      </w:pPr>
      <w:r w:rsidRPr="008B24A9">
        <w:rPr>
          <w:rStyle w:val="Emphasis"/>
        </w:rPr>
        <w:t>This section describes those language, literacy, numeracy and employment skills that are essential to performance but not explicit in the performance cr</w:t>
      </w:r>
      <w:r w:rsidRPr="008B24A9">
        <w:rPr>
          <w:rStyle w:val="Emphasis"/>
        </w:rPr>
        <w:t>iteria.</w:t>
      </w:r>
    </w:p>
    <w:tbl>
      <w:tblPr>
        <w:tblW w:w="0" w:type="auto"/>
        <w:tblCellMar>
          <w:left w:w="62" w:type="dxa"/>
          <w:right w:w="62" w:type="dxa"/>
        </w:tblCellMar>
        <w:tblLook w:val="0000"/>
      </w:tblPr>
      <w:tblGrid>
        <w:gridCol w:w="2357"/>
        <w:gridCol w:w="6839"/>
      </w:tblGrid>
      <w:tr w:rsidTr="008B24A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227E" w:rsidP="009F227E">
            <w:pPr>
              <w:pStyle w:val="BodyText"/>
            </w:pPr>
            <w:r w:rsidRPr="009F227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BodyText"/>
              <w:rPr>
                <w:lang w:val="en-NZ"/>
              </w:rPr>
            </w:pPr>
            <w:r w:rsidRPr="009F227E">
              <w:rPr>
                <w:rStyle w:val="SpecialBold"/>
              </w:rPr>
              <w:t>DESCRIPTION</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BodyText"/>
              <w:rPr>
                <w:lang w:val="en-NZ"/>
              </w:rPr>
            </w:pPr>
            <w:r w:rsidRPr="009F227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27E">
            <w:pPr>
              <w:pStyle w:val="ListBullet"/>
              <w:rPr>
                <w:lang w:val="en-NZ"/>
              </w:rPr>
            </w:pPr>
            <w:r w:rsidRPr="009F227E">
              <w:t>Calculates resourcing requirements</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BodyText"/>
              <w:rPr>
                <w:lang w:val="en-NZ"/>
              </w:rPr>
            </w:pPr>
            <w:r w:rsidRPr="009F227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27E">
            <w:pPr>
              <w:pStyle w:val="ListBullet"/>
              <w:rPr>
                <w:lang w:val="en-NZ"/>
              </w:rPr>
            </w:pPr>
            <w:r w:rsidRPr="009F227E">
              <w:t>Conveys information and requirements clearly and listens carefully</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BodyText"/>
              <w:rPr>
                <w:lang w:val="en-NZ"/>
              </w:rPr>
            </w:pPr>
            <w:r w:rsidRPr="009F227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227E">
            <w:pPr>
              <w:pStyle w:val="ListBullet"/>
              <w:rPr>
                <w:lang w:val="en-NZ"/>
              </w:rPr>
            </w:pPr>
            <w:r w:rsidRPr="009F227E">
              <w:t>Identifies and interprets relevant information from workplace procedures, documentation and legislation</w:t>
            </w:r>
          </w:p>
        </w:tc>
      </w:tr>
      <w:tr w:rsidTr="008B24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227E">
            <w:pPr>
              <w:pStyle w:val="BodyText"/>
              <w:rPr>
                <w:lang w:val="en-NZ"/>
              </w:rPr>
            </w:pPr>
            <w:r w:rsidRPr="009F227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227E" w:rsidP="009F227E">
            <w:pPr>
              <w:pStyle w:val="ListBullet"/>
            </w:pPr>
            <w:r w:rsidRPr="009F227E">
              <w:t xml:space="preserve">Prepares specific information that complies with a range of requirements, using sector-specific </w:t>
            </w:r>
            <w:r w:rsidRPr="009F227E">
              <w:t>vocabulary, grammatical structures and conventions</w:t>
            </w:r>
          </w:p>
        </w:tc>
      </w:tr>
    </w:tbl>
    <w:p w:rsidR="00000000" w:rsidRPr="009F227E" w:rsidP="009F227E">
      <w:pPr>
        <w:pStyle w:val="BodyText"/>
      </w:pPr>
    </w:p>
    <w:p w:rsidR="00000000" w:rsidRPr="009F227E" w:rsidP="009F227E">
      <w:pPr>
        <w:pStyle w:val="AllowPageBreak"/>
      </w:pPr>
    </w:p>
    <w:p w:rsidR="00000000" w:rsidRPr="009F227E" w:rsidP="009F227E">
      <w:pPr>
        <w:pStyle w:val="Heading1"/>
      </w:pPr>
      <w:bookmarkStart w:id="6" w:name="O_1172277"/>
      <w:bookmarkEnd w:id="6"/>
      <w:r w:rsidRPr="009F227E">
        <w:t>Unit Mapping Information</w:t>
      </w:r>
    </w:p>
    <w:p w:rsidR="00000000" w:rsidRPr="009F227E" w:rsidP="008B24A9">
      <w:pPr>
        <w:pStyle w:val="BodyText"/>
      </w:pPr>
      <w:r w:rsidRPr="009F227E">
        <w:t>Supersedes and is not equivalent to RIIBLA602D Establish and maintain a blasting system.</w:t>
      </w:r>
    </w:p>
    <w:p w:rsidR="00000000" w:rsidRPr="009F227E" w:rsidP="009F227E">
      <w:pPr>
        <w:pStyle w:val="Heading1"/>
      </w:pPr>
      <w:bookmarkStart w:id="7" w:name="O_1172270"/>
      <w:bookmarkEnd w:id="7"/>
      <w:r w:rsidRPr="009F227E">
        <w:t>Links</w:t>
      </w:r>
    </w:p>
    <w:p w:rsidR="00000000" w:rsidRPr="009F227E" w:rsidP="008B24A9">
      <w:pPr>
        <w:pStyle w:val="BodyText"/>
      </w:pPr>
      <w:r w:rsidRPr="009F227E">
        <w:t>Companion Volume Implementation Guide is foun</w:t>
      </w:r>
      <w:r w:rsidRPr="009F227E">
        <w:t xml:space="preserve">d on VETNet - </w:t>
      </w:r>
      <w:r>
        <w:fldChar w:fldCharType="begin"/>
      </w:r>
      <w:r>
        <w:instrText xml:space="preserve"> HYPERLINK "https://vetnet.gov.au/Pages/TrainingDocs.aspx?q=88a61002-9a21-4386-aaf8-69c76e675272" </w:instrText>
      </w:r>
      <w:r>
        <w:fldChar w:fldCharType="separate"/>
      </w:r>
      <w:r w:rsidRPr="00BB487B">
        <w:rPr>
          <w:rStyle w:val="Hyperlink"/>
        </w:rPr>
        <w:t>https://vetnet.gov.au/Pages/TrainingDocs.aspx?q=88a61002-9a21-4386-aaf8-69c76e675272</w:t>
      </w:r>
      <w:r>
        <w:fldChar w:fldCharType="end"/>
      </w:r>
    </w:p>
    <w:p w:rsidR="00000000" w:rsidRPr="009F227E" w:rsidP="009F227E"/>
    <w:sectPr w:rsidSect="009F22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7E" w:rsidRPr="008B24A9" w:rsidP="008B2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A9" w:rsidP="009F2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24A9" w:rsidP="009F22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B24A9" w:rsidP="009F2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27E" w:rsidRPr="008B24A9" w:rsidP="008B24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A9" w:rsidRPr="002D2AF8" w:rsidP="009F227E">
    <w:pPr>
      <w:pStyle w:val="Header"/>
      <w:framePr w:wrap="around"/>
    </w:pPr>
    <w:r>
      <w:fldChar w:fldCharType="begin"/>
    </w:r>
    <w:r>
      <w:instrText xml:space="preserve"> TITLE   \* MERGEFORMAT </w:instrText>
    </w:r>
    <w:r>
      <w:fldChar w:fldCharType="separate"/>
    </w:r>
    <w:r>
      <w:t>RIIBLA602E Establish and maintain explosives safety and security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B24A9" w:rsidP="009F2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8C4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C253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27E"/>
    <w:pPr>
      <w:spacing w:before="360" w:after="60"/>
      <w:outlineLvl w:val="0"/>
    </w:pPr>
    <w:rPr>
      <w:sz w:val="32"/>
    </w:rPr>
  </w:style>
  <w:style w:type="paragraph" w:styleId="Heading2">
    <w:name w:val="heading 2"/>
    <w:basedOn w:val="HeadingBase"/>
    <w:next w:val="BodyText"/>
    <w:link w:val="Heading2Char"/>
    <w:qFormat/>
    <w:rsid w:val="009F227E"/>
    <w:pPr>
      <w:keepLines/>
      <w:spacing w:before="240" w:after="120"/>
      <w:outlineLvl w:val="1"/>
    </w:pPr>
    <w:rPr>
      <w:sz w:val="28"/>
      <w:szCs w:val="40"/>
    </w:rPr>
  </w:style>
  <w:style w:type="paragraph" w:styleId="Heading3">
    <w:name w:val="heading 3"/>
    <w:basedOn w:val="HeadingBase"/>
    <w:next w:val="BodyText"/>
    <w:link w:val="Heading3Char"/>
    <w:qFormat/>
    <w:rsid w:val="009F227E"/>
    <w:pPr>
      <w:spacing w:before="180" w:after="120"/>
      <w:outlineLvl w:val="2"/>
    </w:pPr>
    <w:rPr>
      <w:spacing w:val="-10"/>
      <w:kern w:val="32"/>
    </w:rPr>
  </w:style>
  <w:style w:type="paragraph" w:styleId="Heading4">
    <w:name w:val="heading 4"/>
    <w:basedOn w:val="HeadingBase"/>
    <w:next w:val="BodyText"/>
    <w:link w:val="Heading4Char"/>
    <w:qFormat/>
    <w:rsid w:val="009F227E"/>
    <w:pPr>
      <w:spacing w:before="160" w:after="120"/>
      <w:outlineLvl w:val="3"/>
    </w:pPr>
    <w:rPr>
      <w:sz w:val="22"/>
    </w:rPr>
  </w:style>
  <w:style w:type="paragraph" w:styleId="Heading5">
    <w:name w:val="heading 5"/>
    <w:basedOn w:val="HeadingBase"/>
    <w:next w:val="Normal"/>
    <w:link w:val="Heading5Char"/>
    <w:qFormat/>
    <w:rsid w:val="009F227E"/>
    <w:pPr>
      <w:spacing w:before="80"/>
      <w:outlineLvl w:val="4"/>
    </w:pPr>
    <w:rPr>
      <w:color w:val="918585"/>
      <w:sz w:val="20"/>
    </w:rPr>
  </w:style>
  <w:style w:type="paragraph" w:styleId="Heading6">
    <w:name w:val="heading 6"/>
    <w:basedOn w:val="HeadingBase"/>
    <w:next w:val="Normal"/>
    <w:link w:val="Heading6Char"/>
    <w:qFormat/>
    <w:rsid w:val="009F227E"/>
    <w:pPr>
      <w:spacing w:before="60"/>
      <w:outlineLvl w:val="5"/>
    </w:pPr>
    <w:rPr>
      <w:color w:val="918585"/>
      <w:sz w:val="20"/>
    </w:rPr>
  </w:style>
  <w:style w:type="paragraph" w:styleId="Heading7">
    <w:name w:val="heading 7"/>
    <w:basedOn w:val="Normal"/>
    <w:next w:val="Normal"/>
    <w:link w:val="Heading7Char"/>
    <w:qFormat/>
    <w:rsid w:val="009F227E"/>
    <w:pPr>
      <w:ind w:left="720"/>
      <w:outlineLvl w:val="6"/>
    </w:pPr>
    <w:rPr>
      <w:i/>
    </w:rPr>
  </w:style>
  <w:style w:type="paragraph" w:styleId="Heading8">
    <w:name w:val="heading 8"/>
    <w:basedOn w:val="Normal"/>
    <w:next w:val="Normal"/>
    <w:link w:val="Heading8Char"/>
    <w:qFormat/>
    <w:rsid w:val="009F227E"/>
    <w:pPr>
      <w:ind w:left="720"/>
      <w:outlineLvl w:val="7"/>
    </w:pPr>
    <w:rPr>
      <w:i/>
    </w:rPr>
  </w:style>
  <w:style w:type="paragraph" w:styleId="Heading9">
    <w:name w:val="heading 9"/>
    <w:basedOn w:val="Normal"/>
    <w:next w:val="Normal"/>
    <w:link w:val="Heading9Char"/>
    <w:qFormat/>
    <w:rsid w:val="009F227E"/>
    <w:pPr>
      <w:ind w:left="720"/>
      <w:outlineLvl w:val="8"/>
    </w:pPr>
    <w:rPr>
      <w:i/>
    </w:rPr>
  </w:style>
  <w:style w:type="character" w:default="1" w:styleId="DefaultParagraphFont">
    <w:name w:val="Default Paragraph Font"/>
    <w:uiPriority w:val="1"/>
    <w:unhideWhenUsed/>
    <w:rsid w:val="009F2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27E"/>
  </w:style>
  <w:style w:type="character" w:customStyle="1" w:styleId="Heading1Char">
    <w:name w:val="Heading 1 Char"/>
    <w:basedOn w:val="DefaultParagraphFont"/>
    <w:link w:val="Heading1"/>
    <w:rsid w:val="009F227E"/>
    <w:rPr>
      <w:rFonts w:ascii="Times New Roman" w:eastAsia="Times New Roman" w:hAnsi="Times New Roman" w:cs="Times New Roman"/>
      <w:b/>
      <w:sz w:val="32"/>
      <w:szCs w:val="20"/>
      <w:lang w:eastAsia="en-US"/>
    </w:rPr>
  </w:style>
  <w:style w:type="paragraph" w:styleId="BodyText">
    <w:name w:val="Body Text"/>
    <w:basedOn w:val="Normal"/>
    <w:link w:val="BodyTextChar"/>
    <w:rsid w:val="009F2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27E"/>
    <w:rPr>
      <w:rFonts w:ascii="Times New Roman" w:eastAsia="Times New Roman" w:hAnsi="Times New Roman" w:cs="Times New Roman"/>
      <w:sz w:val="24"/>
      <w:lang w:eastAsia="en-US"/>
    </w:rPr>
  </w:style>
  <w:style w:type="paragraph" w:styleId="List">
    <w:name w:val="List"/>
    <w:basedOn w:val="BodyText"/>
    <w:next w:val="BodyText"/>
    <w:rsid w:val="009F227E"/>
    <w:pPr>
      <w:tabs>
        <w:tab w:val="left" w:pos="340"/>
      </w:tabs>
      <w:spacing w:before="60" w:after="60"/>
      <w:ind w:left="340" w:hanging="340"/>
    </w:pPr>
  </w:style>
  <w:style w:type="paragraph" w:styleId="ListBullet">
    <w:name w:val="List Bullet"/>
    <w:basedOn w:val="List"/>
    <w:rsid w:val="009F227E"/>
    <w:pPr>
      <w:numPr>
        <w:numId w:val="11"/>
      </w:numPr>
      <w:tabs>
        <w:tab w:val="clear" w:pos="340"/>
      </w:tabs>
      <w:spacing w:before="40" w:after="40"/>
    </w:pPr>
  </w:style>
  <w:style w:type="character" w:customStyle="1" w:styleId="SpecialBold">
    <w:name w:val="Special Bold"/>
    <w:basedOn w:val="DefaultParagraphFont"/>
    <w:rsid w:val="009F227E"/>
    <w:rPr>
      <w:b/>
      <w:spacing w:val="0"/>
    </w:rPr>
  </w:style>
  <w:style w:type="character" w:styleId="Emphasis">
    <w:name w:val="Emphasis"/>
    <w:basedOn w:val="DefaultParagraphFont"/>
    <w:qFormat/>
    <w:rsid w:val="009F227E"/>
    <w:rPr>
      <w:i/>
    </w:rPr>
  </w:style>
  <w:style w:type="paragraph" w:customStyle="1" w:styleId="SuperHeading">
    <w:name w:val="SuperHeading"/>
    <w:basedOn w:val="Normal"/>
    <w:rsid w:val="009F227E"/>
    <w:pPr>
      <w:spacing w:before="240" w:after="120"/>
      <w:outlineLvl w:val="0"/>
    </w:pPr>
    <w:rPr>
      <w:rFonts w:ascii="Times New Roman" w:hAnsi="Times New Roman"/>
      <w:b/>
      <w:sz w:val="32"/>
    </w:rPr>
  </w:style>
  <w:style w:type="paragraph" w:customStyle="1" w:styleId="AllowPageBreak">
    <w:name w:val="AllowPageBreak"/>
    <w:rsid w:val="009F22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27E"/>
    <w:rPr>
      <w:rFonts w:ascii="Courier New" w:eastAsia="Times New Roman" w:hAnsi="Courier New" w:cs="Times New Roman"/>
      <w:i/>
      <w:szCs w:val="20"/>
      <w:lang w:eastAsia="en-US"/>
    </w:rPr>
  </w:style>
  <w:style w:type="paragraph" w:customStyle="1" w:styleId="HeadingBase">
    <w:name w:val="Heading Base"/>
    <w:rsid w:val="009F2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27E"/>
    <w:pPr>
      <w:tabs>
        <w:tab w:val="right" w:leader="dot" w:pos="9072"/>
      </w:tabs>
      <w:ind w:left="567"/>
    </w:pPr>
    <w:rPr>
      <w:szCs w:val="22"/>
    </w:rPr>
  </w:style>
  <w:style w:type="paragraph" w:customStyle="1" w:styleId="TOCBase">
    <w:name w:val="TOC Base"/>
    <w:rsid w:val="009F2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27E"/>
    <w:pPr>
      <w:tabs>
        <w:tab w:val="right" w:leader="dot" w:pos="9072"/>
      </w:tabs>
      <w:spacing w:before="40" w:after="40"/>
      <w:ind w:left="284"/>
    </w:pPr>
    <w:rPr>
      <w:rFonts w:ascii="Times New Roman" w:hAnsi="Times New Roman"/>
    </w:rPr>
  </w:style>
  <w:style w:type="paragraph" w:styleId="TOC1">
    <w:name w:val="toc 1"/>
    <w:basedOn w:val="TOCBase"/>
    <w:next w:val="Normal"/>
    <w:rsid w:val="009F2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27E"/>
    <w:rPr>
      <w:rFonts w:ascii="Times New Roman" w:eastAsia="Times New Roman" w:hAnsi="Times New Roman" w:cs="Times New Roman"/>
      <w:sz w:val="16"/>
      <w:lang w:eastAsia="en-US"/>
    </w:rPr>
  </w:style>
  <w:style w:type="paragraph" w:styleId="Title">
    <w:name w:val="Title"/>
    <w:basedOn w:val="HeadingBase"/>
    <w:link w:val="TitleChar"/>
    <w:qFormat/>
    <w:rsid w:val="009F227E"/>
    <w:pPr>
      <w:spacing w:before="5040"/>
      <w:jc w:val="center"/>
    </w:pPr>
    <w:rPr>
      <w:sz w:val="48"/>
      <w:szCs w:val="72"/>
      <w:lang w:val="en-US"/>
    </w:rPr>
  </w:style>
  <w:style w:type="character" w:customStyle="1" w:styleId="TitleChar">
    <w:name w:val="Title Char"/>
    <w:basedOn w:val="DefaultParagraphFont"/>
    <w:link w:val="Title"/>
    <w:rsid w:val="009F2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27E"/>
    <w:pPr>
      <w:tabs>
        <w:tab w:val="left" w:pos="3600"/>
        <w:tab w:val="left" w:pos="3958"/>
      </w:tabs>
    </w:pPr>
  </w:style>
  <w:style w:type="paragraph" w:customStyle="1" w:styleId="Note">
    <w:name w:val="Note"/>
    <w:basedOn w:val="BodyText"/>
    <w:rsid w:val="009F2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27E"/>
    <w:pPr>
      <w:framePr w:wrap="auto" w:hAnchor="text" w:y="6049"/>
    </w:pPr>
    <w:rPr>
      <w:color w:val="000000"/>
      <w:sz w:val="40"/>
    </w:rPr>
  </w:style>
  <w:style w:type="paragraph" w:customStyle="1" w:styleId="TOCTitle">
    <w:name w:val="TOCTitle"/>
    <w:basedOn w:val="Heading1"/>
    <w:rsid w:val="009F227E"/>
    <w:pPr>
      <w:spacing w:after="240"/>
      <w:jc w:val="center"/>
      <w:outlineLvl w:val="9"/>
    </w:pPr>
    <w:rPr>
      <w:caps/>
    </w:rPr>
  </w:style>
  <w:style w:type="paragraph" w:customStyle="1" w:styleId="Version">
    <w:name w:val="Version"/>
    <w:rsid w:val="009F22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227E"/>
    <w:pPr>
      <w:numPr>
        <w:numId w:val="12"/>
      </w:numPr>
      <w:tabs>
        <w:tab w:val="clear" w:pos="680"/>
      </w:tabs>
    </w:pPr>
  </w:style>
  <w:style w:type="paragraph" w:styleId="Index1">
    <w:name w:val="index 1"/>
    <w:basedOn w:val="Normal"/>
    <w:next w:val="Normal"/>
    <w:semiHidden/>
    <w:rsid w:val="009F227E"/>
    <w:pPr>
      <w:keepNext w:val="0"/>
      <w:tabs>
        <w:tab w:val="right" w:pos="4176"/>
      </w:tabs>
      <w:ind w:left="198" w:hanging="198"/>
    </w:pPr>
    <w:rPr>
      <w:rFonts w:ascii="Garamond" w:hAnsi="Garamond"/>
    </w:rPr>
  </w:style>
  <w:style w:type="paragraph" w:styleId="IndexHeading">
    <w:name w:val="index heading"/>
    <w:basedOn w:val="Normal"/>
    <w:next w:val="Index1"/>
    <w:semiHidden/>
    <w:rsid w:val="009F227E"/>
    <w:pPr>
      <w:spacing w:before="120" w:after="120"/>
    </w:pPr>
    <w:rPr>
      <w:rFonts w:ascii="Arial" w:hAnsi="Arial"/>
      <w:b/>
      <w:color w:val="918585"/>
      <w:sz w:val="24"/>
    </w:rPr>
  </w:style>
  <w:style w:type="paragraph" w:styleId="Header">
    <w:name w:val="header"/>
    <w:basedOn w:val="Normal"/>
    <w:link w:val="HeaderChar"/>
    <w:rsid w:val="009F2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27E"/>
    <w:rPr>
      <w:rFonts w:ascii="Times New Roman" w:eastAsia="Times New Roman" w:hAnsi="Times New Roman" w:cs="Times New Roman"/>
      <w:sz w:val="16"/>
      <w:szCs w:val="20"/>
      <w:lang w:val="en-GB" w:eastAsia="en-US"/>
    </w:rPr>
  </w:style>
  <w:style w:type="paragraph" w:customStyle="1" w:styleId="Chapter">
    <w:name w:val="Chapter"/>
    <w:basedOn w:val="Normal"/>
    <w:rsid w:val="009F227E"/>
    <w:pPr>
      <w:spacing w:before="240"/>
    </w:pPr>
    <w:rPr>
      <w:rFonts w:ascii="Times New Roman" w:hAnsi="Times New Roman"/>
      <w:smallCaps/>
      <w:spacing w:val="80"/>
      <w:sz w:val="28"/>
    </w:rPr>
  </w:style>
  <w:style w:type="paragraph" w:customStyle="1" w:styleId="InChapter">
    <w:name w:val="InChapter"/>
    <w:basedOn w:val="Heading3"/>
    <w:rsid w:val="009F227E"/>
    <w:pPr>
      <w:spacing w:after="240"/>
      <w:outlineLvl w:val="9"/>
    </w:pPr>
    <w:rPr>
      <w:noProof/>
    </w:rPr>
  </w:style>
  <w:style w:type="paragraph" w:styleId="Index2">
    <w:name w:val="index 2"/>
    <w:basedOn w:val="Normal"/>
    <w:next w:val="Normal"/>
    <w:semiHidden/>
    <w:rsid w:val="009F227E"/>
    <w:pPr>
      <w:tabs>
        <w:tab w:val="right" w:pos="4176"/>
      </w:tabs>
      <w:ind w:left="568" w:hanging="284"/>
    </w:pPr>
    <w:rPr>
      <w:rFonts w:ascii="Garamond" w:hAnsi="Garamond"/>
    </w:rPr>
  </w:style>
  <w:style w:type="paragraph" w:customStyle="1" w:styleId="Byline">
    <w:name w:val="Byline"/>
    <w:rsid w:val="009F2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27E"/>
    <w:pPr>
      <w:tabs>
        <w:tab w:val="clear" w:pos="3600"/>
        <w:tab w:val="clear" w:pos="3958"/>
      </w:tabs>
      <w:jc w:val="right"/>
    </w:pPr>
  </w:style>
  <w:style w:type="paragraph" w:styleId="Caption">
    <w:name w:val="caption"/>
    <w:basedOn w:val="BodyText"/>
    <w:next w:val="Normal"/>
    <w:qFormat/>
    <w:rsid w:val="009F227E"/>
    <w:pPr>
      <w:framePr w:w="2268" w:hSpace="181" w:vSpace="181" w:wrap="around" w:vAnchor="text" w:hAnchor="page" w:x="1135" w:y="285" w:anchorLock="1"/>
    </w:pPr>
    <w:rPr>
      <w:i/>
    </w:rPr>
  </w:style>
  <w:style w:type="paragraph" w:customStyle="1" w:styleId="MiniTOCTitle">
    <w:name w:val="MiniTOCTitle"/>
    <w:basedOn w:val="Heading4"/>
    <w:rsid w:val="009F227E"/>
    <w:pPr>
      <w:spacing w:before="240"/>
      <w:outlineLvl w:val="9"/>
    </w:pPr>
    <w:rPr>
      <w:noProof/>
      <w:sz w:val="24"/>
    </w:rPr>
  </w:style>
  <w:style w:type="paragraph" w:customStyle="1" w:styleId="MiniTOCItem">
    <w:name w:val="MiniTOCItem"/>
    <w:basedOn w:val="ListBullet"/>
    <w:rsid w:val="009F227E"/>
    <w:pPr>
      <w:numPr>
        <w:numId w:val="0"/>
      </w:numPr>
      <w:tabs>
        <w:tab w:val="right" w:leader="dot" w:pos="6521"/>
      </w:tabs>
      <w:spacing w:before="0" w:after="0"/>
    </w:pPr>
  </w:style>
  <w:style w:type="paragraph" w:customStyle="1" w:styleId="TOFTitle">
    <w:name w:val="TOFTitle"/>
    <w:basedOn w:val="TOCTitle"/>
    <w:rsid w:val="009F227E"/>
  </w:style>
  <w:style w:type="paragraph" w:styleId="TableofFigures">
    <w:name w:val="table of figures"/>
    <w:basedOn w:val="Normal"/>
    <w:next w:val="Normal"/>
    <w:semiHidden/>
    <w:rsid w:val="009F227E"/>
    <w:pPr>
      <w:tabs>
        <w:tab w:val="right" w:leader="dot" w:pos="9072"/>
      </w:tabs>
      <w:ind w:left="970" w:hanging="403"/>
    </w:pPr>
    <w:rPr>
      <w:rFonts w:ascii="Times New Roman" w:hAnsi="Times New Roman"/>
      <w:b/>
    </w:rPr>
  </w:style>
  <w:style w:type="paragraph" w:styleId="ListNumber">
    <w:name w:val="List Number"/>
    <w:basedOn w:val="List"/>
    <w:rsid w:val="009F227E"/>
    <w:pPr>
      <w:numPr>
        <w:numId w:val="14"/>
      </w:numPr>
      <w:tabs>
        <w:tab w:val="clear" w:pos="340"/>
      </w:tabs>
    </w:pPr>
  </w:style>
  <w:style w:type="character" w:customStyle="1" w:styleId="WingdingSymbols">
    <w:name w:val="Wingding Symbols"/>
    <w:rsid w:val="009F227E"/>
    <w:rPr>
      <w:rFonts w:ascii="Wingdings" w:hAnsi="Wingdings"/>
    </w:rPr>
  </w:style>
  <w:style w:type="paragraph" w:customStyle="1" w:styleId="TableHeading">
    <w:name w:val="Table Heading"/>
    <w:basedOn w:val="HeadingBase"/>
    <w:rsid w:val="009F227E"/>
    <w:pPr>
      <w:keepLines/>
      <w:pBdr>
        <w:bottom w:val="single" w:sz="6" w:space="1" w:color="918585"/>
      </w:pBdr>
      <w:spacing w:before="240"/>
    </w:pPr>
  </w:style>
  <w:style w:type="character" w:customStyle="1" w:styleId="HotSpot">
    <w:name w:val="HotSpot"/>
    <w:rsid w:val="009F227E"/>
    <w:rPr>
      <w:color w:val="0033CC"/>
      <w:u w:val="none"/>
    </w:rPr>
  </w:style>
  <w:style w:type="paragraph" w:customStyle="1" w:styleId="BodyTextRight">
    <w:name w:val="Body Text Right"/>
    <w:basedOn w:val="BodyText"/>
    <w:rsid w:val="009F227E"/>
    <w:pPr>
      <w:spacing w:before="0" w:after="0"/>
      <w:jc w:val="right"/>
    </w:pPr>
  </w:style>
  <w:style w:type="paragraph" w:styleId="Index3">
    <w:name w:val="index 3"/>
    <w:basedOn w:val="ListNumber2"/>
    <w:next w:val="Normal"/>
    <w:semiHidden/>
    <w:rsid w:val="009F227E"/>
    <w:pPr>
      <w:numPr>
        <w:numId w:val="0"/>
      </w:numPr>
      <w:tabs>
        <w:tab w:val="right" w:leader="dot" w:pos="4176"/>
      </w:tabs>
    </w:pPr>
  </w:style>
  <w:style w:type="paragraph" w:styleId="ListNumber2">
    <w:name w:val="List Number 2"/>
    <w:basedOn w:val="List2"/>
    <w:rsid w:val="009F227E"/>
    <w:pPr>
      <w:numPr>
        <w:numId w:val="9"/>
      </w:numPr>
      <w:tabs>
        <w:tab w:val="clear" w:pos="1060"/>
      </w:tabs>
    </w:pPr>
  </w:style>
  <w:style w:type="paragraph" w:customStyle="1" w:styleId="MarginNote">
    <w:name w:val="Margin Note"/>
    <w:basedOn w:val="BodyText"/>
    <w:rsid w:val="009F2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27E"/>
    <w:rPr>
      <w:sz w:val="32"/>
    </w:rPr>
  </w:style>
  <w:style w:type="paragraph" w:customStyle="1" w:styleId="HeadingProcedure">
    <w:name w:val="Heading Procedure"/>
    <w:basedOn w:val="HeadingBase"/>
    <w:next w:val="Normal"/>
    <w:rsid w:val="009F227E"/>
    <w:pPr>
      <w:tabs>
        <w:tab w:val="left" w:pos="0"/>
      </w:tabs>
      <w:spacing w:before="120" w:after="60"/>
    </w:pPr>
    <w:rPr>
      <w:i/>
      <w:color w:val="918585"/>
      <w:sz w:val="22"/>
    </w:rPr>
  </w:style>
  <w:style w:type="paragraph" w:customStyle="1" w:styleId="TableBodyText">
    <w:name w:val="Table Body Text"/>
    <w:basedOn w:val="BodyText"/>
    <w:rsid w:val="009F227E"/>
    <w:pPr>
      <w:spacing w:before="60" w:after="60"/>
    </w:pPr>
  </w:style>
  <w:style w:type="paragraph" w:styleId="ListContinue">
    <w:name w:val="List Continue"/>
    <w:basedOn w:val="List"/>
    <w:rsid w:val="009F227E"/>
    <w:pPr>
      <w:ind w:firstLine="0"/>
    </w:pPr>
  </w:style>
  <w:style w:type="paragraph" w:customStyle="1" w:styleId="ListNote">
    <w:name w:val="List Note"/>
    <w:basedOn w:val="List"/>
    <w:rsid w:val="009F227E"/>
    <w:pPr>
      <w:pBdr>
        <w:top w:val="single" w:sz="6" w:space="2" w:color="918585"/>
        <w:bottom w:val="single" w:sz="6" w:space="2" w:color="918585"/>
      </w:pBdr>
      <w:tabs>
        <w:tab w:val="left" w:pos="1021"/>
      </w:tabs>
      <w:ind w:firstLine="0"/>
    </w:pPr>
  </w:style>
  <w:style w:type="paragraph" w:customStyle="1" w:styleId="Warning">
    <w:name w:val="Warning"/>
    <w:basedOn w:val="BodyText"/>
    <w:rsid w:val="009F227E"/>
    <w:pPr>
      <w:shd w:val="clear" w:color="auto" w:fill="D9D9D9"/>
      <w:tabs>
        <w:tab w:val="left" w:pos="992"/>
      </w:tabs>
      <w:ind w:left="119" w:right="119"/>
    </w:pPr>
    <w:rPr>
      <w:sz w:val="20"/>
    </w:rPr>
  </w:style>
  <w:style w:type="paragraph" w:customStyle="1" w:styleId="MarginIcons">
    <w:name w:val="Margin Icons"/>
    <w:basedOn w:val="BodyText"/>
    <w:rsid w:val="009F2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27E"/>
    <w:rPr>
      <w:rFonts w:ascii="Courier New" w:hAnsi="Courier New"/>
    </w:rPr>
  </w:style>
  <w:style w:type="paragraph" w:customStyle="1" w:styleId="NoteBullet">
    <w:name w:val="Note Bullet"/>
    <w:basedOn w:val="Note"/>
    <w:rsid w:val="009F227E"/>
    <w:pPr>
      <w:tabs>
        <w:tab w:val="clear" w:pos="680"/>
      </w:tabs>
      <w:spacing w:before="60" w:after="60"/>
    </w:pPr>
  </w:style>
  <w:style w:type="paragraph" w:customStyle="1" w:styleId="SubHeading2">
    <w:name w:val="SubHeading2"/>
    <w:basedOn w:val="HeadingBase"/>
    <w:rsid w:val="009F227E"/>
    <w:pPr>
      <w:spacing w:before="240" w:after="60"/>
    </w:pPr>
    <w:rPr>
      <w:sz w:val="20"/>
    </w:rPr>
  </w:style>
  <w:style w:type="paragraph" w:customStyle="1" w:styleId="SubHeading1">
    <w:name w:val="SubHeading1"/>
    <w:basedOn w:val="HeadingBase"/>
    <w:rsid w:val="009F227E"/>
    <w:pPr>
      <w:spacing w:before="240" w:after="60"/>
    </w:pPr>
    <w:rPr>
      <w:color w:val="918585"/>
      <w:sz w:val="22"/>
    </w:rPr>
  </w:style>
  <w:style w:type="paragraph" w:customStyle="1" w:styleId="SideHeading">
    <w:name w:val="Side Heading"/>
    <w:basedOn w:val="HeadingBase"/>
    <w:rsid w:val="009F2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27E"/>
    <w:pPr>
      <w:numPr>
        <w:numId w:val="10"/>
      </w:numPr>
    </w:pPr>
  </w:style>
  <w:style w:type="paragraph" w:styleId="PlainText">
    <w:name w:val="Plain Text"/>
    <w:basedOn w:val="Normal"/>
    <w:link w:val="PlainTextChar"/>
    <w:rsid w:val="009F227E"/>
    <w:rPr>
      <w:sz w:val="20"/>
    </w:rPr>
  </w:style>
  <w:style w:type="character" w:customStyle="1" w:styleId="PlainTextChar">
    <w:name w:val="Plain Text Char"/>
    <w:basedOn w:val="DefaultParagraphFont"/>
    <w:link w:val="PlainText"/>
    <w:rsid w:val="009F227E"/>
    <w:rPr>
      <w:rFonts w:ascii="Courier New" w:eastAsia="Times New Roman" w:hAnsi="Courier New" w:cs="Times New Roman"/>
      <w:sz w:val="20"/>
      <w:szCs w:val="20"/>
      <w:lang w:eastAsia="en-US"/>
    </w:rPr>
  </w:style>
  <w:style w:type="character" w:customStyle="1" w:styleId="MenuOption">
    <w:name w:val="Menu Option"/>
    <w:basedOn w:val="DefaultParagraphFont"/>
    <w:rsid w:val="009F227E"/>
    <w:rPr>
      <w:b/>
      <w:smallCaps/>
    </w:rPr>
  </w:style>
  <w:style w:type="paragraph" w:customStyle="1" w:styleId="TableListNumber">
    <w:name w:val="Table List Number"/>
    <w:basedOn w:val="ListNumber"/>
    <w:rsid w:val="009F227E"/>
    <w:pPr>
      <w:numPr>
        <w:numId w:val="0"/>
      </w:numPr>
    </w:pPr>
  </w:style>
  <w:style w:type="paragraph" w:styleId="TOC4">
    <w:name w:val="toc 4"/>
    <w:basedOn w:val="TOCBase"/>
    <w:next w:val="Normal"/>
    <w:semiHidden/>
    <w:rsid w:val="009F227E"/>
    <w:pPr>
      <w:tabs>
        <w:tab w:val="right" w:leader="dot" w:pos="9071"/>
      </w:tabs>
      <w:ind w:left="1701"/>
    </w:pPr>
  </w:style>
  <w:style w:type="paragraph" w:customStyle="1" w:styleId="ListAlpha">
    <w:name w:val="List Alpha"/>
    <w:basedOn w:val="List"/>
    <w:rsid w:val="009F227E"/>
    <w:pPr>
      <w:numPr>
        <w:numId w:val="8"/>
      </w:numPr>
    </w:pPr>
  </w:style>
  <w:style w:type="paragraph" w:customStyle="1" w:styleId="ListAlpha2">
    <w:name w:val="List Alpha 2"/>
    <w:basedOn w:val="List2"/>
    <w:rsid w:val="009F227E"/>
    <w:pPr>
      <w:numPr>
        <w:numId w:val="7"/>
      </w:numPr>
    </w:pPr>
  </w:style>
  <w:style w:type="paragraph" w:styleId="List2">
    <w:name w:val="List 2"/>
    <w:basedOn w:val="BodyText"/>
    <w:rsid w:val="009F227E"/>
    <w:pPr>
      <w:tabs>
        <w:tab w:val="left" w:pos="680"/>
      </w:tabs>
      <w:spacing w:before="60" w:after="60"/>
      <w:ind w:left="680" w:hanging="340"/>
    </w:pPr>
  </w:style>
  <w:style w:type="paragraph" w:styleId="List3">
    <w:name w:val="List 3"/>
    <w:basedOn w:val="BodyText"/>
    <w:rsid w:val="009F227E"/>
    <w:pPr>
      <w:tabs>
        <w:tab w:val="left" w:pos="1021"/>
      </w:tabs>
      <w:spacing w:before="60" w:after="60"/>
      <w:ind w:left="1020" w:hanging="340"/>
    </w:pPr>
  </w:style>
  <w:style w:type="paragraph" w:styleId="List4">
    <w:name w:val="List 4"/>
    <w:basedOn w:val="BodyText"/>
    <w:rsid w:val="009F227E"/>
    <w:pPr>
      <w:tabs>
        <w:tab w:val="left" w:pos="1361"/>
      </w:tabs>
      <w:spacing w:before="60" w:after="60"/>
      <w:ind w:left="1361" w:hanging="340"/>
    </w:pPr>
  </w:style>
  <w:style w:type="paragraph" w:styleId="List5">
    <w:name w:val="List 5"/>
    <w:basedOn w:val="BodyText"/>
    <w:rsid w:val="009F227E"/>
    <w:pPr>
      <w:tabs>
        <w:tab w:val="left" w:pos="1701"/>
      </w:tabs>
      <w:spacing w:before="60" w:after="60"/>
      <w:ind w:left="1701" w:hanging="340"/>
    </w:pPr>
  </w:style>
  <w:style w:type="paragraph" w:styleId="ListBullet3">
    <w:name w:val="List Bullet 3"/>
    <w:basedOn w:val="List3"/>
    <w:rsid w:val="009F227E"/>
    <w:pPr>
      <w:numPr>
        <w:numId w:val="13"/>
      </w:numPr>
      <w:tabs>
        <w:tab w:val="clear" w:pos="1021"/>
      </w:tabs>
      <w:ind w:left="1037" w:hanging="357"/>
    </w:pPr>
  </w:style>
  <w:style w:type="paragraph" w:styleId="ListBullet4">
    <w:name w:val="List Bullet 4"/>
    <w:basedOn w:val="List4"/>
    <w:rsid w:val="009F227E"/>
    <w:pPr>
      <w:numPr>
        <w:numId w:val="2"/>
      </w:numPr>
      <w:tabs>
        <w:tab w:val="clear" w:pos="1361"/>
      </w:tabs>
    </w:pPr>
  </w:style>
  <w:style w:type="paragraph" w:styleId="ListBullet5">
    <w:name w:val="List Bullet 5"/>
    <w:basedOn w:val="List5"/>
    <w:rsid w:val="009F227E"/>
    <w:pPr>
      <w:numPr>
        <w:numId w:val="3"/>
      </w:numPr>
    </w:pPr>
  </w:style>
  <w:style w:type="paragraph" w:styleId="ListContinue2">
    <w:name w:val="List Continue 2"/>
    <w:basedOn w:val="List2"/>
    <w:rsid w:val="009F227E"/>
    <w:pPr>
      <w:ind w:firstLine="0"/>
    </w:pPr>
  </w:style>
  <w:style w:type="paragraph" w:styleId="ListContinue3">
    <w:name w:val="List Continue 3"/>
    <w:basedOn w:val="List3"/>
    <w:rsid w:val="009F227E"/>
    <w:pPr>
      <w:ind w:left="1021" w:firstLine="0"/>
    </w:pPr>
  </w:style>
  <w:style w:type="paragraph" w:styleId="ListContinue4">
    <w:name w:val="List Continue 4"/>
    <w:basedOn w:val="List4"/>
    <w:rsid w:val="009F227E"/>
    <w:pPr>
      <w:ind w:firstLine="0"/>
    </w:pPr>
  </w:style>
  <w:style w:type="paragraph" w:styleId="ListContinue5">
    <w:name w:val="List Continue 5"/>
    <w:basedOn w:val="List5"/>
    <w:rsid w:val="009F227E"/>
    <w:pPr>
      <w:ind w:firstLine="0"/>
    </w:pPr>
  </w:style>
  <w:style w:type="paragraph" w:styleId="ListNumber3">
    <w:name w:val="List Number 3"/>
    <w:basedOn w:val="List3"/>
    <w:rsid w:val="009F227E"/>
    <w:pPr>
      <w:numPr>
        <w:numId w:val="4"/>
      </w:numPr>
    </w:pPr>
  </w:style>
  <w:style w:type="paragraph" w:styleId="ListNumber4">
    <w:name w:val="List Number 4"/>
    <w:basedOn w:val="List4"/>
    <w:rsid w:val="009F227E"/>
    <w:pPr>
      <w:numPr>
        <w:numId w:val="5"/>
      </w:numPr>
    </w:pPr>
  </w:style>
  <w:style w:type="paragraph" w:styleId="ListNumber5">
    <w:name w:val="List Number 5"/>
    <w:basedOn w:val="List5"/>
    <w:rsid w:val="009F227E"/>
    <w:pPr>
      <w:numPr>
        <w:numId w:val="6"/>
      </w:numPr>
    </w:pPr>
  </w:style>
  <w:style w:type="paragraph" w:styleId="BlockText">
    <w:name w:val="Block Text"/>
    <w:basedOn w:val="Normal"/>
    <w:rsid w:val="009F227E"/>
    <w:pPr>
      <w:spacing w:after="120"/>
      <w:ind w:left="1440" w:right="1440"/>
    </w:pPr>
  </w:style>
  <w:style w:type="character" w:customStyle="1" w:styleId="Subscript">
    <w:name w:val="Subscript"/>
    <w:basedOn w:val="DefaultParagraphFont"/>
    <w:rsid w:val="009F227E"/>
    <w:rPr>
      <w:sz w:val="16"/>
      <w:vertAlign w:val="subscript"/>
    </w:rPr>
  </w:style>
  <w:style w:type="character" w:customStyle="1" w:styleId="Superscript">
    <w:name w:val="Superscript"/>
    <w:basedOn w:val="DefaultParagraphFont"/>
    <w:rsid w:val="009F227E"/>
    <w:rPr>
      <w:sz w:val="16"/>
      <w:vertAlign w:val="superscript"/>
    </w:rPr>
  </w:style>
  <w:style w:type="character" w:customStyle="1" w:styleId="Symbols">
    <w:name w:val="Symbols"/>
    <w:basedOn w:val="DefaultParagraphFont"/>
    <w:rsid w:val="009F227E"/>
    <w:rPr>
      <w:rFonts w:ascii="Symbol" w:hAnsi="Symbol"/>
    </w:rPr>
  </w:style>
  <w:style w:type="character" w:customStyle="1" w:styleId="MenuOptions">
    <w:name w:val="Menu Options"/>
    <w:basedOn w:val="DefaultParagraphFont"/>
    <w:rsid w:val="009F227E"/>
    <w:rPr>
      <w:rFonts w:ascii="Arial Narrow" w:hAnsi="Arial Narrow"/>
      <w:smallCaps/>
    </w:rPr>
  </w:style>
  <w:style w:type="character" w:customStyle="1" w:styleId="Buttons">
    <w:name w:val="Buttons"/>
    <w:basedOn w:val="DefaultParagraphFont"/>
    <w:rsid w:val="009F227E"/>
    <w:rPr>
      <w:b/>
    </w:rPr>
  </w:style>
  <w:style w:type="character" w:customStyle="1" w:styleId="Underlined">
    <w:name w:val="Underlined"/>
    <w:basedOn w:val="DefaultParagraphFont"/>
    <w:rsid w:val="009F227E"/>
    <w:rPr>
      <w:u w:val="single"/>
    </w:rPr>
  </w:style>
  <w:style w:type="paragraph" w:customStyle="1" w:styleId="TableBodyTextRight">
    <w:name w:val="Table Body Text Right"/>
    <w:basedOn w:val="TableBodyText"/>
    <w:rsid w:val="009F227E"/>
    <w:pPr>
      <w:widowControl w:val="0"/>
      <w:autoSpaceDE w:val="0"/>
      <w:autoSpaceDN w:val="0"/>
      <w:adjustRightInd w:val="0"/>
      <w:jc w:val="right"/>
    </w:pPr>
    <w:rPr>
      <w:rFonts w:cs="Arial"/>
      <w:szCs w:val="18"/>
    </w:rPr>
  </w:style>
  <w:style w:type="paragraph" w:customStyle="1" w:styleId="CopyrightText">
    <w:name w:val="Copyright Text"/>
    <w:basedOn w:val="BodyText"/>
    <w:rsid w:val="009F227E"/>
    <w:rPr>
      <w:sz w:val="18"/>
    </w:rPr>
  </w:style>
  <w:style w:type="paragraph" w:customStyle="1" w:styleId="BodySmallRight">
    <w:name w:val="Body Small Right"/>
    <w:basedOn w:val="BodyTextRight"/>
    <w:rsid w:val="009F227E"/>
    <w:rPr>
      <w:sz w:val="18"/>
      <w:szCs w:val="18"/>
    </w:rPr>
  </w:style>
  <w:style w:type="paragraph" w:customStyle="1" w:styleId="MarginEdition">
    <w:name w:val="Margin Edition"/>
    <w:basedOn w:val="MarginNote"/>
    <w:rsid w:val="009F227E"/>
    <w:pPr>
      <w:spacing w:before="0" w:after="0"/>
    </w:pPr>
    <w:rPr>
      <w:rFonts w:ascii="Times New Roman" w:hAnsi="Times New Roman"/>
      <w:color w:val="999999"/>
    </w:rPr>
  </w:style>
  <w:style w:type="paragraph" w:customStyle="1" w:styleId="Spacer">
    <w:name w:val="Spacer"/>
    <w:basedOn w:val="Normal"/>
    <w:rsid w:val="009F227E"/>
    <w:rPr>
      <w:sz w:val="2"/>
      <w:szCs w:val="2"/>
    </w:rPr>
  </w:style>
  <w:style w:type="character" w:customStyle="1" w:styleId="Small">
    <w:name w:val="Small"/>
    <w:basedOn w:val="DefaultParagraphFont"/>
    <w:rsid w:val="009F227E"/>
    <w:rPr>
      <w:sz w:val="16"/>
    </w:rPr>
  </w:style>
  <w:style w:type="paragraph" w:customStyle="1" w:styleId="WideTable">
    <w:name w:val="Wide Table"/>
    <w:basedOn w:val="Normal"/>
    <w:rsid w:val="009F227E"/>
    <w:pPr>
      <w:ind w:left="-1418"/>
    </w:pPr>
    <w:rPr>
      <w:sz w:val="2"/>
      <w:szCs w:val="2"/>
    </w:rPr>
  </w:style>
  <w:style w:type="character" w:styleId="PageNumber">
    <w:name w:val="page number"/>
    <w:basedOn w:val="DefaultParagraphFont"/>
    <w:rsid w:val="009F227E"/>
  </w:style>
  <w:style w:type="paragraph" w:styleId="Quote">
    <w:name w:val="Quote"/>
    <w:basedOn w:val="Heading1"/>
    <w:link w:val="QuoteChar"/>
    <w:qFormat/>
    <w:rsid w:val="009F227E"/>
    <w:rPr>
      <w:b w:val="0"/>
      <w:sz w:val="72"/>
      <w:szCs w:val="72"/>
      <w:lang w:val="en-NZ"/>
    </w:rPr>
  </w:style>
  <w:style w:type="character" w:customStyle="1" w:styleId="QuoteChar">
    <w:name w:val="Quote Char"/>
    <w:basedOn w:val="DefaultParagraphFont"/>
    <w:link w:val="Quote"/>
    <w:rsid w:val="009F2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27E"/>
    <w:pPr>
      <w:pageBreakBefore/>
    </w:pPr>
  </w:style>
  <w:style w:type="paragraph" w:customStyle="1" w:styleId="Border">
    <w:name w:val="Border"/>
    <w:basedOn w:val="Normal"/>
    <w:qFormat/>
    <w:rsid w:val="009F2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27E"/>
    <w:rPr>
      <w:b/>
      <w:bCs/>
      <w:i/>
      <w:iCs/>
      <w:color w:val="auto"/>
    </w:rPr>
  </w:style>
  <w:style w:type="paragraph" w:styleId="IntenseQuote">
    <w:name w:val="Intense Quote"/>
    <w:basedOn w:val="Normal"/>
    <w:next w:val="Normal"/>
    <w:link w:val="IntenseQuoteChar"/>
    <w:uiPriority w:val="30"/>
    <w:qFormat/>
    <w:rsid w:val="009F2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27E"/>
    <w:rPr>
      <w:smallCaps/>
      <w:color w:val="auto"/>
      <w:u w:val="single"/>
    </w:rPr>
  </w:style>
  <w:style w:type="character" w:styleId="IntenseReference">
    <w:name w:val="Intense Reference"/>
    <w:basedOn w:val="DefaultParagraphFont"/>
    <w:uiPriority w:val="32"/>
    <w:qFormat/>
    <w:rsid w:val="009F227E"/>
    <w:rPr>
      <w:b/>
      <w:bCs/>
      <w:smallCaps/>
      <w:color w:val="auto"/>
      <w:spacing w:val="5"/>
      <w:u w:val="single"/>
    </w:rPr>
  </w:style>
  <w:style w:type="paragraph" w:customStyle="1" w:styleId="2ColumnHeading">
    <w:name w:val="2Column Heading"/>
    <w:basedOn w:val="BodyText"/>
    <w:qFormat/>
    <w:rsid w:val="009F227E"/>
    <w:pPr>
      <w:spacing w:after="60"/>
      <w:ind w:left="-2268"/>
    </w:pPr>
    <w:rPr>
      <w:b/>
    </w:rPr>
  </w:style>
  <w:style w:type="paragraph" w:customStyle="1" w:styleId="Heading1TOC">
    <w:name w:val="Heading1 TOC"/>
    <w:basedOn w:val="Normal"/>
    <w:qFormat/>
    <w:rsid w:val="009F227E"/>
    <w:pPr>
      <w:spacing w:before="240" w:after="120"/>
    </w:pPr>
    <w:rPr>
      <w:rFonts w:ascii="Times New Roman" w:hAnsi="Times New Roman"/>
      <w:b/>
      <w:sz w:val="32"/>
    </w:rPr>
  </w:style>
  <w:style w:type="paragraph" w:customStyle="1" w:styleId="Heading2TOC">
    <w:name w:val="Heading2 TOC"/>
    <w:basedOn w:val="Normal"/>
    <w:qFormat/>
    <w:rsid w:val="009F227E"/>
    <w:pPr>
      <w:spacing w:before="240" w:after="60"/>
    </w:pPr>
    <w:rPr>
      <w:rFonts w:ascii="Times New Roman" w:hAnsi="Times New Roman"/>
      <w:b/>
      <w:sz w:val="28"/>
    </w:rPr>
  </w:style>
  <w:style w:type="character" w:customStyle="1" w:styleId="Underline">
    <w:name w:val="Underline"/>
    <w:basedOn w:val="DefaultParagraphFont"/>
    <w:qFormat/>
    <w:rsid w:val="009F227E"/>
    <w:rPr>
      <w:u w:val="single"/>
    </w:rPr>
  </w:style>
  <w:style w:type="character" w:customStyle="1" w:styleId="BoldandItalics">
    <w:name w:val="Bold and Italics"/>
    <w:qFormat/>
    <w:rsid w:val="009F227E"/>
    <w:rPr>
      <w:b/>
      <w:i/>
      <w:u w:val="none"/>
    </w:rPr>
  </w:style>
  <w:style w:type="paragraph" w:styleId="BalloonText">
    <w:name w:val="Balloon Text"/>
    <w:basedOn w:val="Normal"/>
    <w:link w:val="BalloonTextChar"/>
    <w:rsid w:val="009F227E"/>
    <w:rPr>
      <w:rFonts w:ascii="Tahoma" w:hAnsi="Tahoma" w:cs="Tahoma"/>
      <w:sz w:val="16"/>
      <w:szCs w:val="16"/>
    </w:rPr>
  </w:style>
  <w:style w:type="character" w:customStyle="1" w:styleId="BalloonTextChar">
    <w:name w:val="Balloon Text Char"/>
    <w:basedOn w:val="DefaultParagraphFont"/>
    <w:link w:val="BalloonText"/>
    <w:rsid w:val="009F2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27E"/>
    <w:rPr>
      <w:b/>
      <w:color w:val="660033"/>
      <w:spacing w:val="0"/>
    </w:rPr>
  </w:style>
  <w:style w:type="paragraph" w:customStyle="1" w:styleId="Nameditemlist">
    <w:name w:val="Named item list"/>
    <w:basedOn w:val="BodyText"/>
    <w:qFormat/>
    <w:rsid w:val="009F227E"/>
    <w:pPr>
      <w:tabs>
        <w:tab w:val="left" w:pos="2835"/>
      </w:tabs>
      <w:ind w:left="2835" w:hanging="2835"/>
    </w:pPr>
  </w:style>
  <w:style w:type="paragraph" w:customStyle="1" w:styleId="BodyTextnopadding">
    <w:name w:val="Body Text no padding"/>
    <w:basedOn w:val="BodyText"/>
    <w:qFormat/>
    <w:rsid w:val="009F227E"/>
    <w:pPr>
      <w:spacing w:before="0" w:after="0"/>
    </w:pPr>
  </w:style>
  <w:style w:type="paragraph" w:customStyle="1" w:styleId="BodyTextBold">
    <w:name w:val="Body Text Bold"/>
    <w:basedOn w:val="BodyText"/>
    <w:qFormat/>
    <w:rsid w:val="009F227E"/>
    <w:rPr>
      <w:b/>
    </w:rPr>
  </w:style>
  <w:style w:type="character" w:styleId="Hyperlink">
    <w:name w:val="Hyperlink"/>
    <w:basedOn w:val="DefaultParagraphFont"/>
    <w:uiPriority w:val="99"/>
    <w:unhideWhenUsed/>
    <w:rsid w:val="008B24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7318</Characters>
  <Application>Microsoft Office Word</Application>
  <DocSecurity>0</DocSecurity>
  <Lines>209</Lines>
  <Paragraphs>90</Paragraphs>
  <ScaleCrop>false</ScaleCrop>
  <Company>Author-it Software Corporation Ltd.</Company>
  <LinksUpToDate>false</LinksUpToDate>
  <CharactersWithSpaces>8299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RIIBLA602E Establish and maintain explosives safety and security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