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049" w:rsidP="001A6049">
      <w:pPr>
        <w:pStyle w:val="Title"/>
      </w:pPr>
      <w:r>
        <w:fldChar w:fldCharType="begin"/>
      </w:r>
      <w:r>
        <w:instrText xml:space="preserve"> TITLE   \* MERGEFORMAT </w:instrText>
      </w:r>
      <w:r>
        <w:fldChar w:fldCharType="separate"/>
      </w:r>
      <w:r>
        <w:t>Assessment Requirements for RIIBLA602E Establish and maintain explosives safety and security management systems</w:t>
      </w:r>
      <w:r>
        <w:fldChar w:fldCharType="end"/>
      </w:r>
    </w:p>
    <w:p w:rsidR="001A6049" w:rsidP="001A6049">
      <w:pPr>
        <w:pStyle w:val="Version"/>
        <w:sectPr w:rsidSect="00DD6D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6D2D" w:rsidP="00DD6D2D">
      <w:pPr>
        <w:pStyle w:val="SuperHeading"/>
      </w:pPr>
      <w:r w:rsidRPr="00DD6D2D">
        <w:t>Assessment Requirements for RIIBLA602E Establish and maintain explosives safety and security management systems</w:t>
      </w:r>
    </w:p>
    <w:p w:rsidR="00000000" w:rsidRPr="00DD6D2D" w:rsidP="00DD6D2D">
      <w:pPr>
        <w:pStyle w:val="Heading1"/>
      </w:pPr>
      <w:bookmarkStart w:id="1" w:name="O_1172272"/>
      <w:bookmarkEnd w:id="1"/>
      <w:r w:rsidRPr="00DD6D2D">
        <w:t>Modification History</w:t>
      </w:r>
    </w:p>
    <w:tbl>
      <w:tblPr>
        <w:tblW w:w="9522" w:type="dxa"/>
        <w:tblLayout w:type="fixed"/>
        <w:tblCellMar>
          <w:left w:w="62" w:type="dxa"/>
          <w:right w:w="62" w:type="dxa"/>
        </w:tblCellMar>
        <w:tblLook w:val="0000"/>
      </w:tblPr>
      <w:tblGrid>
        <w:gridCol w:w="2864"/>
        <w:gridCol w:w="6658"/>
      </w:tblGrid>
      <w:tr w:rsidTr="00DD6D2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D2D" w:rsidP="00DD6D2D">
            <w:pPr>
              <w:pStyle w:val="BodyText"/>
            </w:pPr>
            <w:r w:rsidRPr="00DD6D2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D2D">
            <w:pPr>
              <w:pStyle w:val="BodyText"/>
              <w:rPr>
                <w:lang w:val="en-NZ"/>
              </w:rPr>
            </w:pPr>
            <w:r w:rsidRPr="00DD6D2D">
              <w:rPr>
                <w:rStyle w:val="SpecialBold"/>
              </w:rPr>
              <w:t>Comments</w:t>
            </w:r>
          </w:p>
        </w:tc>
      </w:tr>
      <w:tr w:rsidTr="00DD6D2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D2D">
            <w:pPr>
              <w:pStyle w:val="BodyText"/>
              <w:rPr>
                <w:lang w:val="en-NZ"/>
              </w:rPr>
            </w:pPr>
            <w:r w:rsidRPr="00DD6D2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6D2D" w:rsidP="00DD6D2D">
            <w:pPr>
              <w:pStyle w:val="BodyText"/>
            </w:pPr>
            <w:r w:rsidRPr="00DD6D2D">
              <w:t>This version first released with RII Resources and Infrastructure Industry Training Package Version 7.0.</w:t>
            </w:r>
          </w:p>
        </w:tc>
      </w:tr>
    </w:tbl>
    <w:p w:rsidR="00000000" w:rsidRPr="00DD6D2D" w:rsidP="00DD6D2D">
      <w:pPr>
        <w:pStyle w:val="BodyText"/>
      </w:pPr>
    </w:p>
    <w:p w:rsidR="00000000" w:rsidRPr="00DD6D2D" w:rsidP="00DD6D2D">
      <w:pPr>
        <w:pStyle w:val="AllowPageBreak"/>
      </w:pPr>
    </w:p>
    <w:p w:rsidR="00000000" w:rsidRPr="00DD6D2D" w:rsidP="00DD6D2D">
      <w:pPr>
        <w:pStyle w:val="Heading1"/>
      </w:pPr>
      <w:bookmarkStart w:id="2" w:name="O_1172275"/>
      <w:bookmarkEnd w:id="2"/>
      <w:r w:rsidRPr="00DD6D2D">
        <w:t>Performance Evidence</w:t>
      </w:r>
    </w:p>
    <w:p w:rsidR="00000000" w:rsidRPr="00DD6D2D" w:rsidP="001A6049">
      <w:pPr>
        <w:pStyle w:val="BodyText"/>
      </w:pPr>
      <w:r w:rsidRPr="00DD6D2D">
        <w:t>The candidate must demonstrate the ability to complete the tasks outlined in the elements, performance criter</w:t>
      </w:r>
      <w:r w:rsidRPr="00DD6D2D">
        <w:t>ia and foundation skills of this unit, including evidence of the ability to:</w:t>
      </w:r>
    </w:p>
    <w:p w:rsidR="00000000" w:rsidRPr="00DD6D2D" w:rsidP="00DD6D2D">
      <w:pPr>
        <w:pStyle w:val="ListBullet"/>
      </w:pPr>
      <w:r w:rsidRPr="00DD6D2D">
        <w:t>establish and maintain an explosives safety and security management system on at least one occasion that addresses hazard and risk identification, risk assessment and risk contro</w:t>
      </w:r>
      <w:r w:rsidRPr="00DD6D2D">
        <w:t>ls across the explosives lifecycle for an organisation, including:</w:t>
      </w:r>
    </w:p>
    <w:p w:rsidR="00000000" w:rsidRPr="00DD6D2D" w:rsidP="00DD6D2D">
      <w:pPr>
        <w:pStyle w:val="ListBullet2"/>
      </w:pPr>
      <w:r w:rsidRPr="00DD6D2D">
        <w:t>security of people and access to explosives, assets and information systems</w:t>
      </w:r>
    </w:p>
    <w:p w:rsidR="00000000" w:rsidRPr="00DD6D2D" w:rsidP="00DD6D2D">
      <w:pPr>
        <w:pStyle w:val="ListBullet2"/>
      </w:pPr>
      <w:r w:rsidRPr="00DD6D2D">
        <w:t>delivery of explosives to location</w:t>
      </w:r>
    </w:p>
    <w:p w:rsidR="00000000" w:rsidRPr="00DD6D2D" w:rsidP="00DD6D2D">
      <w:pPr>
        <w:pStyle w:val="ListBullet2"/>
      </w:pPr>
      <w:r w:rsidRPr="00DD6D2D">
        <w:t>manufacture of explosives (either static plant or mobile mixing)</w:t>
      </w:r>
    </w:p>
    <w:p w:rsidR="00000000" w:rsidRPr="00DD6D2D" w:rsidP="00DD6D2D">
      <w:pPr>
        <w:pStyle w:val="ListBullet2"/>
      </w:pPr>
      <w:r w:rsidRPr="00DD6D2D">
        <w:t>storage of explosives, including Class 1 and Class 5.1 security sensitive ammonium nitrate (SSAN)</w:t>
      </w:r>
    </w:p>
    <w:p w:rsidR="00000000" w:rsidRPr="00DD6D2D" w:rsidP="00DD6D2D">
      <w:pPr>
        <w:pStyle w:val="ListBullet2"/>
      </w:pPr>
      <w:r w:rsidRPr="00DD6D2D">
        <w:t>use of explosives</w:t>
      </w:r>
    </w:p>
    <w:p w:rsidR="00000000" w:rsidRPr="00DD6D2D" w:rsidP="00DD6D2D">
      <w:pPr>
        <w:pStyle w:val="ListBullet2"/>
      </w:pPr>
      <w:r w:rsidRPr="00DD6D2D">
        <w:t>misfire management</w:t>
      </w:r>
    </w:p>
    <w:p w:rsidR="00000000" w:rsidRPr="00DD6D2D" w:rsidP="00DD6D2D">
      <w:pPr>
        <w:pStyle w:val="ListBullet2"/>
      </w:pPr>
      <w:r w:rsidRPr="00DD6D2D">
        <w:t>disposal of explosives</w:t>
      </w:r>
    </w:p>
    <w:p w:rsidR="00000000" w:rsidRPr="00DD6D2D" w:rsidP="00DD6D2D">
      <w:pPr>
        <w:pStyle w:val="ListBullet2"/>
      </w:pPr>
      <w:r w:rsidRPr="00DD6D2D">
        <w:t xml:space="preserve">incident management </w:t>
      </w:r>
    </w:p>
    <w:p w:rsidR="00000000" w:rsidRPr="00DD6D2D" w:rsidP="00DD6D2D">
      <w:pPr>
        <w:pStyle w:val="ListBullet2"/>
      </w:pPr>
      <w:r w:rsidRPr="00DD6D2D">
        <w:t>record management</w:t>
      </w:r>
    </w:p>
    <w:p w:rsidR="00000000" w:rsidRPr="00DD6D2D" w:rsidP="00DD6D2D">
      <w:pPr>
        <w:pStyle w:val="ListBullet2"/>
      </w:pPr>
      <w:r w:rsidRPr="00DD6D2D">
        <w:t>training requirements</w:t>
      </w:r>
    </w:p>
    <w:p w:rsidR="00000000" w:rsidRPr="00DD6D2D" w:rsidP="00DD6D2D">
      <w:pPr>
        <w:pStyle w:val="ListBullet2"/>
      </w:pPr>
      <w:r w:rsidRPr="00DD6D2D">
        <w:t>audit and review of systems and proce</w:t>
      </w:r>
      <w:r w:rsidRPr="00DD6D2D">
        <w:t>dures.</w:t>
      </w:r>
    </w:p>
    <w:p w:rsidR="00000000" w:rsidRPr="00DD6D2D" w:rsidP="00DD6D2D">
      <w:pPr>
        <w:pStyle w:val="List"/>
      </w:pPr>
    </w:p>
    <w:p w:rsidR="00000000" w:rsidRPr="00DD6D2D" w:rsidP="001A6049">
      <w:pPr>
        <w:pStyle w:val="BodyText"/>
      </w:pPr>
      <w:r w:rsidRPr="00DD6D2D">
        <w:t xml:space="preserve">During the above, the candidate must: </w:t>
      </w:r>
    </w:p>
    <w:p w:rsidR="00000000" w:rsidRPr="00DD6D2D" w:rsidP="00DD6D2D">
      <w:pPr>
        <w:pStyle w:val="ListBullet"/>
      </w:pPr>
      <w:r w:rsidRPr="00DD6D2D">
        <w:t>locate and apply required legislation, industry standards and codes of practice, and organisational policies and procedures, and confirm safety and security of explosives and compliance of work activity</w:t>
      </w:r>
    </w:p>
    <w:p w:rsidR="00000000" w:rsidRPr="00DD6D2D" w:rsidP="00DD6D2D">
      <w:pPr>
        <w:pStyle w:val="ListBullet"/>
      </w:pPr>
      <w:r w:rsidRPr="00DD6D2D">
        <w:t>implement requirements for establishing and maintaining explosives safety and security management systems, including:</w:t>
      </w:r>
    </w:p>
    <w:p w:rsidR="00000000" w:rsidRPr="00DD6D2D" w:rsidP="00DD6D2D">
      <w:pPr>
        <w:pStyle w:val="ListBullet2"/>
      </w:pPr>
      <w:r w:rsidRPr="00DD6D2D">
        <w:t xml:space="preserve">identifying, forecasting, obtaining, allocating and scheduling resources required to implement explosives safety and security management </w:t>
      </w:r>
      <w:r w:rsidRPr="00DD6D2D">
        <w:t>systems, including financial and human resources</w:t>
      </w:r>
    </w:p>
    <w:p w:rsidR="00000000" w:rsidRPr="00DD6D2D" w:rsidP="00DD6D2D">
      <w:pPr>
        <w:pStyle w:val="ListBullet2"/>
      </w:pPr>
      <w:r w:rsidRPr="00DD6D2D">
        <w:t>defining, allocating and including job descriptions and duty statements that allow implementation and integration of explosives safety and security management systems</w:t>
      </w:r>
    </w:p>
    <w:p w:rsidR="00000000" w:rsidRPr="00DD6D2D" w:rsidP="00DD6D2D">
      <w:pPr>
        <w:pStyle w:val="ListBullet2"/>
      </w:pPr>
      <w:r w:rsidRPr="00DD6D2D">
        <w:t>establishing and maintaining consultativ</w:t>
      </w:r>
      <w:r w:rsidRPr="00DD6D2D">
        <w:t>e processes with employees and their representatives</w:t>
      </w:r>
    </w:p>
    <w:p w:rsidR="00000000" w:rsidRPr="00DD6D2D" w:rsidP="00DD6D2D">
      <w:pPr>
        <w:pStyle w:val="ListBullet"/>
      </w:pPr>
      <w:r w:rsidRPr="00DD6D2D">
        <w:t>work with others to establish and maintain an explosives safety and security management system in a manner that meets required outcomes, including:</w:t>
      </w:r>
    </w:p>
    <w:p w:rsidR="00000000" w:rsidRPr="00DD6D2D" w:rsidP="00DD6D2D">
      <w:pPr>
        <w:pStyle w:val="ListBullet2"/>
      </w:pPr>
      <w:r w:rsidRPr="00DD6D2D">
        <w:t>receiving, conveying and clarifying work activity req</w:t>
      </w:r>
      <w:r w:rsidRPr="00DD6D2D">
        <w:t>uirements</w:t>
      </w:r>
    </w:p>
    <w:p w:rsidR="00000000" w:rsidRPr="00DD6D2D" w:rsidP="00DD6D2D">
      <w:pPr>
        <w:pStyle w:val="ListBullet2"/>
      </w:pPr>
      <w:r w:rsidRPr="00DD6D2D">
        <w:t>determining coordination requirements for confirming developed system is compliant with legislative requirements.</w:t>
      </w:r>
    </w:p>
    <w:p w:rsidR="00000000" w:rsidRPr="00DD6D2D" w:rsidP="00DD6D2D">
      <w:pPr>
        <w:pStyle w:val="AllowPageBreak"/>
      </w:pPr>
    </w:p>
    <w:p w:rsidR="00000000" w:rsidRPr="00DD6D2D" w:rsidP="00DD6D2D">
      <w:pPr>
        <w:pStyle w:val="Heading1"/>
      </w:pPr>
      <w:bookmarkStart w:id="3" w:name="O_1172274"/>
      <w:bookmarkEnd w:id="3"/>
      <w:r w:rsidRPr="00DD6D2D">
        <w:t>Knowledge Evidence</w:t>
      </w:r>
    </w:p>
    <w:p w:rsidR="00000000" w:rsidRPr="00DD6D2D" w:rsidP="001A6049">
      <w:pPr>
        <w:pStyle w:val="BodyText"/>
      </w:pPr>
      <w:r w:rsidRPr="00DD6D2D">
        <w:t>The candidate must be able to demonstrate knowledge to complete the tasks outlined in the elem</w:t>
      </w:r>
      <w:r w:rsidRPr="00DD6D2D">
        <w:t>ents, performance criteria and foundation skills of this unit, including knowledge of:</w:t>
      </w:r>
    </w:p>
    <w:p w:rsidR="00000000" w:rsidRPr="00DD6D2D" w:rsidP="00DD6D2D">
      <w:pPr>
        <w:pStyle w:val="ListBullet"/>
      </w:pPr>
      <w:r w:rsidRPr="00DD6D2D">
        <w:t>legislative requirements relating to establishing and maintaining an explosives safety and security management system</w:t>
      </w:r>
    </w:p>
    <w:p w:rsidR="00000000" w:rsidRPr="00DD6D2D" w:rsidP="00DD6D2D">
      <w:pPr>
        <w:pStyle w:val="ListBullet"/>
      </w:pPr>
      <w:r w:rsidRPr="00DD6D2D">
        <w:t>policies, procedures, industry standards and codes</w:t>
      </w:r>
      <w:r w:rsidRPr="00DD6D2D">
        <w:t xml:space="preserve"> of practice required to establish and maintain an explosives safety and security management system, including those relating to:</w:t>
      </w:r>
    </w:p>
    <w:p w:rsidR="00000000" w:rsidRPr="00DD6D2D" w:rsidP="00DD6D2D">
      <w:pPr>
        <w:pStyle w:val="ListBullet2"/>
      </w:pPr>
      <w:r w:rsidRPr="00DD6D2D">
        <w:t>security of explosives, including requirements relating to:</w:t>
      </w:r>
    </w:p>
    <w:p w:rsidR="00000000" w:rsidRPr="00DD6D2D" w:rsidP="00DD6D2D">
      <w:pPr>
        <w:pStyle w:val="ListBullet3"/>
      </w:pPr>
      <w:r w:rsidRPr="00DD6D2D">
        <w:t>people, assets and information</w:t>
      </w:r>
    </w:p>
    <w:p w:rsidR="00000000" w:rsidRPr="00DD6D2D" w:rsidP="00DD6D2D">
      <w:pPr>
        <w:pStyle w:val="ListBullet3"/>
      </w:pPr>
      <w:r w:rsidRPr="00DD6D2D">
        <w:t>triggers to review security controls</w:t>
      </w:r>
    </w:p>
    <w:p w:rsidR="00000000" w:rsidRPr="00DD6D2D" w:rsidP="00DD6D2D">
      <w:pPr>
        <w:pStyle w:val="ListBullet3"/>
      </w:pPr>
      <w:r w:rsidRPr="00DD6D2D">
        <w:t>maintenance of security controls</w:t>
      </w:r>
    </w:p>
    <w:p w:rsidR="00000000" w:rsidRPr="00DD6D2D" w:rsidP="00DD6D2D">
      <w:pPr>
        <w:pStyle w:val="ListBullet2"/>
      </w:pPr>
      <w:r w:rsidRPr="00DD6D2D">
        <w:t>explosives manufacture processes (static or mobile), including requirements relating to:</w:t>
      </w:r>
    </w:p>
    <w:p w:rsidR="00000000" w:rsidRPr="00DD6D2D" w:rsidP="00DD6D2D">
      <w:pPr>
        <w:pStyle w:val="ListBullet3"/>
      </w:pPr>
      <w:r w:rsidRPr="00DD6D2D">
        <w:t>quality assurance and quality control processes to ensure authorised explosive is manufactured</w:t>
      </w:r>
    </w:p>
    <w:p w:rsidR="00000000" w:rsidRPr="00DD6D2D" w:rsidP="00DD6D2D">
      <w:pPr>
        <w:pStyle w:val="ListBullet3"/>
      </w:pPr>
      <w:r w:rsidRPr="00DD6D2D">
        <w:t>hazards and risks associated with ammonium nitrate contacting copper and brass compounds</w:t>
      </w:r>
    </w:p>
    <w:p w:rsidR="00000000" w:rsidRPr="00DD6D2D" w:rsidP="00DD6D2D">
      <w:pPr>
        <w:pStyle w:val="ListBullet3"/>
      </w:pPr>
      <w:r w:rsidRPr="00DD6D2D">
        <w:t>decontamination processes</w:t>
      </w:r>
    </w:p>
    <w:p w:rsidR="00000000" w:rsidRPr="00DD6D2D" w:rsidP="00DD6D2D">
      <w:pPr>
        <w:pStyle w:val="ListBullet3"/>
      </w:pPr>
      <w:r w:rsidRPr="00DD6D2D">
        <w:t>maintenance programs for required plant and equipment</w:t>
      </w:r>
    </w:p>
    <w:p w:rsidR="00000000" w:rsidRPr="00DD6D2D" w:rsidP="00DD6D2D">
      <w:pPr>
        <w:pStyle w:val="ListBullet2"/>
      </w:pPr>
      <w:r w:rsidRPr="00DD6D2D">
        <w:t>storage of explosives (Class 1 and Class 5.1 SSAN), including requirements relating to</w:t>
      </w:r>
      <w:r w:rsidRPr="00DD6D2D">
        <w:t>:</w:t>
      </w:r>
    </w:p>
    <w:p w:rsidR="00000000" w:rsidRPr="00DD6D2D" w:rsidP="00DD6D2D">
      <w:pPr>
        <w:pStyle w:val="ListBullet3"/>
      </w:pPr>
      <w:r w:rsidRPr="00DD6D2D">
        <w:t>magazine construction requirements</w:t>
      </w:r>
    </w:p>
    <w:p w:rsidR="00000000" w:rsidRPr="00DD6D2D" w:rsidP="00DD6D2D">
      <w:pPr>
        <w:pStyle w:val="ListBullet3"/>
      </w:pPr>
      <w:r w:rsidRPr="00DD6D2D">
        <w:t>storage facility layouts and locations, including segregation between incompatible products and sufficient external separation to nearby sensitive receivers.</w:t>
      </w:r>
    </w:p>
    <w:p w:rsidR="00000000" w:rsidRPr="00DD6D2D" w:rsidP="00DD6D2D">
      <w:pPr>
        <w:pStyle w:val="ListBullet3"/>
      </w:pPr>
      <w:r w:rsidRPr="00DD6D2D">
        <w:t>inspection regimes</w:t>
      </w:r>
    </w:p>
    <w:p w:rsidR="00000000" w:rsidRPr="00DD6D2D" w:rsidP="00DD6D2D">
      <w:pPr>
        <w:pStyle w:val="ListBullet3"/>
      </w:pPr>
      <w:r w:rsidRPr="00DD6D2D">
        <w:t>explosives and product reconciliation, in</w:t>
      </w:r>
      <w:r w:rsidRPr="00DD6D2D">
        <w:t>cluding those relating to ordered, used and disposed product</w:t>
      </w:r>
    </w:p>
    <w:p w:rsidR="00000000" w:rsidRPr="00DD6D2D" w:rsidP="00DD6D2D">
      <w:pPr>
        <w:pStyle w:val="ListBullet2"/>
      </w:pPr>
      <w:r w:rsidRPr="00DD6D2D">
        <w:t>transport, including requirements relating to:</w:t>
      </w:r>
    </w:p>
    <w:p w:rsidR="00000000" w:rsidRPr="00DD6D2D" w:rsidP="00DD6D2D">
      <w:pPr>
        <w:pStyle w:val="ListBullet3"/>
      </w:pPr>
      <w:r w:rsidRPr="00DD6D2D">
        <w:t>product quantity limits for specific vehicles and licence categories</w:t>
      </w:r>
    </w:p>
    <w:p w:rsidR="00000000" w:rsidRPr="00DD6D2D" w:rsidP="00DD6D2D">
      <w:pPr>
        <w:pStyle w:val="ListBullet3"/>
      </w:pPr>
      <w:r w:rsidRPr="00DD6D2D">
        <w:t xml:space="preserve">carry box construction </w:t>
      </w:r>
    </w:p>
    <w:p w:rsidR="00000000" w:rsidRPr="00DD6D2D" w:rsidP="00DD6D2D">
      <w:pPr>
        <w:pStyle w:val="ListBullet3"/>
      </w:pPr>
      <w:r w:rsidRPr="00DD6D2D">
        <w:t>documentation</w:t>
      </w:r>
    </w:p>
    <w:p w:rsidR="00000000" w:rsidRPr="00DD6D2D" w:rsidP="00DD6D2D">
      <w:pPr>
        <w:pStyle w:val="ListBullet3"/>
      </w:pPr>
      <w:r w:rsidRPr="00DD6D2D">
        <w:t>marking of packaging and vehicles</w:t>
      </w:r>
    </w:p>
    <w:p w:rsidR="00000000" w:rsidRPr="00DD6D2D" w:rsidP="00DD6D2D">
      <w:pPr>
        <w:pStyle w:val="ListBullet3"/>
      </w:pPr>
      <w:r w:rsidRPr="00DD6D2D">
        <w:t xml:space="preserve">transport routes, including crossfall and gradients of roads </w:t>
      </w:r>
    </w:p>
    <w:p w:rsidR="00000000" w:rsidRPr="00DD6D2D" w:rsidP="00DD6D2D">
      <w:pPr>
        <w:pStyle w:val="ListBullet3"/>
      </w:pPr>
      <w:r w:rsidRPr="00DD6D2D">
        <w:t xml:space="preserve">licencing </w:t>
      </w:r>
    </w:p>
    <w:p w:rsidR="00000000" w:rsidRPr="00DD6D2D" w:rsidP="00DD6D2D">
      <w:pPr>
        <w:pStyle w:val="ListBullet2"/>
      </w:pPr>
      <w:r w:rsidRPr="00DD6D2D">
        <w:t>explosives use activities, including requirements relating to:</w:t>
      </w:r>
    </w:p>
    <w:p w:rsidR="00000000" w:rsidRPr="00DD6D2D" w:rsidP="00DD6D2D">
      <w:pPr>
        <w:pStyle w:val="ListBullet3"/>
      </w:pPr>
      <w:r w:rsidRPr="00DD6D2D">
        <w:t xml:space="preserve">objectives of blasting activities </w:t>
      </w:r>
    </w:p>
    <w:p w:rsidR="00000000" w:rsidRPr="00DD6D2D" w:rsidP="00DD6D2D">
      <w:pPr>
        <w:pStyle w:val="ListBullet3"/>
      </w:pPr>
      <w:r w:rsidRPr="00DD6D2D">
        <w:t>types of blasts to be undertaken</w:t>
      </w:r>
    </w:p>
    <w:p w:rsidR="00000000" w:rsidRPr="00DD6D2D" w:rsidP="00DD6D2D">
      <w:pPr>
        <w:pStyle w:val="ListBullet3"/>
      </w:pPr>
      <w:r w:rsidRPr="00DD6D2D">
        <w:t>blast management plan</w:t>
      </w:r>
    </w:p>
    <w:p w:rsidR="00000000" w:rsidRPr="00DD6D2D" w:rsidP="00DD6D2D">
      <w:pPr>
        <w:pStyle w:val="ListBullet3"/>
      </w:pPr>
      <w:r w:rsidRPr="00DD6D2D">
        <w:t xml:space="preserve">blast design requirements </w:t>
      </w:r>
    </w:p>
    <w:p w:rsidR="00000000" w:rsidRPr="00DD6D2D" w:rsidP="00DD6D2D">
      <w:pPr>
        <w:pStyle w:val="ListBullet3"/>
      </w:pPr>
      <w:r w:rsidRPr="00DD6D2D">
        <w:t>d</w:t>
      </w:r>
      <w:r w:rsidRPr="00DD6D2D">
        <w:t>rill plans and drill hole accuracy</w:t>
      </w:r>
    </w:p>
    <w:p w:rsidR="00000000" w:rsidRPr="00DD6D2D" w:rsidP="00DD6D2D">
      <w:pPr>
        <w:pStyle w:val="ListBullet3"/>
      </w:pPr>
      <w:r w:rsidRPr="00DD6D2D">
        <w:t>differences between concept design and actual drilled pattern</w:t>
      </w:r>
    </w:p>
    <w:p w:rsidR="00000000" w:rsidRPr="00DD6D2D" w:rsidP="00DD6D2D">
      <w:pPr>
        <w:pStyle w:val="ListBullet3"/>
      </w:pPr>
      <w:r w:rsidRPr="00DD6D2D">
        <w:t>hazards, risks and limitations of selected explosives and initiation systems</w:t>
      </w:r>
    </w:p>
    <w:p w:rsidR="00000000" w:rsidRPr="00DD6D2D" w:rsidP="00DD6D2D">
      <w:pPr>
        <w:pStyle w:val="ListBullet3"/>
      </w:pPr>
      <w:r w:rsidRPr="00DD6D2D">
        <w:t>elevated temperature, reactive ground and spontaneous combustion where applicable</w:t>
      </w:r>
    </w:p>
    <w:p w:rsidR="00000000" w:rsidRPr="00DD6D2D" w:rsidP="00DD6D2D">
      <w:pPr>
        <w:pStyle w:val="ListBullet3"/>
      </w:pPr>
      <w:r w:rsidRPr="00DD6D2D">
        <w:t>geological, geotechnical and hydrological issues</w:t>
      </w:r>
    </w:p>
    <w:p w:rsidR="00000000" w:rsidRPr="00DD6D2D" w:rsidP="00DD6D2D">
      <w:pPr>
        <w:pStyle w:val="ListBullet3"/>
      </w:pPr>
      <w:r w:rsidRPr="00DD6D2D">
        <w:t>vibration and overpressure limits, including calibration and maintenance of monitoring equipment</w:t>
      </w:r>
    </w:p>
    <w:p w:rsidR="00000000" w:rsidRPr="00DD6D2D" w:rsidP="00DD6D2D">
      <w:pPr>
        <w:pStyle w:val="ListBullet3"/>
      </w:pPr>
      <w:r w:rsidRPr="00DD6D2D">
        <w:t>flyrock</w:t>
      </w:r>
    </w:p>
    <w:p w:rsidR="00000000" w:rsidRPr="00DD6D2D" w:rsidP="00DD6D2D">
      <w:pPr>
        <w:pStyle w:val="ListBullet3"/>
      </w:pPr>
      <w:r w:rsidRPr="00DD6D2D">
        <w:t>explosives loading activities, including traffic management, priming, bulk product loading and stemmin</w:t>
      </w:r>
      <w:r w:rsidRPr="00DD6D2D">
        <w:t>g</w:t>
      </w:r>
    </w:p>
    <w:p w:rsidR="00000000" w:rsidRPr="00DD6D2D" w:rsidP="00DD6D2D">
      <w:pPr>
        <w:pStyle w:val="ListBullet3"/>
      </w:pPr>
      <w:r w:rsidRPr="00DD6D2D">
        <w:t>initiation system type connection</w:t>
      </w:r>
    </w:p>
    <w:p w:rsidR="00000000" w:rsidRPr="00DD6D2D" w:rsidP="00DD6D2D">
      <w:pPr>
        <w:pStyle w:val="ListBullet3"/>
      </w:pPr>
      <w:r w:rsidRPr="00DD6D2D">
        <w:t>management of blast exclusion zones</w:t>
      </w:r>
    </w:p>
    <w:p w:rsidR="00000000" w:rsidRPr="00DD6D2D" w:rsidP="00DD6D2D">
      <w:pPr>
        <w:pStyle w:val="ListBullet3"/>
      </w:pPr>
      <w:r w:rsidRPr="00DD6D2D">
        <w:t>management of blast outcomes and reconciliation against design outcomes</w:t>
      </w:r>
    </w:p>
    <w:p w:rsidR="00000000" w:rsidRPr="00DD6D2D" w:rsidP="00DD6D2D">
      <w:pPr>
        <w:pStyle w:val="ListBullet2"/>
      </w:pPr>
      <w:r w:rsidRPr="00DD6D2D">
        <w:t>misfire management, including requirements relating to:</w:t>
      </w:r>
    </w:p>
    <w:p w:rsidR="00000000" w:rsidRPr="00DD6D2D" w:rsidP="00DD6D2D">
      <w:pPr>
        <w:pStyle w:val="ListBullet3"/>
      </w:pPr>
      <w:r w:rsidRPr="00DD6D2D">
        <w:t>remediation processes</w:t>
      </w:r>
    </w:p>
    <w:p w:rsidR="00000000" w:rsidRPr="00DD6D2D" w:rsidP="00DD6D2D">
      <w:pPr>
        <w:pStyle w:val="ListBullet3"/>
      </w:pPr>
      <w:r w:rsidRPr="00DD6D2D">
        <w:t>hazards and risks of handling mi</w:t>
      </w:r>
      <w:r w:rsidRPr="00DD6D2D">
        <w:t>sfired products</w:t>
      </w:r>
    </w:p>
    <w:p w:rsidR="00000000" w:rsidRPr="00DD6D2D" w:rsidP="00DD6D2D">
      <w:pPr>
        <w:pStyle w:val="ListBullet2"/>
      </w:pPr>
      <w:r w:rsidRPr="00DD6D2D">
        <w:t>disposal processes, including requirements relating to:</w:t>
      </w:r>
    </w:p>
    <w:p w:rsidR="00000000" w:rsidRPr="00DD6D2D" w:rsidP="00DD6D2D">
      <w:pPr>
        <w:pStyle w:val="ListBullet3"/>
      </w:pPr>
      <w:r w:rsidRPr="00DD6D2D">
        <w:t>manufacturer and supplier recommendations</w:t>
      </w:r>
    </w:p>
    <w:p w:rsidR="00000000" w:rsidRPr="00DD6D2D" w:rsidP="00DD6D2D">
      <w:pPr>
        <w:pStyle w:val="ListBullet3"/>
      </w:pPr>
      <w:r w:rsidRPr="00DD6D2D">
        <w:t>record management, including type, quantity, location and destruction method employed, and reconciliation to demonstrate product accountabil</w:t>
      </w:r>
      <w:r w:rsidRPr="00DD6D2D">
        <w:t>ity</w:t>
      </w:r>
    </w:p>
    <w:p w:rsidR="00000000" w:rsidRPr="00DD6D2D" w:rsidP="00DD6D2D">
      <w:pPr>
        <w:pStyle w:val="ListBullet2"/>
      </w:pPr>
      <w:r w:rsidRPr="00DD6D2D">
        <w:t>training procedures, including requirements relating to:</w:t>
      </w:r>
    </w:p>
    <w:p w:rsidR="00000000" w:rsidRPr="00DD6D2D" w:rsidP="00DD6D2D">
      <w:pPr>
        <w:pStyle w:val="ListBullet3"/>
      </w:pPr>
      <w:r w:rsidRPr="00DD6D2D">
        <w:t>training standards for personnel in the management structure</w:t>
      </w:r>
    </w:p>
    <w:p w:rsidR="00000000" w:rsidRPr="00DD6D2D" w:rsidP="00DD6D2D">
      <w:pPr>
        <w:pStyle w:val="ListBullet3"/>
      </w:pPr>
      <w:r w:rsidRPr="00DD6D2D">
        <w:t>competency of people involved in explosives lifecycle work activity</w:t>
      </w:r>
    </w:p>
    <w:p w:rsidR="00000000" w:rsidRPr="00DD6D2D" w:rsidP="00DD6D2D">
      <w:pPr>
        <w:pStyle w:val="ListBullet3"/>
      </w:pPr>
      <w:r w:rsidRPr="00DD6D2D">
        <w:t>manufacturer specific initiation systems</w:t>
      </w:r>
    </w:p>
    <w:p w:rsidR="00000000" w:rsidRPr="00DD6D2D" w:rsidP="00DD6D2D">
      <w:pPr>
        <w:pStyle w:val="ListBullet3"/>
      </w:pPr>
      <w:r w:rsidRPr="00DD6D2D">
        <w:t>working in proximity to explosives activities</w:t>
      </w:r>
    </w:p>
    <w:p w:rsidR="00000000" w:rsidRPr="00DD6D2D" w:rsidP="00DD6D2D">
      <w:pPr>
        <w:pStyle w:val="ListBullet2"/>
      </w:pPr>
      <w:r w:rsidRPr="00DD6D2D">
        <w:t>incident management procedures, including requirements relating to:</w:t>
      </w:r>
    </w:p>
    <w:p w:rsidR="00000000" w:rsidRPr="00DD6D2D" w:rsidP="00DD6D2D">
      <w:pPr>
        <w:pStyle w:val="ListBullet3"/>
      </w:pPr>
      <w:r w:rsidRPr="00DD6D2D">
        <w:t>safety</w:t>
      </w:r>
    </w:p>
    <w:p w:rsidR="00000000" w:rsidRPr="00DD6D2D" w:rsidP="00DD6D2D">
      <w:pPr>
        <w:pStyle w:val="ListBullet3"/>
      </w:pPr>
      <w:r w:rsidRPr="00DD6D2D">
        <w:t>security</w:t>
      </w:r>
    </w:p>
    <w:p w:rsidR="00000000" w:rsidRPr="00DD6D2D" w:rsidP="00DD6D2D">
      <w:pPr>
        <w:pStyle w:val="ListBullet3"/>
      </w:pPr>
      <w:r w:rsidRPr="00DD6D2D">
        <w:t>reporting</w:t>
      </w:r>
    </w:p>
    <w:p w:rsidR="00000000" w:rsidRPr="00DD6D2D" w:rsidP="00DD6D2D">
      <w:pPr>
        <w:pStyle w:val="ListBullet3"/>
      </w:pPr>
      <w:r w:rsidRPr="00DD6D2D">
        <w:t>investigation.</w:t>
      </w:r>
    </w:p>
    <w:p w:rsidR="00000000" w:rsidRPr="00DD6D2D" w:rsidP="00DD6D2D">
      <w:pPr>
        <w:pStyle w:val="AllowPageBreak"/>
      </w:pPr>
    </w:p>
    <w:p w:rsidR="00000000" w:rsidRPr="00DD6D2D" w:rsidP="00DD6D2D">
      <w:pPr>
        <w:pStyle w:val="Heading1"/>
      </w:pPr>
      <w:bookmarkStart w:id="4" w:name="O_1172273"/>
      <w:bookmarkEnd w:id="4"/>
      <w:r w:rsidRPr="00DD6D2D">
        <w:t>Assessment Conditions</w:t>
      </w:r>
    </w:p>
    <w:p w:rsidR="00000000" w:rsidRPr="00DD6D2D" w:rsidP="001A6049">
      <w:pPr>
        <w:pStyle w:val="BodyText"/>
      </w:pPr>
      <w:r w:rsidRPr="00DD6D2D">
        <w:t>Mandatory conditions for assessment of this unit are stipu</w:t>
      </w:r>
      <w:r w:rsidRPr="00DD6D2D">
        <w:t>lated below. The assessment must:</w:t>
      </w:r>
    </w:p>
    <w:p w:rsidR="00000000" w:rsidRPr="00DD6D2D" w:rsidP="00DD6D2D">
      <w:pPr>
        <w:pStyle w:val="ListBullet"/>
      </w:pPr>
      <w:r w:rsidRPr="00DD6D2D">
        <w:t>include access to:</w:t>
      </w:r>
    </w:p>
    <w:p w:rsidR="00000000" w:rsidRPr="00DD6D2D" w:rsidP="00DD6D2D">
      <w:pPr>
        <w:pStyle w:val="ListBullet2"/>
      </w:pPr>
      <w:r w:rsidRPr="00DD6D2D">
        <w:t>blasting design criteria</w:t>
      </w:r>
    </w:p>
    <w:p w:rsidR="00000000" w:rsidRPr="00DD6D2D" w:rsidP="00DD6D2D">
      <w:pPr>
        <w:pStyle w:val="ListBullet"/>
      </w:pPr>
      <w:r w:rsidRPr="00DD6D2D">
        <w:t xml:space="preserve">be conducted in a safe environment; and, </w:t>
      </w:r>
    </w:p>
    <w:p w:rsidR="00000000" w:rsidRPr="00DD6D2D" w:rsidP="00DD6D2D">
      <w:pPr>
        <w:pStyle w:val="ListBullet"/>
      </w:pPr>
      <w:r w:rsidRPr="00DD6D2D">
        <w:t>be assessed in the context of this sector</w:t>
      </w:r>
      <w:r>
        <w:t>’</w:t>
      </w:r>
      <w:r w:rsidRPr="00DD6D2D">
        <w:t xml:space="preserve">s work environment; and, </w:t>
      </w:r>
    </w:p>
    <w:p w:rsidR="00000000" w:rsidRPr="00DD6D2D" w:rsidP="00DD6D2D">
      <w:pPr>
        <w:pStyle w:val="ListBullet"/>
      </w:pPr>
      <w:r w:rsidRPr="00DD6D2D">
        <w:t>be assessed in compliance with relevant legislation/regulation and using policies, procedures and processes directly related to the industry sector for which it is being assessed; and,</w:t>
      </w:r>
    </w:p>
    <w:p w:rsidR="00000000" w:rsidRPr="00DD6D2D" w:rsidP="00DD6D2D">
      <w:pPr>
        <w:pStyle w:val="ListBullet"/>
      </w:pPr>
      <w:r w:rsidRPr="00DD6D2D">
        <w:t>confirm consistent performance can be applied in a range of relevant wo</w:t>
      </w:r>
      <w:r w:rsidRPr="00DD6D2D">
        <w:t>rkplace circumstances.</w:t>
      </w:r>
    </w:p>
    <w:p w:rsidR="00000000" w:rsidRPr="00DD6D2D" w:rsidP="001A6049">
      <w:pPr>
        <w:pStyle w:val="BodyText"/>
      </w:pPr>
      <w:r w:rsidRPr="00DD6D2D">
        <w:t>Where personal safety or environmental damage are limiting factors, assessment may occur in a simulated work environment* provided it is realistic and sufficiently rigorous to cover all aspects of this sector’s workplace performance,</w:t>
      </w:r>
      <w:r w:rsidRPr="00DD6D2D">
        <w:t xml:space="preserve"> including environment, task skills, task management skills, contingency management skills and job role environment skills.</w:t>
      </w:r>
    </w:p>
    <w:p w:rsidR="00000000" w:rsidRPr="00DD6D2D" w:rsidP="00DD6D2D">
      <w:pPr>
        <w:pStyle w:val="BodyTextBold"/>
      </w:pPr>
      <w:r w:rsidRPr="00DD6D2D">
        <w:t>Assessor requirements</w:t>
      </w:r>
    </w:p>
    <w:p w:rsidR="00000000" w:rsidRPr="00DD6D2D" w:rsidP="001A6049">
      <w:pPr>
        <w:pStyle w:val="BodyText"/>
      </w:pPr>
      <w:r w:rsidRPr="00DD6D2D">
        <w:t>Assessors must be able to clearly demonstrate current and relevant industry knowledge and experience to satisf</w:t>
      </w:r>
      <w:r w:rsidRPr="00DD6D2D">
        <w:t>y the mandatory regulatory standards as set out in the Standards for Registered Training Organisations (RTOs) 2015/Australian Quality Training Framework mandatory requirements for assessors current at the time of assessment and any relevant licensing and c</w:t>
      </w:r>
      <w:r w:rsidRPr="00DD6D2D">
        <w:t>ertification requirements. This includes:</w:t>
      </w:r>
    </w:p>
    <w:p w:rsidR="00000000" w:rsidRPr="00DD6D2D" w:rsidP="00DD6D2D">
      <w:pPr>
        <w:pStyle w:val="ListBullet"/>
      </w:pPr>
      <w:r w:rsidRPr="00DD6D2D">
        <w:t>possessing and maintaining a current shotfirer’s licence issued by a state/territory regulatory body endorsed for the applicable type of blasting</w:t>
      </w:r>
    </w:p>
    <w:p w:rsidR="00000000" w:rsidRPr="00DD6D2D" w:rsidP="00DD6D2D">
      <w:pPr>
        <w:pStyle w:val="ListBullet"/>
      </w:pPr>
      <w:r w:rsidRPr="00DD6D2D">
        <w:t>vocational competencies at least to the level being delivered and a</w:t>
      </w:r>
      <w:r w:rsidRPr="00DD6D2D">
        <w:t>ssessed</w:t>
      </w:r>
    </w:p>
    <w:p w:rsidR="00000000" w:rsidRPr="00DD6D2D" w:rsidP="00DD6D2D">
      <w:pPr>
        <w:pStyle w:val="ListBullet"/>
      </w:pPr>
      <w:r w:rsidRPr="00DD6D2D">
        <w:t>current industry skills directly relevant to the training and assessment being provided</w:t>
      </w:r>
    </w:p>
    <w:p w:rsidR="00000000" w:rsidRPr="00DD6D2D" w:rsidP="00DD6D2D">
      <w:pPr>
        <w:pStyle w:val="ListBullet"/>
      </w:pPr>
      <w:r w:rsidRPr="00DD6D2D">
        <w:t>current knowledge and skills in vocational training and learning that informs their training and assessment</w:t>
      </w:r>
    </w:p>
    <w:p w:rsidR="00000000" w:rsidRPr="00DD6D2D" w:rsidP="00DD6D2D">
      <w:pPr>
        <w:pStyle w:val="ListBullet"/>
      </w:pPr>
      <w:r w:rsidRPr="00DD6D2D">
        <w:t>formal relevant qualifications in training and asses</w:t>
      </w:r>
      <w:r w:rsidRPr="00DD6D2D">
        <w:t>sment</w:t>
      </w:r>
    </w:p>
    <w:p w:rsidR="00000000" w:rsidRPr="00DD6D2D" w:rsidP="00DD6D2D">
      <w:pPr>
        <w:pStyle w:val="ListBullet"/>
      </w:pPr>
      <w:r w:rsidRPr="00DD6D2D">
        <w:t xml:space="preserve">having knowledge of and/or experience using the latest techniques and processes </w:t>
      </w:r>
    </w:p>
    <w:p w:rsidR="00000000" w:rsidRPr="00DD6D2D" w:rsidP="00DD6D2D">
      <w:pPr>
        <w:pStyle w:val="ListBullet"/>
      </w:pPr>
      <w:r w:rsidRPr="00DD6D2D">
        <w:t>possessing the required level of RII training product knowledge</w:t>
      </w:r>
    </w:p>
    <w:p w:rsidR="00000000" w:rsidRPr="00DD6D2D" w:rsidP="00DD6D2D">
      <w:pPr>
        <w:pStyle w:val="ListBullet"/>
      </w:pPr>
      <w:r w:rsidRPr="00DD6D2D">
        <w:t>having an understanding and knowledge of legislation and regulations relevant to the industry and to employment and workplaces</w:t>
      </w:r>
    </w:p>
    <w:p w:rsidR="00000000" w:rsidRPr="00DD6D2D" w:rsidP="00DD6D2D">
      <w:pPr>
        <w:pStyle w:val="ListBullet"/>
      </w:pPr>
      <w:r w:rsidRPr="00DD6D2D">
        <w:t>demonstrating the performance evidence, and knowledge evidence outlined in this unit of competency, and</w:t>
      </w:r>
    </w:p>
    <w:p w:rsidR="00000000" w:rsidRPr="00DD6D2D" w:rsidP="00DD6D2D">
      <w:pPr>
        <w:pStyle w:val="ListBullet"/>
      </w:pPr>
      <w:r w:rsidRPr="00DD6D2D">
        <w:t>the minimum years of curr</w:t>
      </w:r>
      <w:r w:rsidRPr="00DD6D2D">
        <w:t>ent** work experience after competency has been obtained as specified below in an industry sector relevant to the outcomes of the unit.</w:t>
      </w:r>
    </w:p>
    <w:p w:rsidR="00000000" w:rsidRPr="00DD6D2D" w:rsidP="001A6049">
      <w:pPr>
        <w:pStyle w:val="BodyText"/>
      </w:pPr>
      <w:r w:rsidRPr="00DD6D2D">
        <w:t>It is also acceptable for the appropriately qualified assessor to work with an industry expert to conduct assessment tog</w:t>
      </w:r>
      <w:r w:rsidRPr="00DD6D2D">
        <w:t>ether and for the industry expert to be involved in the assessment judgement. The industry expert must have current industry skills directly relevant to the training and assessment being provided. This means the industry subject matter expert must demonstr</w:t>
      </w:r>
      <w:r w:rsidRPr="00DD6D2D">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A604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6D2D" w:rsidP="00DD6D2D">
            <w:pPr>
              <w:pStyle w:val="BodyText"/>
            </w:pPr>
            <w:r w:rsidRPr="00DD6D2D">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6D2D" w:rsidP="00DD6D2D">
            <w:pPr>
              <w:pStyle w:val="BodyText"/>
            </w:pPr>
            <w:r w:rsidRPr="00DD6D2D">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D2D">
            <w:pPr>
              <w:pStyle w:val="BodyText"/>
              <w:rPr>
                <w:lang w:val="en-NZ"/>
              </w:rPr>
            </w:pPr>
            <w:r w:rsidRPr="00DD6D2D">
              <w:rPr>
                <w:rStyle w:val="SpecialBold"/>
              </w:rPr>
              <w:t xml:space="preserve">Required assessor or </w:t>
            </w:r>
            <w:r w:rsidRPr="00DD6D2D">
              <w:rPr>
                <w:rStyle w:val="SpecialBold"/>
              </w:rPr>
              <w:t>industry subject matter expert experience</w:t>
            </w:r>
          </w:p>
        </w:tc>
      </w:tr>
      <w:tr w:rsidTr="001A604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D2D">
            <w:pPr>
              <w:pStyle w:val="BodyText"/>
              <w:rPr>
                <w:lang w:val="en-NZ"/>
              </w:rPr>
            </w:pPr>
            <w:r w:rsidRPr="00DD6D2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D2D">
            <w:pPr>
              <w:pStyle w:val="BodyText"/>
              <w:rPr>
                <w:lang w:val="en-NZ"/>
              </w:rPr>
            </w:pPr>
            <w:r w:rsidRPr="00DD6D2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D2D">
            <w:pPr>
              <w:pStyle w:val="BodyText"/>
              <w:rPr>
                <w:lang w:val="en-NZ"/>
              </w:rPr>
            </w:pPr>
            <w:r w:rsidRPr="00DD6D2D">
              <w:t>1 year</w:t>
            </w:r>
          </w:p>
        </w:tc>
      </w:tr>
      <w:tr w:rsidTr="001A604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D2D">
            <w:pPr>
              <w:pStyle w:val="BodyText"/>
              <w:rPr>
                <w:lang w:val="en-NZ"/>
              </w:rPr>
            </w:pPr>
            <w:r w:rsidRPr="00DD6D2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D2D">
            <w:pPr>
              <w:pStyle w:val="BodyText"/>
              <w:rPr>
                <w:lang w:val="en-NZ"/>
              </w:rPr>
            </w:pPr>
            <w:r w:rsidRPr="00DD6D2D">
              <w:t>2 years</w:t>
            </w:r>
          </w:p>
        </w:tc>
      </w:tr>
      <w:tr w:rsidTr="001A60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D2D">
            <w:pPr>
              <w:pStyle w:val="BodyText"/>
              <w:rPr>
                <w:lang w:val="en-NZ"/>
              </w:rPr>
            </w:pPr>
            <w:r w:rsidRPr="00DD6D2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D2D">
            <w:pPr>
              <w:pStyle w:val="BodyText"/>
              <w:rPr>
                <w:lang w:val="en-NZ"/>
              </w:rPr>
            </w:pPr>
            <w:r w:rsidRPr="00DD6D2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6D2D">
            <w:pPr>
              <w:pStyle w:val="BodyText"/>
              <w:rPr>
                <w:lang w:val="en-NZ"/>
              </w:rPr>
            </w:pPr>
            <w:r w:rsidRPr="00DD6D2D">
              <w:t>3 years</w:t>
            </w:r>
          </w:p>
        </w:tc>
      </w:tr>
      <w:tr w:rsidTr="001A604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6D2D">
            <w:pPr>
              <w:pStyle w:val="BodyText"/>
              <w:rPr>
                <w:lang w:val="en-NZ"/>
              </w:rPr>
            </w:pPr>
            <w:r w:rsidRPr="00DD6D2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6D2D" w:rsidP="00DD6D2D">
            <w:pPr>
              <w:pStyle w:val="BodyText"/>
            </w:pPr>
            <w:r w:rsidRPr="00DD6D2D">
              <w:t>Where this unit is being assessed outside of the resources and infrastructure sectors assessor and/or industry subject matter expert experience should be in-line with industry standards for the sector in which it is being assessed an</w:t>
            </w:r>
            <w:r w:rsidRPr="00DD6D2D">
              <w:t>d where no industry standard is specified should comply with any relevant regulation.</w:t>
            </w:r>
          </w:p>
        </w:tc>
      </w:tr>
    </w:tbl>
    <w:p w:rsidR="00000000" w:rsidRPr="00DD6D2D" w:rsidP="001A6049">
      <w:pPr>
        <w:pStyle w:val="BodyText"/>
      </w:pPr>
      <w:r w:rsidRPr="00DD6D2D">
        <w:t>*Guidance on simulated environments has been stipulated in the RII Companion Volume Implementation Guide located on VETNet.</w:t>
      </w:r>
    </w:p>
    <w:p w:rsidR="00000000" w:rsidRPr="00DD6D2D" w:rsidP="001A6049">
      <w:pPr>
        <w:pStyle w:val="BodyText"/>
      </w:pPr>
      <w:r w:rsidRPr="00DD6D2D">
        <w:t>**Assessors can demonstrate current work experience through employment within industry in a role relevant to the outcomes of the unit; or, for external assessors this can be demonstrated through exposure to industry by conducting a minimum number of site a</w:t>
      </w:r>
      <w:r w:rsidRPr="00DD6D2D">
        <w:t>ssessments as determined by the relevant industry sector, across various locations.</w:t>
      </w:r>
    </w:p>
    <w:p w:rsidR="00000000" w:rsidRPr="00DD6D2D" w:rsidP="001A6049">
      <w:pPr>
        <w:pStyle w:val="BodyText"/>
      </w:pPr>
      <w:r w:rsidRPr="00DD6D2D">
        <w:t xml:space="preserve">***While a unit of competency does not have an AQF level, where a unit is being delivered outside of a qualification the first numeric character in the unit code should be </w:t>
      </w:r>
      <w:r w:rsidRPr="00DD6D2D">
        <w:t>considered as the AQF indicator level for assessment purposes.</w:t>
      </w:r>
    </w:p>
    <w:p w:rsidR="00000000" w:rsidRPr="00DD6D2D" w:rsidP="00DD6D2D">
      <w:pPr>
        <w:pStyle w:val="Heading1"/>
      </w:pPr>
      <w:bookmarkStart w:id="5" w:name="O_1172271"/>
      <w:bookmarkEnd w:id="5"/>
      <w:r w:rsidRPr="00DD6D2D">
        <w:t>Links</w:t>
      </w:r>
    </w:p>
    <w:p w:rsidR="00000000" w:rsidRPr="00DD6D2D" w:rsidP="001A6049">
      <w:pPr>
        <w:pStyle w:val="BodyText"/>
      </w:pPr>
      <w:r w:rsidRPr="00DD6D2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20C1F">
        <w:rPr>
          <w:rStyle w:val="Hyperlink"/>
        </w:rPr>
        <w:t>https://vetnet.gov.au/Pages/TrainingDocs.aspx?q=88a61002-9a21-4386-aaf8-69c76e675272</w:t>
      </w:r>
      <w:r>
        <w:fldChar w:fldCharType="end"/>
      </w:r>
    </w:p>
    <w:p w:rsidR="00000000" w:rsidRPr="00DD6D2D" w:rsidP="00DD6D2D"/>
    <w:sectPr w:rsidSect="00DD6D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D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D2D" w:rsidRPr="001A6049" w:rsidP="001A60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D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49" w:rsidP="00DD6D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6049" w:rsidP="00DD6D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A6049" w:rsidP="00DD6D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D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6D2D" w:rsidRPr="001A6049" w:rsidP="001A60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D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49" w:rsidRPr="002D2AF8" w:rsidP="00DD6D2D">
    <w:pPr>
      <w:pStyle w:val="Header"/>
      <w:framePr w:wrap="around"/>
    </w:pPr>
    <w:r>
      <w:fldChar w:fldCharType="begin"/>
    </w:r>
    <w:r>
      <w:instrText xml:space="preserve"> TITLE   \* MERGEFORMAT </w:instrText>
    </w:r>
    <w:r>
      <w:fldChar w:fldCharType="separate"/>
    </w:r>
    <w:r>
      <w:t>Assessment Requirements for RIIBLA602E Establish and maintain explosives safety and security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A6049" w:rsidP="00DD6D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AAFC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000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68F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D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D2D"/>
    <w:pPr>
      <w:spacing w:before="360" w:after="60"/>
      <w:outlineLvl w:val="0"/>
    </w:pPr>
    <w:rPr>
      <w:sz w:val="32"/>
    </w:rPr>
  </w:style>
  <w:style w:type="paragraph" w:styleId="Heading2">
    <w:name w:val="heading 2"/>
    <w:basedOn w:val="HeadingBase"/>
    <w:next w:val="BodyText"/>
    <w:link w:val="Heading2Char"/>
    <w:qFormat/>
    <w:rsid w:val="00DD6D2D"/>
    <w:pPr>
      <w:keepLines/>
      <w:spacing w:before="240" w:after="120"/>
      <w:outlineLvl w:val="1"/>
    </w:pPr>
    <w:rPr>
      <w:sz w:val="28"/>
      <w:szCs w:val="40"/>
    </w:rPr>
  </w:style>
  <w:style w:type="paragraph" w:styleId="Heading3">
    <w:name w:val="heading 3"/>
    <w:basedOn w:val="HeadingBase"/>
    <w:next w:val="BodyText"/>
    <w:link w:val="Heading3Char"/>
    <w:qFormat/>
    <w:rsid w:val="00DD6D2D"/>
    <w:pPr>
      <w:spacing w:before="180" w:after="120"/>
      <w:outlineLvl w:val="2"/>
    </w:pPr>
    <w:rPr>
      <w:spacing w:val="-10"/>
      <w:kern w:val="32"/>
    </w:rPr>
  </w:style>
  <w:style w:type="paragraph" w:styleId="Heading4">
    <w:name w:val="heading 4"/>
    <w:basedOn w:val="HeadingBase"/>
    <w:next w:val="BodyText"/>
    <w:link w:val="Heading4Char"/>
    <w:qFormat/>
    <w:rsid w:val="00DD6D2D"/>
    <w:pPr>
      <w:spacing w:before="160" w:after="120"/>
      <w:outlineLvl w:val="3"/>
    </w:pPr>
    <w:rPr>
      <w:sz w:val="22"/>
    </w:rPr>
  </w:style>
  <w:style w:type="paragraph" w:styleId="Heading5">
    <w:name w:val="heading 5"/>
    <w:basedOn w:val="HeadingBase"/>
    <w:next w:val="Normal"/>
    <w:link w:val="Heading5Char"/>
    <w:qFormat/>
    <w:rsid w:val="00DD6D2D"/>
    <w:pPr>
      <w:spacing w:before="80"/>
      <w:outlineLvl w:val="4"/>
    </w:pPr>
    <w:rPr>
      <w:color w:val="918585"/>
      <w:sz w:val="20"/>
    </w:rPr>
  </w:style>
  <w:style w:type="paragraph" w:styleId="Heading6">
    <w:name w:val="heading 6"/>
    <w:basedOn w:val="HeadingBase"/>
    <w:next w:val="Normal"/>
    <w:link w:val="Heading6Char"/>
    <w:qFormat/>
    <w:rsid w:val="00DD6D2D"/>
    <w:pPr>
      <w:spacing w:before="60"/>
      <w:outlineLvl w:val="5"/>
    </w:pPr>
    <w:rPr>
      <w:color w:val="918585"/>
      <w:sz w:val="20"/>
    </w:rPr>
  </w:style>
  <w:style w:type="paragraph" w:styleId="Heading7">
    <w:name w:val="heading 7"/>
    <w:basedOn w:val="Normal"/>
    <w:next w:val="Normal"/>
    <w:link w:val="Heading7Char"/>
    <w:qFormat/>
    <w:rsid w:val="00DD6D2D"/>
    <w:pPr>
      <w:ind w:left="720"/>
      <w:outlineLvl w:val="6"/>
    </w:pPr>
    <w:rPr>
      <w:i/>
    </w:rPr>
  </w:style>
  <w:style w:type="paragraph" w:styleId="Heading8">
    <w:name w:val="heading 8"/>
    <w:basedOn w:val="Normal"/>
    <w:next w:val="Normal"/>
    <w:link w:val="Heading8Char"/>
    <w:qFormat/>
    <w:rsid w:val="00DD6D2D"/>
    <w:pPr>
      <w:ind w:left="720"/>
      <w:outlineLvl w:val="7"/>
    </w:pPr>
    <w:rPr>
      <w:i/>
    </w:rPr>
  </w:style>
  <w:style w:type="paragraph" w:styleId="Heading9">
    <w:name w:val="heading 9"/>
    <w:basedOn w:val="Normal"/>
    <w:next w:val="Normal"/>
    <w:link w:val="Heading9Char"/>
    <w:qFormat/>
    <w:rsid w:val="00DD6D2D"/>
    <w:pPr>
      <w:ind w:left="720"/>
      <w:outlineLvl w:val="8"/>
    </w:pPr>
    <w:rPr>
      <w:i/>
    </w:rPr>
  </w:style>
  <w:style w:type="character" w:default="1" w:styleId="DefaultParagraphFont">
    <w:name w:val="Default Paragraph Font"/>
    <w:uiPriority w:val="1"/>
    <w:unhideWhenUsed/>
    <w:rsid w:val="00DD6D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D2D"/>
  </w:style>
  <w:style w:type="character" w:customStyle="1" w:styleId="Heading1Char">
    <w:name w:val="Heading 1 Char"/>
    <w:basedOn w:val="DefaultParagraphFont"/>
    <w:link w:val="Heading1"/>
    <w:rsid w:val="00DD6D2D"/>
    <w:rPr>
      <w:rFonts w:ascii="Times New Roman" w:eastAsia="Times New Roman" w:hAnsi="Times New Roman" w:cs="Times New Roman"/>
      <w:b/>
      <w:sz w:val="32"/>
      <w:szCs w:val="20"/>
      <w:lang w:eastAsia="en-US"/>
    </w:rPr>
  </w:style>
  <w:style w:type="paragraph" w:styleId="BodyText">
    <w:name w:val="Body Text"/>
    <w:basedOn w:val="Normal"/>
    <w:link w:val="BodyTextChar"/>
    <w:rsid w:val="00DD6D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6D2D"/>
    <w:rPr>
      <w:rFonts w:ascii="Times New Roman" w:eastAsia="Times New Roman" w:hAnsi="Times New Roman" w:cs="Times New Roman"/>
      <w:sz w:val="24"/>
      <w:lang w:eastAsia="en-US"/>
    </w:rPr>
  </w:style>
  <w:style w:type="paragraph" w:styleId="List">
    <w:name w:val="List"/>
    <w:basedOn w:val="BodyText"/>
    <w:next w:val="BodyText"/>
    <w:rsid w:val="00DD6D2D"/>
    <w:pPr>
      <w:tabs>
        <w:tab w:val="left" w:pos="340"/>
      </w:tabs>
      <w:spacing w:before="60" w:after="60"/>
      <w:ind w:left="340" w:hanging="340"/>
    </w:pPr>
  </w:style>
  <w:style w:type="paragraph" w:styleId="ListBullet">
    <w:name w:val="List Bullet"/>
    <w:basedOn w:val="List"/>
    <w:rsid w:val="00DD6D2D"/>
    <w:pPr>
      <w:numPr>
        <w:numId w:val="13"/>
      </w:numPr>
      <w:tabs>
        <w:tab w:val="clear" w:pos="340"/>
      </w:tabs>
      <w:spacing w:before="40" w:after="40"/>
    </w:pPr>
  </w:style>
  <w:style w:type="character" w:customStyle="1" w:styleId="SpecialBold">
    <w:name w:val="Special Bold"/>
    <w:basedOn w:val="DefaultParagraphFont"/>
    <w:rsid w:val="00DD6D2D"/>
    <w:rPr>
      <w:b/>
      <w:spacing w:val="0"/>
    </w:rPr>
  </w:style>
  <w:style w:type="paragraph" w:styleId="ListBullet2">
    <w:name w:val="List Bullet 2"/>
    <w:basedOn w:val="List2"/>
    <w:rsid w:val="00DD6D2D"/>
    <w:pPr>
      <w:numPr>
        <w:numId w:val="14"/>
      </w:numPr>
      <w:tabs>
        <w:tab w:val="clear" w:pos="680"/>
      </w:tabs>
    </w:pPr>
  </w:style>
  <w:style w:type="paragraph" w:customStyle="1" w:styleId="SuperHeading">
    <w:name w:val="SuperHeading"/>
    <w:basedOn w:val="Normal"/>
    <w:rsid w:val="00DD6D2D"/>
    <w:pPr>
      <w:spacing w:before="240" w:after="120"/>
      <w:outlineLvl w:val="0"/>
    </w:pPr>
    <w:rPr>
      <w:rFonts w:ascii="Times New Roman" w:hAnsi="Times New Roman"/>
      <w:b/>
      <w:sz w:val="32"/>
    </w:rPr>
  </w:style>
  <w:style w:type="paragraph" w:customStyle="1" w:styleId="AllowPageBreak">
    <w:name w:val="AllowPageBreak"/>
    <w:rsid w:val="00DD6D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6D2D"/>
    <w:pPr>
      <w:numPr>
        <w:numId w:val="3"/>
      </w:numPr>
      <w:tabs>
        <w:tab w:val="clear" w:pos="1021"/>
      </w:tabs>
      <w:ind w:left="1037" w:hanging="357"/>
    </w:pPr>
  </w:style>
  <w:style w:type="paragraph" w:customStyle="1" w:styleId="BodyTextBold">
    <w:name w:val="Body Text Bold"/>
    <w:basedOn w:val="BodyText"/>
    <w:qFormat/>
    <w:rsid w:val="00DD6D2D"/>
    <w:rPr>
      <w:b/>
    </w:rPr>
  </w:style>
  <w:style w:type="character" w:customStyle="1" w:styleId="Heading2Char">
    <w:name w:val="Heading 2 Char"/>
    <w:basedOn w:val="DefaultParagraphFont"/>
    <w:link w:val="Heading2"/>
    <w:rsid w:val="00DD6D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D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D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D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D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D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D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D2D"/>
    <w:rPr>
      <w:rFonts w:ascii="Courier New" w:eastAsia="Times New Roman" w:hAnsi="Courier New" w:cs="Times New Roman"/>
      <w:i/>
      <w:szCs w:val="20"/>
      <w:lang w:eastAsia="en-US"/>
    </w:rPr>
  </w:style>
  <w:style w:type="paragraph" w:customStyle="1" w:styleId="HeadingBase">
    <w:name w:val="Heading Base"/>
    <w:rsid w:val="00DD6D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D2D"/>
    <w:pPr>
      <w:tabs>
        <w:tab w:val="right" w:leader="dot" w:pos="9072"/>
      </w:tabs>
      <w:ind w:left="567"/>
    </w:pPr>
    <w:rPr>
      <w:szCs w:val="22"/>
    </w:rPr>
  </w:style>
  <w:style w:type="paragraph" w:customStyle="1" w:styleId="TOCBase">
    <w:name w:val="TOC Base"/>
    <w:rsid w:val="00DD6D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D2D"/>
    <w:pPr>
      <w:tabs>
        <w:tab w:val="right" w:leader="dot" w:pos="9072"/>
      </w:tabs>
      <w:spacing w:before="40" w:after="40"/>
      <w:ind w:left="284"/>
    </w:pPr>
    <w:rPr>
      <w:rFonts w:ascii="Times New Roman" w:hAnsi="Times New Roman"/>
    </w:rPr>
  </w:style>
  <w:style w:type="paragraph" w:styleId="TOC1">
    <w:name w:val="toc 1"/>
    <w:basedOn w:val="TOCBase"/>
    <w:next w:val="Normal"/>
    <w:rsid w:val="00DD6D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6D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D2D"/>
    <w:rPr>
      <w:rFonts w:ascii="Times New Roman" w:eastAsia="Times New Roman" w:hAnsi="Times New Roman" w:cs="Times New Roman"/>
      <w:sz w:val="16"/>
      <w:lang w:eastAsia="en-US"/>
    </w:rPr>
  </w:style>
  <w:style w:type="paragraph" w:styleId="Title">
    <w:name w:val="Title"/>
    <w:basedOn w:val="HeadingBase"/>
    <w:link w:val="TitleChar"/>
    <w:qFormat/>
    <w:rsid w:val="00DD6D2D"/>
    <w:pPr>
      <w:spacing w:before="5040"/>
      <w:jc w:val="center"/>
    </w:pPr>
    <w:rPr>
      <w:sz w:val="48"/>
      <w:szCs w:val="72"/>
      <w:lang w:val="en-US"/>
    </w:rPr>
  </w:style>
  <w:style w:type="character" w:customStyle="1" w:styleId="TitleChar">
    <w:name w:val="Title Char"/>
    <w:basedOn w:val="DefaultParagraphFont"/>
    <w:link w:val="Title"/>
    <w:rsid w:val="00DD6D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D2D"/>
    <w:pPr>
      <w:tabs>
        <w:tab w:val="left" w:pos="3600"/>
        <w:tab w:val="left" w:pos="3958"/>
      </w:tabs>
    </w:pPr>
  </w:style>
  <w:style w:type="paragraph" w:customStyle="1" w:styleId="Note">
    <w:name w:val="Note"/>
    <w:basedOn w:val="BodyText"/>
    <w:rsid w:val="00DD6D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6D2D"/>
    <w:pPr>
      <w:framePr w:wrap="auto" w:hAnchor="text" w:y="6049"/>
    </w:pPr>
    <w:rPr>
      <w:color w:val="000000"/>
      <w:sz w:val="40"/>
    </w:rPr>
  </w:style>
  <w:style w:type="paragraph" w:customStyle="1" w:styleId="TOCTitle">
    <w:name w:val="TOCTitle"/>
    <w:basedOn w:val="Heading1"/>
    <w:rsid w:val="00DD6D2D"/>
    <w:pPr>
      <w:spacing w:after="240"/>
      <w:jc w:val="center"/>
      <w:outlineLvl w:val="9"/>
    </w:pPr>
    <w:rPr>
      <w:caps/>
    </w:rPr>
  </w:style>
  <w:style w:type="paragraph" w:customStyle="1" w:styleId="Version">
    <w:name w:val="Version"/>
    <w:rsid w:val="00DD6D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D2D"/>
    <w:pPr>
      <w:keepNext w:val="0"/>
      <w:tabs>
        <w:tab w:val="right" w:pos="4176"/>
      </w:tabs>
      <w:ind w:left="198" w:hanging="198"/>
    </w:pPr>
    <w:rPr>
      <w:rFonts w:ascii="Garamond" w:hAnsi="Garamond"/>
    </w:rPr>
  </w:style>
  <w:style w:type="paragraph" w:styleId="IndexHeading">
    <w:name w:val="index heading"/>
    <w:basedOn w:val="Normal"/>
    <w:next w:val="Index1"/>
    <w:semiHidden/>
    <w:rsid w:val="00DD6D2D"/>
    <w:pPr>
      <w:spacing w:before="120" w:after="120"/>
    </w:pPr>
    <w:rPr>
      <w:rFonts w:ascii="Arial" w:hAnsi="Arial"/>
      <w:b/>
      <w:color w:val="918585"/>
      <w:sz w:val="24"/>
    </w:rPr>
  </w:style>
  <w:style w:type="paragraph" w:styleId="Header">
    <w:name w:val="header"/>
    <w:basedOn w:val="Normal"/>
    <w:link w:val="HeaderChar"/>
    <w:rsid w:val="00DD6D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D2D"/>
    <w:rPr>
      <w:rFonts w:ascii="Times New Roman" w:eastAsia="Times New Roman" w:hAnsi="Times New Roman" w:cs="Times New Roman"/>
      <w:sz w:val="16"/>
      <w:szCs w:val="20"/>
      <w:lang w:val="en-GB" w:eastAsia="en-US"/>
    </w:rPr>
  </w:style>
  <w:style w:type="paragraph" w:customStyle="1" w:styleId="Chapter">
    <w:name w:val="Chapter"/>
    <w:basedOn w:val="Normal"/>
    <w:rsid w:val="00DD6D2D"/>
    <w:pPr>
      <w:spacing w:before="240"/>
    </w:pPr>
    <w:rPr>
      <w:rFonts w:ascii="Times New Roman" w:hAnsi="Times New Roman"/>
      <w:smallCaps/>
      <w:spacing w:val="80"/>
      <w:sz w:val="28"/>
    </w:rPr>
  </w:style>
  <w:style w:type="paragraph" w:customStyle="1" w:styleId="InChapter">
    <w:name w:val="InChapter"/>
    <w:basedOn w:val="Heading3"/>
    <w:rsid w:val="00DD6D2D"/>
    <w:pPr>
      <w:spacing w:after="240"/>
      <w:outlineLvl w:val="9"/>
    </w:pPr>
    <w:rPr>
      <w:noProof/>
    </w:rPr>
  </w:style>
  <w:style w:type="paragraph" w:styleId="Index2">
    <w:name w:val="index 2"/>
    <w:basedOn w:val="Normal"/>
    <w:next w:val="Normal"/>
    <w:semiHidden/>
    <w:rsid w:val="00DD6D2D"/>
    <w:pPr>
      <w:tabs>
        <w:tab w:val="right" w:pos="4176"/>
      </w:tabs>
      <w:ind w:left="568" w:hanging="284"/>
    </w:pPr>
    <w:rPr>
      <w:rFonts w:ascii="Garamond" w:hAnsi="Garamond"/>
    </w:rPr>
  </w:style>
  <w:style w:type="paragraph" w:customStyle="1" w:styleId="Byline">
    <w:name w:val="Byline"/>
    <w:rsid w:val="00DD6D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D2D"/>
    <w:pPr>
      <w:tabs>
        <w:tab w:val="clear" w:pos="3600"/>
        <w:tab w:val="clear" w:pos="3958"/>
      </w:tabs>
      <w:jc w:val="right"/>
    </w:pPr>
  </w:style>
  <w:style w:type="character" w:styleId="Emphasis">
    <w:name w:val="Emphasis"/>
    <w:basedOn w:val="DefaultParagraphFont"/>
    <w:qFormat/>
    <w:rsid w:val="00DD6D2D"/>
    <w:rPr>
      <w:i/>
    </w:rPr>
  </w:style>
  <w:style w:type="paragraph" w:styleId="Caption">
    <w:name w:val="caption"/>
    <w:basedOn w:val="BodyText"/>
    <w:next w:val="Normal"/>
    <w:qFormat/>
    <w:rsid w:val="00DD6D2D"/>
    <w:pPr>
      <w:framePr w:w="2268" w:hSpace="181" w:vSpace="181" w:wrap="around" w:vAnchor="text" w:hAnchor="page" w:x="1135" w:y="285" w:anchorLock="1"/>
    </w:pPr>
    <w:rPr>
      <w:i/>
    </w:rPr>
  </w:style>
  <w:style w:type="paragraph" w:customStyle="1" w:styleId="MiniTOCTitle">
    <w:name w:val="MiniTOCTitle"/>
    <w:basedOn w:val="Heading4"/>
    <w:rsid w:val="00DD6D2D"/>
    <w:pPr>
      <w:spacing w:before="240"/>
      <w:outlineLvl w:val="9"/>
    </w:pPr>
    <w:rPr>
      <w:noProof/>
      <w:sz w:val="24"/>
    </w:rPr>
  </w:style>
  <w:style w:type="paragraph" w:customStyle="1" w:styleId="MiniTOCItem">
    <w:name w:val="MiniTOCItem"/>
    <w:basedOn w:val="ListBullet"/>
    <w:rsid w:val="00DD6D2D"/>
    <w:pPr>
      <w:numPr>
        <w:numId w:val="0"/>
      </w:numPr>
      <w:tabs>
        <w:tab w:val="right" w:leader="dot" w:pos="6521"/>
      </w:tabs>
      <w:spacing w:before="0" w:after="0"/>
    </w:pPr>
  </w:style>
  <w:style w:type="paragraph" w:customStyle="1" w:styleId="TOFTitle">
    <w:name w:val="TOFTitle"/>
    <w:basedOn w:val="TOCTitle"/>
    <w:rsid w:val="00DD6D2D"/>
  </w:style>
  <w:style w:type="paragraph" w:styleId="TableofFigures">
    <w:name w:val="table of figures"/>
    <w:basedOn w:val="Normal"/>
    <w:next w:val="Normal"/>
    <w:semiHidden/>
    <w:rsid w:val="00DD6D2D"/>
    <w:pPr>
      <w:tabs>
        <w:tab w:val="right" w:leader="dot" w:pos="9072"/>
      </w:tabs>
      <w:ind w:left="970" w:hanging="403"/>
    </w:pPr>
    <w:rPr>
      <w:rFonts w:ascii="Times New Roman" w:hAnsi="Times New Roman"/>
      <w:b/>
    </w:rPr>
  </w:style>
  <w:style w:type="paragraph" w:styleId="ListNumber">
    <w:name w:val="List Number"/>
    <w:basedOn w:val="List"/>
    <w:rsid w:val="00DD6D2D"/>
    <w:pPr>
      <w:numPr>
        <w:numId w:val="16"/>
      </w:numPr>
      <w:tabs>
        <w:tab w:val="clear" w:pos="340"/>
      </w:tabs>
    </w:pPr>
  </w:style>
  <w:style w:type="character" w:customStyle="1" w:styleId="WingdingSymbols">
    <w:name w:val="Wingding Symbols"/>
    <w:rsid w:val="00DD6D2D"/>
    <w:rPr>
      <w:rFonts w:ascii="Wingdings" w:hAnsi="Wingdings"/>
    </w:rPr>
  </w:style>
  <w:style w:type="paragraph" w:customStyle="1" w:styleId="TableHeading">
    <w:name w:val="Table Heading"/>
    <w:basedOn w:val="HeadingBase"/>
    <w:rsid w:val="00DD6D2D"/>
    <w:pPr>
      <w:keepLines/>
      <w:pBdr>
        <w:bottom w:val="single" w:sz="6" w:space="1" w:color="918585"/>
      </w:pBdr>
      <w:spacing w:before="240"/>
    </w:pPr>
  </w:style>
  <w:style w:type="character" w:customStyle="1" w:styleId="HotSpot">
    <w:name w:val="HotSpot"/>
    <w:rsid w:val="00DD6D2D"/>
    <w:rPr>
      <w:color w:val="0033CC"/>
      <w:u w:val="none"/>
    </w:rPr>
  </w:style>
  <w:style w:type="paragraph" w:customStyle="1" w:styleId="BodyTextRight">
    <w:name w:val="Body Text Right"/>
    <w:basedOn w:val="BodyText"/>
    <w:rsid w:val="00DD6D2D"/>
    <w:pPr>
      <w:spacing w:before="0" w:after="0"/>
      <w:jc w:val="right"/>
    </w:pPr>
  </w:style>
  <w:style w:type="paragraph" w:styleId="Index3">
    <w:name w:val="index 3"/>
    <w:basedOn w:val="ListNumber2"/>
    <w:next w:val="Normal"/>
    <w:semiHidden/>
    <w:rsid w:val="00DD6D2D"/>
    <w:pPr>
      <w:numPr>
        <w:numId w:val="0"/>
      </w:numPr>
      <w:tabs>
        <w:tab w:val="right" w:leader="dot" w:pos="4176"/>
      </w:tabs>
    </w:pPr>
  </w:style>
  <w:style w:type="paragraph" w:styleId="ListNumber2">
    <w:name w:val="List Number 2"/>
    <w:basedOn w:val="List2"/>
    <w:rsid w:val="00DD6D2D"/>
    <w:pPr>
      <w:numPr>
        <w:numId w:val="11"/>
      </w:numPr>
      <w:tabs>
        <w:tab w:val="clear" w:pos="1060"/>
      </w:tabs>
    </w:pPr>
  </w:style>
  <w:style w:type="paragraph" w:customStyle="1" w:styleId="MarginNote">
    <w:name w:val="Margin Note"/>
    <w:basedOn w:val="BodyText"/>
    <w:rsid w:val="00DD6D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D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D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D2D"/>
    <w:rPr>
      <w:sz w:val="32"/>
    </w:rPr>
  </w:style>
  <w:style w:type="paragraph" w:customStyle="1" w:styleId="HeadingProcedure">
    <w:name w:val="Heading Procedure"/>
    <w:basedOn w:val="HeadingBase"/>
    <w:next w:val="Normal"/>
    <w:rsid w:val="00DD6D2D"/>
    <w:pPr>
      <w:tabs>
        <w:tab w:val="left" w:pos="0"/>
      </w:tabs>
      <w:spacing w:before="120" w:after="60"/>
    </w:pPr>
    <w:rPr>
      <w:i/>
      <w:color w:val="918585"/>
      <w:sz w:val="22"/>
    </w:rPr>
  </w:style>
  <w:style w:type="paragraph" w:customStyle="1" w:styleId="TableBodyText">
    <w:name w:val="Table Body Text"/>
    <w:basedOn w:val="BodyText"/>
    <w:rsid w:val="00DD6D2D"/>
    <w:pPr>
      <w:spacing w:before="60" w:after="60"/>
    </w:pPr>
  </w:style>
  <w:style w:type="paragraph" w:styleId="ListContinue">
    <w:name w:val="List Continue"/>
    <w:basedOn w:val="List"/>
    <w:rsid w:val="00DD6D2D"/>
    <w:pPr>
      <w:ind w:firstLine="0"/>
    </w:pPr>
  </w:style>
  <w:style w:type="paragraph" w:customStyle="1" w:styleId="ListNote">
    <w:name w:val="List Note"/>
    <w:basedOn w:val="List"/>
    <w:rsid w:val="00DD6D2D"/>
    <w:pPr>
      <w:pBdr>
        <w:top w:val="single" w:sz="6" w:space="2" w:color="918585"/>
        <w:bottom w:val="single" w:sz="6" w:space="2" w:color="918585"/>
      </w:pBdr>
      <w:tabs>
        <w:tab w:val="left" w:pos="1021"/>
      </w:tabs>
      <w:ind w:firstLine="0"/>
    </w:pPr>
  </w:style>
  <w:style w:type="paragraph" w:customStyle="1" w:styleId="Warning">
    <w:name w:val="Warning"/>
    <w:basedOn w:val="BodyText"/>
    <w:rsid w:val="00DD6D2D"/>
    <w:pPr>
      <w:shd w:val="clear" w:color="auto" w:fill="D9D9D9"/>
      <w:tabs>
        <w:tab w:val="left" w:pos="992"/>
      </w:tabs>
      <w:ind w:left="119" w:right="119"/>
    </w:pPr>
    <w:rPr>
      <w:sz w:val="20"/>
    </w:rPr>
  </w:style>
  <w:style w:type="paragraph" w:customStyle="1" w:styleId="MarginIcons">
    <w:name w:val="Margin Icons"/>
    <w:basedOn w:val="BodyText"/>
    <w:rsid w:val="00DD6D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D2D"/>
    <w:rPr>
      <w:rFonts w:ascii="Courier New" w:hAnsi="Courier New"/>
    </w:rPr>
  </w:style>
  <w:style w:type="paragraph" w:customStyle="1" w:styleId="NoteBullet">
    <w:name w:val="Note Bullet"/>
    <w:basedOn w:val="Note"/>
    <w:rsid w:val="00DD6D2D"/>
    <w:pPr>
      <w:tabs>
        <w:tab w:val="clear" w:pos="680"/>
      </w:tabs>
      <w:spacing w:before="60" w:after="60"/>
    </w:pPr>
  </w:style>
  <w:style w:type="paragraph" w:customStyle="1" w:styleId="SubHeading2">
    <w:name w:val="SubHeading2"/>
    <w:basedOn w:val="HeadingBase"/>
    <w:rsid w:val="00DD6D2D"/>
    <w:pPr>
      <w:spacing w:before="240" w:after="60"/>
    </w:pPr>
    <w:rPr>
      <w:sz w:val="20"/>
    </w:rPr>
  </w:style>
  <w:style w:type="paragraph" w:customStyle="1" w:styleId="SubHeading1">
    <w:name w:val="SubHeading1"/>
    <w:basedOn w:val="HeadingBase"/>
    <w:rsid w:val="00DD6D2D"/>
    <w:pPr>
      <w:spacing w:before="240" w:after="60"/>
    </w:pPr>
    <w:rPr>
      <w:color w:val="918585"/>
      <w:sz w:val="22"/>
    </w:rPr>
  </w:style>
  <w:style w:type="paragraph" w:customStyle="1" w:styleId="SideHeading">
    <w:name w:val="Side Heading"/>
    <w:basedOn w:val="HeadingBase"/>
    <w:rsid w:val="00DD6D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D2D"/>
    <w:pPr>
      <w:numPr>
        <w:numId w:val="12"/>
      </w:numPr>
    </w:pPr>
  </w:style>
  <w:style w:type="paragraph" w:styleId="PlainText">
    <w:name w:val="Plain Text"/>
    <w:basedOn w:val="Normal"/>
    <w:link w:val="PlainTextChar"/>
    <w:rsid w:val="00DD6D2D"/>
    <w:rPr>
      <w:sz w:val="20"/>
    </w:rPr>
  </w:style>
  <w:style w:type="character" w:customStyle="1" w:styleId="PlainTextChar">
    <w:name w:val="Plain Text Char"/>
    <w:basedOn w:val="DefaultParagraphFont"/>
    <w:link w:val="PlainText"/>
    <w:rsid w:val="00DD6D2D"/>
    <w:rPr>
      <w:rFonts w:ascii="Courier New" w:eastAsia="Times New Roman" w:hAnsi="Courier New" w:cs="Times New Roman"/>
      <w:sz w:val="20"/>
      <w:szCs w:val="20"/>
      <w:lang w:eastAsia="en-US"/>
    </w:rPr>
  </w:style>
  <w:style w:type="character" w:customStyle="1" w:styleId="MenuOption">
    <w:name w:val="Menu Option"/>
    <w:basedOn w:val="DefaultParagraphFont"/>
    <w:rsid w:val="00DD6D2D"/>
    <w:rPr>
      <w:b/>
      <w:smallCaps/>
    </w:rPr>
  </w:style>
  <w:style w:type="paragraph" w:customStyle="1" w:styleId="TableListNumber">
    <w:name w:val="Table List Number"/>
    <w:basedOn w:val="ListNumber"/>
    <w:rsid w:val="00DD6D2D"/>
    <w:pPr>
      <w:numPr>
        <w:numId w:val="0"/>
      </w:numPr>
    </w:pPr>
  </w:style>
  <w:style w:type="paragraph" w:styleId="TOC4">
    <w:name w:val="toc 4"/>
    <w:basedOn w:val="TOCBase"/>
    <w:next w:val="Normal"/>
    <w:semiHidden/>
    <w:rsid w:val="00DD6D2D"/>
    <w:pPr>
      <w:tabs>
        <w:tab w:val="right" w:leader="dot" w:pos="9071"/>
      </w:tabs>
      <w:ind w:left="1701"/>
    </w:pPr>
  </w:style>
  <w:style w:type="paragraph" w:customStyle="1" w:styleId="ListAlpha">
    <w:name w:val="List Alpha"/>
    <w:basedOn w:val="List"/>
    <w:rsid w:val="00DD6D2D"/>
    <w:pPr>
      <w:numPr>
        <w:numId w:val="10"/>
      </w:numPr>
    </w:pPr>
  </w:style>
  <w:style w:type="paragraph" w:customStyle="1" w:styleId="ListAlpha2">
    <w:name w:val="List Alpha 2"/>
    <w:basedOn w:val="List2"/>
    <w:rsid w:val="00DD6D2D"/>
    <w:pPr>
      <w:numPr>
        <w:numId w:val="9"/>
      </w:numPr>
    </w:pPr>
  </w:style>
  <w:style w:type="paragraph" w:styleId="List2">
    <w:name w:val="List 2"/>
    <w:basedOn w:val="BodyText"/>
    <w:rsid w:val="00DD6D2D"/>
    <w:pPr>
      <w:tabs>
        <w:tab w:val="left" w:pos="680"/>
      </w:tabs>
      <w:spacing w:before="60" w:after="60"/>
      <w:ind w:left="680" w:hanging="340"/>
    </w:pPr>
  </w:style>
  <w:style w:type="paragraph" w:styleId="List3">
    <w:name w:val="List 3"/>
    <w:basedOn w:val="BodyText"/>
    <w:rsid w:val="00DD6D2D"/>
    <w:pPr>
      <w:tabs>
        <w:tab w:val="left" w:pos="1021"/>
      </w:tabs>
      <w:spacing w:before="60" w:after="60"/>
      <w:ind w:left="1020" w:hanging="340"/>
    </w:pPr>
  </w:style>
  <w:style w:type="paragraph" w:styleId="List4">
    <w:name w:val="List 4"/>
    <w:basedOn w:val="BodyText"/>
    <w:rsid w:val="00DD6D2D"/>
    <w:pPr>
      <w:tabs>
        <w:tab w:val="left" w:pos="1361"/>
      </w:tabs>
      <w:spacing w:before="60" w:after="60"/>
      <w:ind w:left="1361" w:hanging="340"/>
    </w:pPr>
  </w:style>
  <w:style w:type="paragraph" w:styleId="List5">
    <w:name w:val="List 5"/>
    <w:basedOn w:val="BodyText"/>
    <w:rsid w:val="00DD6D2D"/>
    <w:pPr>
      <w:tabs>
        <w:tab w:val="left" w:pos="1701"/>
      </w:tabs>
      <w:spacing w:before="60" w:after="60"/>
      <w:ind w:left="1701" w:hanging="340"/>
    </w:pPr>
  </w:style>
  <w:style w:type="paragraph" w:styleId="ListBullet4">
    <w:name w:val="List Bullet 4"/>
    <w:basedOn w:val="List4"/>
    <w:rsid w:val="00DD6D2D"/>
    <w:pPr>
      <w:numPr>
        <w:numId w:val="4"/>
      </w:numPr>
      <w:tabs>
        <w:tab w:val="clear" w:pos="1361"/>
      </w:tabs>
    </w:pPr>
  </w:style>
  <w:style w:type="paragraph" w:styleId="ListBullet5">
    <w:name w:val="List Bullet 5"/>
    <w:basedOn w:val="List5"/>
    <w:rsid w:val="00DD6D2D"/>
    <w:pPr>
      <w:numPr>
        <w:numId w:val="5"/>
      </w:numPr>
    </w:pPr>
  </w:style>
  <w:style w:type="paragraph" w:styleId="ListContinue2">
    <w:name w:val="List Continue 2"/>
    <w:basedOn w:val="List2"/>
    <w:rsid w:val="00DD6D2D"/>
    <w:pPr>
      <w:ind w:firstLine="0"/>
    </w:pPr>
  </w:style>
  <w:style w:type="paragraph" w:styleId="ListContinue3">
    <w:name w:val="List Continue 3"/>
    <w:basedOn w:val="List3"/>
    <w:rsid w:val="00DD6D2D"/>
    <w:pPr>
      <w:ind w:left="1021" w:firstLine="0"/>
    </w:pPr>
  </w:style>
  <w:style w:type="paragraph" w:styleId="ListContinue4">
    <w:name w:val="List Continue 4"/>
    <w:basedOn w:val="List4"/>
    <w:rsid w:val="00DD6D2D"/>
    <w:pPr>
      <w:ind w:firstLine="0"/>
    </w:pPr>
  </w:style>
  <w:style w:type="paragraph" w:styleId="ListContinue5">
    <w:name w:val="List Continue 5"/>
    <w:basedOn w:val="List5"/>
    <w:rsid w:val="00DD6D2D"/>
    <w:pPr>
      <w:ind w:firstLine="0"/>
    </w:pPr>
  </w:style>
  <w:style w:type="paragraph" w:styleId="ListNumber3">
    <w:name w:val="List Number 3"/>
    <w:basedOn w:val="List3"/>
    <w:rsid w:val="00DD6D2D"/>
    <w:pPr>
      <w:numPr>
        <w:numId w:val="6"/>
      </w:numPr>
    </w:pPr>
  </w:style>
  <w:style w:type="paragraph" w:styleId="ListNumber4">
    <w:name w:val="List Number 4"/>
    <w:basedOn w:val="List4"/>
    <w:rsid w:val="00DD6D2D"/>
    <w:pPr>
      <w:numPr>
        <w:numId w:val="7"/>
      </w:numPr>
    </w:pPr>
  </w:style>
  <w:style w:type="paragraph" w:styleId="ListNumber5">
    <w:name w:val="List Number 5"/>
    <w:basedOn w:val="List5"/>
    <w:rsid w:val="00DD6D2D"/>
    <w:pPr>
      <w:numPr>
        <w:numId w:val="8"/>
      </w:numPr>
    </w:pPr>
  </w:style>
  <w:style w:type="paragraph" w:styleId="BlockText">
    <w:name w:val="Block Text"/>
    <w:basedOn w:val="Normal"/>
    <w:rsid w:val="00DD6D2D"/>
    <w:pPr>
      <w:spacing w:after="120"/>
      <w:ind w:left="1440" w:right="1440"/>
    </w:pPr>
  </w:style>
  <w:style w:type="character" w:customStyle="1" w:styleId="Subscript">
    <w:name w:val="Subscript"/>
    <w:basedOn w:val="DefaultParagraphFont"/>
    <w:rsid w:val="00DD6D2D"/>
    <w:rPr>
      <w:sz w:val="16"/>
      <w:vertAlign w:val="subscript"/>
    </w:rPr>
  </w:style>
  <w:style w:type="character" w:customStyle="1" w:styleId="Superscript">
    <w:name w:val="Superscript"/>
    <w:basedOn w:val="DefaultParagraphFont"/>
    <w:rsid w:val="00DD6D2D"/>
    <w:rPr>
      <w:sz w:val="16"/>
      <w:vertAlign w:val="superscript"/>
    </w:rPr>
  </w:style>
  <w:style w:type="character" w:customStyle="1" w:styleId="Symbols">
    <w:name w:val="Symbols"/>
    <w:basedOn w:val="DefaultParagraphFont"/>
    <w:rsid w:val="00DD6D2D"/>
    <w:rPr>
      <w:rFonts w:ascii="Symbol" w:hAnsi="Symbol"/>
    </w:rPr>
  </w:style>
  <w:style w:type="character" w:customStyle="1" w:styleId="MenuOptions">
    <w:name w:val="Menu Options"/>
    <w:basedOn w:val="DefaultParagraphFont"/>
    <w:rsid w:val="00DD6D2D"/>
    <w:rPr>
      <w:rFonts w:ascii="Arial Narrow" w:hAnsi="Arial Narrow"/>
      <w:smallCaps/>
    </w:rPr>
  </w:style>
  <w:style w:type="character" w:customStyle="1" w:styleId="Buttons">
    <w:name w:val="Buttons"/>
    <w:basedOn w:val="DefaultParagraphFont"/>
    <w:rsid w:val="00DD6D2D"/>
    <w:rPr>
      <w:b/>
    </w:rPr>
  </w:style>
  <w:style w:type="character" w:customStyle="1" w:styleId="Underlined">
    <w:name w:val="Underlined"/>
    <w:basedOn w:val="DefaultParagraphFont"/>
    <w:rsid w:val="00DD6D2D"/>
    <w:rPr>
      <w:u w:val="single"/>
    </w:rPr>
  </w:style>
  <w:style w:type="paragraph" w:customStyle="1" w:styleId="TableBodyTextRight">
    <w:name w:val="Table Body Text Right"/>
    <w:basedOn w:val="TableBodyText"/>
    <w:rsid w:val="00DD6D2D"/>
    <w:pPr>
      <w:widowControl w:val="0"/>
      <w:autoSpaceDE w:val="0"/>
      <w:autoSpaceDN w:val="0"/>
      <w:adjustRightInd w:val="0"/>
      <w:jc w:val="right"/>
    </w:pPr>
    <w:rPr>
      <w:rFonts w:cs="Arial"/>
      <w:szCs w:val="18"/>
    </w:rPr>
  </w:style>
  <w:style w:type="paragraph" w:customStyle="1" w:styleId="CopyrightText">
    <w:name w:val="Copyright Text"/>
    <w:basedOn w:val="BodyText"/>
    <w:rsid w:val="00DD6D2D"/>
    <w:rPr>
      <w:sz w:val="18"/>
    </w:rPr>
  </w:style>
  <w:style w:type="paragraph" w:customStyle="1" w:styleId="BodySmallRight">
    <w:name w:val="Body Small Right"/>
    <w:basedOn w:val="BodyTextRight"/>
    <w:rsid w:val="00DD6D2D"/>
    <w:rPr>
      <w:sz w:val="18"/>
      <w:szCs w:val="18"/>
    </w:rPr>
  </w:style>
  <w:style w:type="paragraph" w:customStyle="1" w:styleId="MarginEdition">
    <w:name w:val="Margin Edition"/>
    <w:basedOn w:val="MarginNote"/>
    <w:rsid w:val="00DD6D2D"/>
    <w:pPr>
      <w:spacing w:before="0" w:after="0"/>
    </w:pPr>
    <w:rPr>
      <w:rFonts w:ascii="Times New Roman" w:hAnsi="Times New Roman"/>
      <w:color w:val="999999"/>
    </w:rPr>
  </w:style>
  <w:style w:type="paragraph" w:customStyle="1" w:styleId="Spacer">
    <w:name w:val="Spacer"/>
    <w:basedOn w:val="Normal"/>
    <w:rsid w:val="00DD6D2D"/>
    <w:rPr>
      <w:sz w:val="2"/>
      <w:szCs w:val="2"/>
    </w:rPr>
  </w:style>
  <w:style w:type="character" w:customStyle="1" w:styleId="Small">
    <w:name w:val="Small"/>
    <w:basedOn w:val="DefaultParagraphFont"/>
    <w:rsid w:val="00DD6D2D"/>
    <w:rPr>
      <w:sz w:val="16"/>
    </w:rPr>
  </w:style>
  <w:style w:type="paragraph" w:customStyle="1" w:styleId="WideTable">
    <w:name w:val="Wide Table"/>
    <w:basedOn w:val="Normal"/>
    <w:rsid w:val="00DD6D2D"/>
    <w:pPr>
      <w:ind w:left="-1418"/>
    </w:pPr>
    <w:rPr>
      <w:sz w:val="2"/>
      <w:szCs w:val="2"/>
    </w:rPr>
  </w:style>
  <w:style w:type="character" w:styleId="PageNumber">
    <w:name w:val="page number"/>
    <w:basedOn w:val="DefaultParagraphFont"/>
    <w:rsid w:val="00DD6D2D"/>
  </w:style>
  <w:style w:type="paragraph" w:styleId="Quote">
    <w:name w:val="Quote"/>
    <w:basedOn w:val="Heading1"/>
    <w:link w:val="QuoteChar"/>
    <w:qFormat/>
    <w:rsid w:val="00DD6D2D"/>
    <w:rPr>
      <w:b w:val="0"/>
      <w:sz w:val="72"/>
      <w:szCs w:val="72"/>
      <w:lang w:val="en-NZ"/>
    </w:rPr>
  </w:style>
  <w:style w:type="character" w:customStyle="1" w:styleId="QuoteChar">
    <w:name w:val="Quote Char"/>
    <w:basedOn w:val="DefaultParagraphFont"/>
    <w:link w:val="Quote"/>
    <w:rsid w:val="00DD6D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D2D"/>
    <w:pPr>
      <w:pageBreakBefore/>
    </w:pPr>
  </w:style>
  <w:style w:type="paragraph" w:customStyle="1" w:styleId="Border">
    <w:name w:val="Border"/>
    <w:basedOn w:val="Normal"/>
    <w:qFormat/>
    <w:rsid w:val="00DD6D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D2D"/>
    <w:rPr>
      <w:b/>
      <w:bCs/>
      <w:i/>
      <w:iCs/>
      <w:color w:val="auto"/>
    </w:rPr>
  </w:style>
  <w:style w:type="paragraph" w:styleId="IntenseQuote">
    <w:name w:val="Intense Quote"/>
    <w:basedOn w:val="Normal"/>
    <w:next w:val="Normal"/>
    <w:link w:val="IntenseQuoteChar"/>
    <w:uiPriority w:val="30"/>
    <w:qFormat/>
    <w:rsid w:val="00DD6D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D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D2D"/>
    <w:rPr>
      <w:smallCaps/>
      <w:color w:val="auto"/>
      <w:u w:val="single"/>
    </w:rPr>
  </w:style>
  <w:style w:type="character" w:styleId="IntenseReference">
    <w:name w:val="Intense Reference"/>
    <w:basedOn w:val="DefaultParagraphFont"/>
    <w:uiPriority w:val="32"/>
    <w:qFormat/>
    <w:rsid w:val="00DD6D2D"/>
    <w:rPr>
      <w:b/>
      <w:bCs/>
      <w:smallCaps/>
      <w:color w:val="auto"/>
      <w:spacing w:val="5"/>
      <w:u w:val="single"/>
    </w:rPr>
  </w:style>
  <w:style w:type="paragraph" w:customStyle="1" w:styleId="2ColumnHeading">
    <w:name w:val="2Column Heading"/>
    <w:basedOn w:val="BodyText"/>
    <w:qFormat/>
    <w:rsid w:val="00DD6D2D"/>
    <w:pPr>
      <w:spacing w:after="60"/>
      <w:ind w:left="-2268"/>
    </w:pPr>
    <w:rPr>
      <w:b/>
    </w:rPr>
  </w:style>
  <w:style w:type="paragraph" w:customStyle="1" w:styleId="Heading1TOC">
    <w:name w:val="Heading1 TOC"/>
    <w:basedOn w:val="Normal"/>
    <w:qFormat/>
    <w:rsid w:val="00DD6D2D"/>
    <w:pPr>
      <w:spacing w:before="240" w:after="120"/>
    </w:pPr>
    <w:rPr>
      <w:rFonts w:ascii="Times New Roman" w:hAnsi="Times New Roman"/>
      <w:b/>
      <w:sz w:val="32"/>
    </w:rPr>
  </w:style>
  <w:style w:type="paragraph" w:customStyle="1" w:styleId="Heading2TOC">
    <w:name w:val="Heading2 TOC"/>
    <w:basedOn w:val="Normal"/>
    <w:qFormat/>
    <w:rsid w:val="00DD6D2D"/>
    <w:pPr>
      <w:spacing w:before="240" w:after="60"/>
    </w:pPr>
    <w:rPr>
      <w:rFonts w:ascii="Times New Roman" w:hAnsi="Times New Roman"/>
      <w:b/>
      <w:sz w:val="28"/>
    </w:rPr>
  </w:style>
  <w:style w:type="character" w:customStyle="1" w:styleId="Underline">
    <w:name w:val="Underline"/>
    <w:basedOn w:val="DefaultParagraphFont"/>
    <w:qFormat/>
    <w:rsid w:val="00DD6D2D"/>
    <w:rPr>
      <w:u w:val="single"/>
    </w:rPr>
  </w:style>
  <w:style w:type="character" w:customStyle="1" w:styleId="BoldandItalics">
    <w:name w:val="Bold and Italics"/>
    <w:qFormat/>
    <w:rsid w:val="00DD6D2D"/>
    <w:rPr>
      <w:b/>
      <w:i/>
      <w:u w:val="none"/>
    </w:rPr>
  </w:style>
  <w:style w:type="paragraph" w:styleId="BalloonText">
    <w:name w:val="Balloon Text"/>
    <w:basedOn w:val="Normal"/>
    <w:link w:val="BalloonTextChar"/>
    <w:rsid w:val="00DD6D2D"/>
    <w:rPr>
      <w:rFonts w:ascii="Tahoma" w:hAnsi="Tahoma" w:cs="Tahoma"/>
      <w:sz w:val="16"/>
      <w:szCs w:val="16"/>
    </w:rPr>
  </w:style>
  <w:style w:type="character" w:customStyle="1" w:styleId="BalloonTextChar">
    <w:name w:val="Balloon Text Char"/>
    <w:basedOn w:val="DefaultParagraphFont"/>
    <w:link w:val="BalloonText"/>
    <w:rsid w:val="00DD6D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D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6D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D2D"/>
    <w:rPr>
      <w:b/>
      <w:color w:val="660033"/>
      <w:spacing w:val="0"/>
    </w:rPr>
  </w:style>
  <w:style w:type="paragraph" w:customStyle="1" w:styleId="Nameditemlist">
    <w:name w:val="Named item list"/>
    <w:basedOn w:val="BodyText"/>
    <w:qFormat/>
    <w:rsid w:val="00DD6D2D"/>
    <w:pPr>
      <w:tabs>
        <w:tab w:val="left" w:pos="2835"/>
      </w:tabs>
      <w:ind w:left="2835" w:hanging="2835"/>
    </w:pPr>
  </w:style>
  <w:style w:type="paragraph" w:customStyle="1" w:styleId="BodyTextnopadding">
    <w:name w:val="Body Text no padding"/>
    <w:basedOn w:val="BodyText"/>
    <w:qFormat/>
    <w:rsid w:val="00DD6D2D"/>
    <w:pPr>
      <w:spacing w:before="0" w:after="0"/>
    </w:pPr>
  </w:style>
  <w:style w:type="character" w:styleId="Hyperlink">
    <w:name w:val="Hyperlink"/>
    <w:basedOn w:val="DefaultParagraphFont"/>
    <w:uiPriority w:val="99"/>
    <w:unhideWhenUsed/>
    <w:rsid w:val="001A60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1346</Words>
  <Characters>8930</Characters>
  <Application>Microsoft Office Word</Application>
  <DocSecurity>0</DocSecurity>
  <Lines>212</Lines>
  <Paragraphs>146</Paragraphs>
  <ScaleCrop>false</ScaleCrop>
  <Company>Author-it Software Corporation Ltd.</Company>
  <LinksUpToDate>false</LinksUpToDate>
  <CharactersWithSpaces>10130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RIIBLA602E Establish and maintain explosives safety and security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2022-10-18T14:37:00Z</dcterms:created>
  <dcterms:modified xsi:type="dcterms:W3CDTF">2022-10-18T14:37:00Z</dcterms:modified>
</cp:coreProperties>
</file>