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35FB" w:rsidP="003935FB">
      <w:pPr>
        <w:pStyle w:val="Title"/>
      </w:pPr>
      <w:r>
        <w:fldChar w:fldCharType="begin"/>
      </w:r>
      <w:r>
        <w:instrText xml:space="preserve"> TITLE   \* MERGEFORMAT </w:instrText>
      </w:r>
      <w:r>
        <w:fldChar w:fldCharType="separate"/>
      </w:r>
      <w:r>
        <w:t>Assessment Requirements for RIIBLA601E Design blasts</w:t>
      </w:r>
      <w:r>
        <w:fldChar w:fldCharType="end"/>
      </w:r>
    </w:p>
    <w:p w:rsidR="003935FB" w:rsidP="003935FB">
      <w:pPr>
        <w:pStyle w:val="Version"/>
        <w:sectPr w:rsidSect="00B1408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1408E" w:rsidP="00B1408E">
      <w:pPr>
        <w:pStyle w:val="SuperHeading"/>
      </w:pPr>
      <w:r w:rsidRPr="00B1408E">
        <w:t>Assessment Requirements for RIIBLA601E Design blasts</w:t>
      </w:r>
    </w:p>
    <w:p w:rsidR="00000000" w:rsidRPr="00B1408E" w:rsidP="00B1408E">
      <w:pPr>
        <w:pStyle w:val="Heading1"/>
      </w:pPr>
      <w:bookmarkStart w:id="1" w:name="O_849021"/>
      <w:bookmarkEnd w:id="1"/>
      <w:r w:rsidRPr="00B1408E">
        <w:t>Modification History</w:t>
      </w:r>
    </w:p>
    <w:tbl>
      <w:tblPr>
        <w:tblW w:w="0" w:type="auto"/>
        <w:tblCellMar>
          <w:left w:w="62" w:type="dxa"/>
          <w:right w:w="62" w:type="dxa"/>
        </w:tblCellMar>
        <w:tblLook w:val="0000"/>
      </w:tblPr>
      <w:tblGrid>
        <w:gridCol w:w="922"/>
        <w:gridCol w:w="8274"/>
      </w:tblGrid>
      <w:tr w:rsidTr="003935F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408E">
            <w:pPr>
              <w:pStyle w:val="Heading4"/>
              <w:rPr>
                <w:lang w:val="en-NZ"/>
              </w:rPr>
            </w:pPr>
            <w:r w:rsidRPr="00B1408E">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408E">
            <w:pPr>
              <w:pStyle w:val="Heading4"/>
              <w:rPr>
                <w:lang w:val="en-NZ"/>
              </w:rPr>
            </w:pPr>
            <w:r w:rsidRPr="00B1408E">
              <w:t>Comment</w:t>
            </w:r>
          </w:p>
        </w:tc>
      </w:tr>
      <w:tr w:rsidTr="003935F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408E">
            <w:pPr>
              <w:pStyle w:val="BodyText"/>
              <w:rPr>
                <w:lang w:val="en-NZ"/>
              </w:rPr>
            </w:pPr>
            <w:r w:rsidRPr="00B1408E">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408E" w:rsidP="00B1408E">
            <w:pPr>
              <w:pStyle w:val="BodyText"/>
            </w:pPr>
            <w:r w:rsidRPr="00B1408E">
              <w:t>This unit replaces RIIBLA601D Design surface blasts. Amendments made to the title and element one to remove ‘surface’ allowing this unit to be used underground also. Unit application amended. Add mapping tabl</w:t>
            </w:r>
            <w:r w:rsidRPr="00B1408E">
              <w:t>e.</w:t>
            </w:r>
          </w:p>
        </w:tc>
      </w:tr>
    </w:tbl>
    <w:p w:rsidR="00000000" w:rsidRPr="00B1408E" w:rsidP="00B1408E">
      <w:pPr>
        <w:pStyle w:val="BodyText"/>
      </w:pPr>
    </w:p>
    <w:p w:rsidR="00000000" w:rsidRPr="00B1408E" w:rsidP="00B1408E">
      <w:pPr>
        <w:pStyle w:val="AllowPageBreak"/>
      </w:pPr>
    </w:p>
    <w:p w:rsidR="00000000" w:rsidRPr="00B1408E" w:rsidP="00B1408E">
      <w:pPr>
        <w:pStyle w:val="Heading1"/>
      </w:pPr>
      <w:bookmarkStart w:id="2" w:name="O_849024"/>
      <w:bookmarkEnd w:id="2"/>
      <w:r w:rsidRPr="00B1408E">
        <w:t>Performance Evidence</w:t>
      </w:r>
    </w:p>
    <w:p w:rsidR="00000000" w:rsidRPr="00B1408E" w:rsidP="003935FB">
      <w:pPr>
        <w:pStyle w:val="BodyText"/>
      </w:pPr>
      <w:r w:rsidRPr="00B1408E">
        <w:t xml:space="preserve">Evidence is required to be collected that demonstrates a candidate’s competency in this unit. Evidence must be relevant to the roles within this sector’s work operations and satisfy all of the requirements of the </w:t>
      </w:r>
      <w:r w:rsidRPr="00B1408E">
        <w:t>performance criteria of this unit and include evidence that the candidate:</w:t>
      </w:r>
    </w:p>
    <w:p w:rsidR="00000000" w:rsidRPr="00B1408E" w:rsidP="00B1408E">
      <w:pPr>
        <w:pStyle w:val="ListBullet"/>
      </w:pPr>
      <w:r w:rsidRPr="00B1408E">
        <w:t>locates and applies relevant legislation, documentation, policies and procedures</w:t>
      </w:r>
    </w:p>
    <w:p w:rsidR="00000000" w:rsidRPr="00B1408E" w:rsidP="00B1408E">
      <w:pPr>
        <w:pStyle w:val="ListBullet"/>
      </w:pPr>
      <w:r w:rsidRPr="00B1408E">
        <w:t>works effectively with others to undertake and complete designing blasts that meet all of the requi</w:t>
      </w:r>
      <w:r w:rsidRPr="00B1408E">
        <w:t xml:space="preserve">red outcomes including: </w:t>
      </w:r>
    </w:p>
    <w:p w:rsidR="00000000" w:rsidRPr="00B1408E" w:rsidP="00B1408E">
      <w:pPr>
        <w:pStyle w:val="ListBullet2"/>
      </w:pPr>
      <w:r w:rsidRPr="00B1408E">
        <w:t>communicating clearly and concisely with others to receive and clarify work instructions</w:t>
      </w:r>
    </w:p>
    <w:p w:rsidR="00000000" w:rsidRPr="00B1408E" w:rsidP="00B1408E">
      <w:pPr>
        <w:pStyle w:val="ListBullet2"/>
      </w:pPr>
      <w:r w:rsidRPr="00B1408E">
        <w:t>communicating clearly and concisely with others to resolve coordination requirements prior to commencing and during work activities</w:t>
      </w:r>
    </w:p>
    <w:p w:rsidR="00000000" w:rsidRPr="00B1408E" w:rsidP="00B1408E">
      <w:pPr>
        <w:pStyle w:val="ListBullet2"/>
      </w:pPr>
      <w:r w:rsidRPr="00B1408E">
        <w:t>providing team leadership</w:t>
      </w:r>
    </w:p>
    <w:p w:rsidR="00000000" w:rsidRPr="00B1408E" w:rsidP="00B1408E">
      <w:pPr>
        <w:pStyle w:val="ListBullet"/>
      </w:pPr>
      <w:r w:rsidRPr="00B1408E">
        <w:t>demonstrates completion of designing blasts that safely, effectively and efficiently meets all of the required outcomes on more than one (1) occasion including:</w:t>
      </w:r>
    </w:p>
    <w:p w:rsidR="00000000" w:rsidRPr="00B1408E" w:rsidP="00B1408E">
      <w:pPr>
        <w:pStyle w:val="ListBullet2"/>
      </w:pPr>
      <w:r w:rsidRPr="00B1408E">
        <w:t>preparing the blast plan</w:t>
      </w:r>
    </w:p>
    <w:p w:rsidR="00000000" w:rsidRPr="00B1408E" w:rsidP="00B1408E">
      <w:pPr>
        <w:pStyle w:val="ListBullet2"/>
      </w:pPr>
      <w:r w:rsidRPr="00B1408E">
        <w:t>preparing and presenting the blast plan bu</w:t>
      </w:r>
      <w:r w:rsidRPr="00B1408E">
        <w:t>dget</w:t>
      </w:r>
    </w:p>
    <w:p w:rsidR="00000000" w:rsidRPr="00B1408E" w:rsidP="00B1408E">
      <w:pPr>
        <w:pStyle w:val="ListBullet2"/>
      </w:pPr>
      <w:r w:rsidRPr="00B1408E">
        <w:t>communicating, explaining and clarifying the blast plan to team members and others involved</w:t>
      </w:r>
    </w:p>
    <w:p w:rsidR="00000000" w:rsidRPr="00B1408E" w:rsidP="00B1408E">
      <w:pPr>
        <w:pStyle w:val="ListBullet2"/>
      </w:pPr>
      <w:r w:rsidRPr="00B1408E">
        <w:t>monitoring and confirming the results of the blast against blast design requirements and parameters and the budget</w:t>
      </w:r>
    </w:p>
    <w:p w:rsidR="00000000" w:rsidRPr="00B1408E" w:rsidP="00B1408E">
      <w:pPr>
        <w:pStyle w:val="ListBullet2"/>
      </w:pPr>
      <w:r w:rsidRPr="00B1408E">
        <w:t>identifying and resolving variances to the b</w:t>
      </w:r>
      <w:r w:rsidRPr="00B1408E">
        <w:t>last plan</w:t>
      </w:r>
    </w:p>
    <w:p w:rsidR="00000000" w:rsidRPr="00B1408E" w:rsidP="00B1408E">
      <w:pPr>
        <w:pStyle w:val="ListBullet2"/>
      </w:pPr>
      <w:r w:rsidRPr="00B1408E">
        <w:t>documenting blast plan activity, variances and outcomes</w:t>
      </w:r>
    </w:p>
    <w:p w:rsidR="00000000" w:rsidRPr="00B1408E" w:rsidP="00B1408E">
      <w:pPr>
        <w:pStyle w:val="AllowPageBreak"/>
      </w:pPr>
    </w:p>
    <w:p w:rsidR="00000000" w:rsidRPr="00B1408E" w:rsidP="00B1408E">
      <w:pPr>
        <w:pStyle w:val="Heading1"/>
      </w:pPr>
      <w:bookmarkStart w:id="3" w:name="O_849023"/>
      <w:bookmarkEnd w:id="3"/>
      <w:r w:rsidRPr="00B1408E">
        <w:t>Knowledge Evidence</w:t>
      </w:r>
    </w:p>
    <w:p w:rsidR="00000000" w:rsidRPr="00B1408E" w:rsidP="003935FB">
      <w:pPr>
        <w:pStyle w:val="BodyText"/>
      </w:pPr>
      <w:r w:rsidRPr="00B1408E">
        <w:t>The candidate must demonstrate knowledge of the following in designing blasts:</w:t>
      </w:r>
    </w:p>
    <w:p w:rsidR="00000000" w:rsidRPr="00B1408E" w:rsidP="00B1408E">
      <w:pPr>
        <w:pStyle w:val="ListBullet"/>
      </w:pPr>
      <w:r w:rsidRPr="00B1408E">
        <w:t>site risk, statutory compliance, health, safety, environmental, quality an</w:t>
      </w:r>
      <w:r w:rsidRPr="00B1408E">
        <w:t>d communication requirements and procedures</w:t>
      </w:r>
    </w:p>
    <w:p w:rsidR="00000000" w:rsidRPr="00B1408E" w:rsidP="00B1408E">
      <w:pPr>
        <w:pStyle w:val="ListBullet"/>
      </w:pPr>
      <w:r w:rsidRPr="00B1408E">
        <w:t>geological data</w:t>
      </w:r>
    </w:p>
    <w:p w:rsidR="00000000" w:rsidRPr="00B1408E" w:rsidP="00B1408E">
      <w:pPr>
        <w:pStyle w:val="ListBullet"/>
      </w:pPr>
      <w:r w:rsidRPr="00B1408E">
        <w:t>survey data</w:t>
      </w:r>
    </w:p>
    <w:p w:rsidR="00000000" w:rsidRPr="00B1408E" w:rsidP="00B1408E">
      <w:pPr>
        <w:pStyle w:val="ListBullet"/>
      </w:pPr>
      <w:r w:rsidRPr="00B1408E">
        <w:t>range of blasting parameters</w:t>
      </w:r>
    </w:p>
    <w:p w:rsidR="00000000" w:rsidRPr="00B1408E" w:rsidP="00B1408E">
      <w:pPr>
        <w:pStyle w:val="ListBullet"/>
      </w:pPr>
      <w:r w:rsidRPr="00B1408E">
        <w:t>operational techniques required for execution of the plan</w:t>
      </w:r>
    </w:p>
    <w:p w:rsidR="00000000" w:rsidRPr="00B1408E" w:rsidP="00B1408E">
      <w:pPr>
        <w:pStyle w:val="ListBullet"/>
      </w:pPr>
      <w:r w:rsidRPr="00B1408E">
        <w:t>plant and equipment capabilities</w:t>
      </w:r>
    </w:p>
    <w:p w:rsidR="00000000" w:rsidRPr="00B1408E" w:rsidP="00B1408E">
      <w:pPr>
        <w:pStyle w:val="ListBullet"/>
      </w:pPr>
      <w:r w:rsidRPr="00B1408E">
        <w:t>work planning techniques</w:t>
      </w:r>
    </w:p>
    <w:p w:rsidR="00000000" w:rsidRPr="00B1408E" w:rsidP="00B1408E">
      <w:pPr>
        <w:pStyle w:val="ListBullet"/>
      </w:pPr>
      <w:r w:rsidRPr="00B1408E">
        <w:t>team leadership techniques</w:t>
      </w:r>
    </w:p>
    <w:p w:rsidR="00000000" w:rsidRPr="00B1408E" w:rsidP="00B1408E">
      <w:pPr>
        <w:pStyle w:val="ListBullet"/>
      </w:pPr>
      <w:r w:rsidRPr="00B1408E">
        <w:t>consultative and coaching techniques</w:t>
      </w:r>
    </w:p>
    <w:p w:rsidR="00000000" w:rsidRPr="00B1408E" w:rsidP="00B1408E">
      <w:pPr>
        <w:pStyle w:val="ListBullet"/>
      </w:pPr>
      <w:r w:rsidRPr="00B1408E">
        <w:t>work monitoring methods</w:t>
      </w:r>
    </w:p>
    <w:p w:rsidR="00000000" w:rsidRPr="00B1408E" w:rsidP="00B1408E">
      <w:pPr>
        <w:pStyle w:val="ListBullet"/>
      </w:pPr>
      <w:r w:rsidRPr="00B1408E">
        <w:t>recording and reporting systems</w:t>
      </w:r>
    </w:p>
    <w:p w:rsidR="00000000" w:rsidRPr="00B1408E" w:rsidP="00B1408E">
      <w:pPr>
        <w:pStyle w:val="AllowPageBreak"/>
      </w:pPr>
    </w:p>
    <w:p w:rsidR="00000000" w:rsidRPr="00B1408E" w:rsidP="00B1408E">
      <w:pPr>
        <w:pStyle w:val="Heading1"/>
      </w:pPr>
      <w:bookmarkStart w:id="4" w:name="O_849022"/>
      <w:bookmarkEnd w:id="4"/>
      <w:r w:rsidRPr="00B1408E">
        <w:t>Assessment Conditions</w:t>
      </w:r>
    </w:p>
    <w:p w:rsidR="00000000" w:rsidRPr="00B1408E" w:rsidP="00B1408E">
      <w:pPr>
        <w:pStyle w:val="ListBullet"/>
      </w:pPr>
      <w:r w:rsidRPr="00B1408E">
        <w:t>Assessors must satisfy the Standards for Registered Training Organisations (RTOs) 2015/AQTF mandatory competency requiremen</w:t>
      </w:r>
      <w:r w:rsidRPr="00B1408E">
        <w:t xml:space="preserve">ts for assessors; and industry regulations for certification and licensing; and, </w:t>
      </w:r>
    </w:p>
    <w:p w:rsidR="00000000" w:rsidRPr="00B1408E" w:rsidP="00B1408E">
      <w:pPr>
        <w:pStyle w:val="ListBullet"/>
      </w:pPr>
      <w:r w:rsidRPr="00B1408E">
        <w:t>this unit is best assessed in the context of this sector’s work environment;</w:t>
      </w:r>
    </w:p>
    <w:p w:rsidR="00000000" w:rsidRPr="00B1408E" w:rsidP="00B1408E">
      <w:pPr>
        <w:pStyle w:val="ListBullet"/>
      </w:pPr>
      <w:r w:rsidRPr="00B1408E">
        <w:t>where personal safety or environmental damage are limiting factors, assessment may occur in a sim</w:t>
      </w:r>
      <w:r w:rsidRPr="00B1408E">
        <w:t>ulated environment provided it is realistic and sufficiently rigorous to cover all aspects of this sector’s workplace performance, including environment, task skills, task management skills, contingency management skills and job role environment skills; an</w:t>
      </w:r>
      <w:r w:rsidRPr="00B1408E">
        <w:t>d,</w:t>
      </w:r>
    </w:p>
    <w:p w:rsidR="00000000" w:rsidRPr="00B1408E" w:rsidP="00B1408E">
      <w:pPr>
        <w:pStyle w:val="ListBullet"/>
      </w:pPr>
      <w:r w:rsidRPr="00B1408E">
        <w:t>this unit must be assessed in compliance with relevant legislation/regulation and using policies, procedures, processes and operational manuals directly related to the industry sector for which it is being assessed; and,</w:t>
      </w:r>
    </w:p>
    <w:p w:rsidR="00000000" w:rsidRPr="00B1408E" w:rsidP="00B1408E">
      <w:pPr>
        <w:pStyle w:val="ListBullet"/>
      </w:pPr>
      <w:r w:rsidRPr="00B1408E">
        <w:t>assessment may be conducted in c</w:t>
      </w:r>
      <w:r w:rsidRPr="00B1408E">
        <w:t>onjunction with the assessment of other units of competency; and,</w:t>
      </w:r>
    </w:p>
    <w:p w:rsidR="00000000" w:rsidRPr="00B1408E" w:rsidP="00B1408E">
      <w:pPr>
        <w:pStyle w:val="ListBullet"/>
      </w:pPr>
      <w:r w:rsidRPr="00B1408E">
        <w:t>assessment must confirm consistent performance can be applied in a range of relevant workplace circumstances; and,</w:t>
      </w:r>
    </w:p>
    <w:p w:rsidR="00000000" w:rsidRPr="00B1408E" w:rsidP="00B1408E">
      <w:pPr>
        <w:pStyle w:val="ListBullet"/>
      </w:pPr>
      <w:r w:rsidRPr="00B1408E">
        <w:t>assessors must demonstrate the performance evidence, and knowledge evidence</w:t>
      </w:r>
      <w:r w:rsidRPr="00B1408E">
        <w:t xml:space="preserve"> as outlined in this unit of competency, and through the minimum years of current* work experience specified below in an industry sector relevant to the outcomes of the unit; or,</w:t>
      </w:r>
    </w:p>
    <w:p w:rsidR="00000000" w:rsidRPr="00B1408E" w:rsidP="00B1408E">
      <w:pPr>
        <w:pStyle w:val="ListBullet"/>
      </w:pPr>
      <w:r w:rsidRPr="00B1408E">
        <w:t>where the assessor does not meet experience requirements a co-assessment or p</w:t>
      </w:r>
      <w:r w:rsidRPr="00B1408E">
        <w:t>artnership arrangement must exist between the qualified assessor and an industry subject matter expert. The industry subject matter expert should hold the unit being assessed (or an equivalent unit) and/or demonstrate equivalence of skills and knowledge at</w:t>
      </w:r>
      <w:r w:rsidRPr="00B1408E">
        <w:t xml:space="preserve"> the unit level. An industry technical expert must also demonstrate skills and knowledge from the minimum years of current work experience specified below in the industry sector, including time spent in roles related to the unit being assessed; and,</w:t>
      </w:r>
    </w:p>
    <w:p w:rsidR="00000000" w:rsidRPr="00B1408E" w:rsidP="00B1408E">
      <w:pPr>
        <w:pStyle w:val="ListBullet"/>
      </w:pPr>
      <w:r w:rsidRPr="00B1408E">
        <w:t>assess</w:t>
      </w:r>
      <w:r w:rsidRPr="00B1408E">
        <w:t>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B1408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408E">
            <w:pPr>
              <w:pStyle w:val="Heading4"/>
              <w:rPr>
                <w:lang w:val="en-NZ"/>
              </w:rPr>
            </w:pPr>
            <w:r w:rsidRPr="00B1408E">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408E">
            <w:pPr>
              <w:pStyle w:val="Heading4"/>
              <w:rPr>
                <w:lang w:val="en-NZ"/>
              </w:rPr>
            </w:pPr>
            <w:r w:rsidRPr="00B1408E">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408E">
            <w:pPr>
              <w:pStyle w:val="Heading4"/>
              <w:rPr>
                <w:lang w:val="en-NZ"/>
              </w:rPr>
            </w:pPr>
            <w:r w:rsidRPr="00B1408E">
              <w:t>Required assessor or industry subject matter expert experience</w:t>
            </w:r>
          </w:p>
        </w:tc>
      </w:tr>
      <w:tr w:rsidTr="00B1408E">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408E">
            <w:pPr>
              <w:pStyle w:val="BodyText"/>
              <w:rPr>
                <w:lang w:val="en-NZ"/>
              </w:rPr>
            </w:pPr>
            <w:r w:rsidRPr="00B1408E">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408E">
            <w:pPr>
              <w:pStyle w:val="BodyText"/>
              <w:rPr>
                <w:lang w:val="en-NZ"/>
              </w:rPr>
            </w:pPr>
            <w:r w:rsidRPr="00B1408E">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408E">
            <w:pPr>
              <w:pStyle w:val="BodyText"/>
              <w:rPr>
                <w:lang w:val="en-NZ"/>
              </w:rPr>
            </w:pPr>
            <w:r w:rsidRPr="00B1408E">
              <w:t>1 Year</w:t>
            </w:r>
          </w:p>
        </w:tc>
      </w:tr>
      <w:tr w:rsidTr="00B1408E">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408E">
            <w:pPr>
              <w:pStyle w:val="BodyText"/>
              <w:rPr>
                <w:lang w:val="en-NZ"/>
              </w:rPr>
            </w:pPr>
            <w:r w:rsidRPr="00B1408E">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408E">
            <w:pPr>
              <w:pStyle w:val="BodyText"/>
              <w:rPr>
                <w:lang w:val="en-NZ"/>
              </w:rPr>
            </w:pPr>
            <w:r w:rsidRPr="00B1408E">
              <w:t>2 Years</w:t>
            </w:r>
          </w:p>
        </w:tc>
      </w:tr>
      <w:tr w:rsidTr="00B1408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408E">
            <w:pPr>
              <w:pStyle w:val="BodyText"/>
              <w:rPr>
                <w:lang w:val="en-NZ"/>
              </w:rPr>
            </w:pPr>
            <w:r w:rsidRPr="00B1408E">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408E">
            <w:pPr>
              <w:pStyle w:val="BodyText"/>
              <w:rPr>
                <w:lang w:val="en-NZ"/>
              </w:rPr>
            </w:pPr>
            <w:r w:rsidRPr="00B1408E">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408E">
            <w:pPr>
              <w:pStyle w:val="BodyText"/>
              <w:rPr>
                <w:lang w:val="en-NZ"/>
              </w:rPr>
            </w:pPr>
            <w:r w:rsidRPr="00B1408E">
              <w:t>3 Years</w:t>
            </w:r>
          </w:p>
        </w:tc>
      </w:tr>
      <w:tr w:rsidTr="00B1408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408E">
            <w:pPr>
              <w:pStyle w:val="BodyText"/>
              <w:rPr>
                <w:lang w:val="en-NZ"/>
              </w:rPr>
            </w:pPr>
            <w:r w:rsidRPr="00B1408E">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408E">
            <w:pPr>
              <w:pStyle w:val="BodyText"/>
              <w:rPr>
                <w:lang w:val="en-NZ"/>
              </w:rPr>
            </w:pPr>
            <w:r w:rsidRPr="00B1408E">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408E">
            <w:pPr>
              <w:pStyle w:val="BodyText"/>
              <w:rPr>
                <w:lang w:val="en-NZ"/>
              </w:rPr>
            </w:pPr>
            <w:r w:rsidRPr="00B1408E">
              <w:t>5 Years</w:t>
            </w:r>
          </w:p>
        </w:tc>
      </w:tr>
      <w:tr w:rsidTr="00B1408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408E">
            <w:pPr>
              <w:pStyle w:val="BodyText"/>
              <w:rPr>
                <w:lang w:val="en-NZ"/>
              </w:rPr>
            </w:pPr>
            <w:r w:rsidRPr="00B1408E">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1408E" w:rsidP="00B1408E">
            <w:pPr>
              <w:pStyle w:val="BodyText"/>
            </w:pPr>
            <w:r w:rsidRPr="00B1408E">
              <w:t>Where this unit is being assessed outside of the Resources and Infrastructure Sectors, assessor and/or industry subject matter expert experience should be in-line with industry standard</w:t>
            </w:r>
            <w:r w:rsidRPr="00B1408E">
              <w:t>s for the sector in which it is being assessed and, where no industry standard is specified, should comply with any relevant regulation.</w:t>
            </w:r>
          </w:p>
        </w:tc>
      </w:tr>
    </w:tbl>
    <w:p w:rsidR="00000000" w:rsidRPr="00B1408E" w:rsidP="003935FB">
      <w:pPr>
        <w:pStyle w:val="BodyText"/>
      </w:pPr>
      <w:r w:rsidRPr="00B1408E">
        <w:t>*Assessors can demonstrate current work experience through employment within industry in a role relevant to the outcomes of the unit; or, for external assessors this can be demonstrated through exposure to industry by conducting frequent site assessments a</w:t>
      </w:r>
      <w:r w:rsidRPr="00B1408E">
        <w:t>cross various locations.</w:t>
      </w:r>
    </w:p>
    <w:p w:rsidR="00000000" w:rsidRPr="00B1408E" w:rsidP="003935FB">
      <w:pPr>
        <w:pStyle w:val="BodyText"/>
      </w:pPr>
      <w:r w:rsidRPr="00B1408E">
        <w:t>**Where a unit is being delivered outside of a qualification the first numeric character in the Unit code should be considered to indicate the AQF level.</w:t>
      </w:r>
    </w:p>
    <w:p w:rsidR="00000000" w:rsidRPr="00B1408E" w:rsidP="00B1408E">
      <w:pPr>
        <w:pStyle w:val="Heading1"/>
      </w:pPr>
      <w:bookmarkStart w:id="5" w:name="O_849020"/>
      <w:bookmarkEnd w:id="5"/>
      <w:r w:rsidRPr="00B1408E">
        <w:t>Links</w:t>
      </w:r>
    </w:p>
    <w:p w:rsidR="00000000" w:rsidRPr="00B1408E" w:rsidP="003935FB">
      <w:pPr>
        <w:pStyle w:val="BodyText"/>
      </w:pPr>
      <w:r w:rsidRPr="00B1408E">
        <w:t>Companion Volume implementation guides are found in VE</w:t>
      </w:r>
      <w:r w:rsidRPr="00B1408E">
        <w:t xml:space="preserve">TNet - </w:t>
      </w:r>
      <w:r>
        <w:fldChar w:fldCharType="begin"/>
      </w:r>
      <w:r>
        <w:instrText xml:space="preserve"> HYPERLINK "https://vetnet.gov.au/Pages/TrainingDocs.aspx?q=88a61002-9a21-4386-aaf8-69c76e675272" </w:instrText>
      </w:r>
      <w:r>
        <w:fldChar w:fldCharType="separate"/>
      </w:r>
      <w:r w:rsidRPr="004B3612">
        <w:rPr>
          <w:rStyle w:val="Hyperlink"/>
        </w:rPr>
        <w:t>https://vetnet.gov.au/Pages/TrainingDocs.aspx?q=88a61002-9a21-4386-aaf8-69c76e675272</w:t>
      </w:r>
      <w:r>
        <w:fldChar w:fldCharType="end"/>
      </w:r>
    </w:p>
    <w:p w:rsidR="00000000" w:rsidRPr="00B1408E" w:rsidP="00B1408E"/>
    <w:sectPr w:rsidSect="00B1408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0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08E" w:rsidRPr="003935FB" w:rsidP="003935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0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5FB" w:rsidP="00B140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935FB" w:rsidP="00B1408E">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3935FB" w:rsidP="00B1408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0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5F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1408E" w:rsidRPr="003935FB" w:rsidP="003935F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0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5FB" w:rsidRPr="002D2AF8" w:rsidP="00B1408E">
    <w:pPr>
      <w:pStyle w:val="Header"/>
      <w:framePr w:wrap="around"/>
    </w:pPr>
    <w:r>
      <w:fldChar w:fldCharType="begin"/>
    </w:r>
    <w:r>
      <w:instrText xml:space="preserve"> TITLE   \* MERGEFORMAT </w:instrText>
    </w:r>
    <w:r>
      <w:fldChar w:fldCharType="separate"/>
    </w:r>
    <w:r>
      <w:t>Assessment Requirements for RIIBLA601E Design blasts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2021</w:t>
    </w:r>
    <w:r>
      <w:fldChar w:fldCharType="end"/>
    </w:r>
  </w:p>
  <w:p w:rsidR="003935FB" w:rsidP="00B1408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4CC96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1223A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8A4E4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408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1408E"/>
    <w:pPr>
      <w:spacing w:before="360" w:after="60"/>
      <w:outlineLvl w:val="0"/>
    </w:pPr>
    <w:rPr>
      <w:sz w:val="32"/>
    </w:rPr>
  </w:style>
  <w:style w:type="paragraph" w:styleId="Heading2">
    <w:name w:val="heading 2"/>
    <w:basedOn w:val="HeadingBase"/>
    <w:next w:val="BodyText"/>
    <w:link w:val="Heading2Char"/>
    <w:qFormat/>
    <w:rsid w:val="00B1408E"/>
    <w:pPr>
      <w:keepLines/>
      <w:spacing w:before="240" w:after="120"/>
      <w:outlineLvl w:val="1"/>
    </w:pPr>
    <w:rPr>
      <w:sz w:val="28"/>
      <w:szCs w:val="40"/>
    </w:rPr>
  </w:style>
  <w:style w:type="paragraph" w:styleId="Heading3">
    <w:name w:val="heading 3"/>
    <w:basedOn w:val="HeadingBase"/>
    <w:next w:val="BodyText"/>
    <w:link w:val="Heading3Char"/>
    <w:qFormat/>
    <w:rsid w:val="00B1408E"/>
    <w:pPr>
      <w:spacing w:before="180" w:after="120"/>
      <w:outlineLvl w:val="2"/>
    </w:pPr>
    <w:rPr>
      <w:spacing w:val="-10"/>
      <w:kern w:val="32"/>
    </w:rPr>
  </w:style>
  <w:style w:type="paragraph" w:styleId="Heading4">
    <w:name w:val="heading 4"/>
    <w:basedOn w:val="HeadingBase"/>
    <w:next w:val="BodyText"/>
    <w:link w:val="Heading4Char"/>
    <w:qFormat/>
    <w:rsid w:val="00B1408E"/>
    <w:pPr>
      <w:spacing w:before="160" w:after="120"/>
      <w:outlineLvl w:val="3"/>
    </w:pPr>
    <w:rPr>
      <w:sz w:val="22"/>
    </w:rPr>
  </w:style>
  <w:style w:type="paragraph" w:styleId="Heading5">
    <w:name w:val="heading 5"/>
    <w:basedOn w:val="HeadingBase"/>
    <w:next w:val="Normal"/>
    <w:link w:val="Heading5Char"/>
    <w:qFormat/>
    <w:rsid w:val="00B1408E"/>
    <w:pPr>
      <w:spacing w:before="80"/>
      <w:outlineLvl w:val="4"/>
    </w:pPr>
    <w:rPr>
      <w:color w:val="918585"/>
      <w:sz w:val="20"/>
    </w:rPr>
  </w:style>
  <w:style w:type="paragraph" w:styleId="Heading6">
    <w:name w:val="heading 6"/>
    <w:basedOn w:val="HeadingBase"/>
    <w:next w:val="Normal"/>
    <w:link w:val="Heading6Char"/>
    <w:qFormat/>
    <w:rsid w:val="00B1408E"/>
    <w:pPr>
      <w:spacing w:before="60"/>
      <w:outlineLvl w:val="5"/>
    </w:pPr>
    <w:rPr>
      <w:color w:val="918585"/>
      <w:sz w:val="20"/>
    </w:rPr>
  </w:style>
  <w:style w:type="paragraph" w:styleId="Heading7">
    <w:name w:val="heading 7"/>
    <w:basedOn w:val="Normal"/>
    <w:next w:val="Normal"/>
    <w:link w:val="Heading7Char"/>
    <w:qFormat/>
    <w:rsid w:val="00B1408E"/>
    <w:pPr>
      <w:ind w:left="720"/>
      <w:outlineLvl w:val="6"/>
    </w:pPr>
    <w:rPr>
      <w:i/>
    </w:rPr>
  </w:style>
  <w:style w:type="paragraph" w:styleId="Heading8">
    <w:name w:val="heading 8"/>
    <w:basedOn w:val="Normal"/>
    <w:next w:val="Normal"/>
    <w:link w:val="Heading8Char"/>
    <w:qFormat/>
    <w:rsid w:val="00B1408E"/>
    <w:pPr>
      <w:ind w:left="720"/>
      <w:outlineLvl w:val="7"/>
    </w:pPr>
    <w:rPr>
      <w:i/>
    </w:rPr>
  </w:style>
  <w:style w:type="paragraph" w:styleId="Heading9">
    <w:name w:val="heading 9"/>
    <w:basedOn w:val="Normal"/>
    <w:next w:val="Normal"/>
    <w:link w:val="Heading9Char"/>
    <w:qFormat/>
    <w:rsid w:val="00B1408E"/>
    <w:pPr>
      <w:ind w:left="720"/>
      <w:outlineLvl w:val="8"/>
    </w:pPr>
    <w:rPr>
      <w:i/>
    </w:rPr>
  </w:style>
  <w:style w:type="character" w:default="1" w:styleId="DefaultParagraphFont">
    <w:name w:val="Default Paragraph Font"/>
    <w:uiPriority w:val="1"/>
    <w:unhideWhenUsed/>
    <w:rsid w:val="00B140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408E"/>
  </w:style>
  <w:style w:type="character" w:customStyle="1" w:styleId="Heading1Char">
    <w:name w:val="Heading 1 Char"/>
    <w:basedOn w:val="DefaultParagraphFont"/>
    <w:link w:val="Heading1"/>
    <w:rsid w:val="00B1408E"/>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B1408E"/>
    <w:rPr>
      <w:rFonts w:ascii="Times New Roman" w:eastAsia="Times New Roman" w:hAnsi="Times New Roman" w:cs="Times New Roman"/>
      <w:b/>
      <w:szCs w:val="20"/>
      <w:lang w:eastAsia="en-US"/>
    </w:rPr>
  </w:style>
  <w:style w:type="paragraph" w:styleId="BodyText">
    <w:name w:val="Body Text"/>
    <w:basedOn w:val="Normal"/>
    <w:link w:val="BodyTextChar"/>
    <w:rsid w:val="00B1408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1408E"/>
    <w:rPr>
      <w:rFonts w:ascii="Times New Roman" w:eastAsia="Times New Roman" w:hAnsi="Times New Roman" w:cs="Times New Roman"/>
      <w:sz w:val="24"/>
      <w:lang w:eastAsia="en-US"/>
    </w:rPr>
  </w:style>
  <w:style w:type="paragraph" w:styleId="ListBullet">
    <w:name w:val="List Bullet"/>
    <w:basedOn w:val="List"/>
    <w:rsid w:val="00B1408E"/>
    <w:pPr>
      <w:numPr>
        <w:numId w:val="12"/>
      </w:numPr>
      <w:tabs>
        <w:tab w:val="clear" w:pos="340"/>
      </w:tabs>
      <w:spacing w:before="40" w:after="40"/>
    </w:pPr>
  </w:style>
  <w:style w:type="paragraph" w:styleId="ListBullet2">
    <w:name w:val="List Bullet 2"/>
    <w:basedOn w:val="List2"/>
    <w:rsid w:val="00B1408E"/>
    <w:pPr>
      <w:numPr>
        <w:numId w:val="13"/>
      </w:numPr>
      <w:tabs>
        <w:tab w:val="clear" w:pos="680"/>
      </w:tabs>
    </w:pPr>
  </w:style>
  <w:style w:type="paragraph" w:customStyle="1" w:styleId="SuperHeading">
    <w:name w:val="SuperHeading"/>
    <w:basedOn w:val="Normal"/>
    <w:rsid w:val="00B1408E"/>
    <w:pPr>
      <w:spacing w:before="240" w:after="120"/>
      <w:outlineLvl w:val="0"/>
    </w:pPr>
    <w:rPr>
      <w:rFonts w:ascii="Times New Roman" w:hAnsi="Times New Roman"/>
      <w:b/>
      <w:sz w:val="32"/>
    </w:rPr>
  </w:style>
  <w:style w:type="paragraph" w:customStyle="1" w:styleId="AllowPageBreak">
    <w:name w:val="AllowPageBreak"/>
    <w:rsid w:val="00B1408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140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408E"/>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B140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40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408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1408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1408E"/>
    <w:rPr>
      <w:rFonts w:ascii="Courier New" w:eastAsia="Times New Roman" w:hAnsi="Courier New" w:cs="Times New Roman"/>
      <w:i/>
      <w:szCs w:val="20"/>
      <w:lang w:eastAsia="en-US"/>
    </w:rPr>
  </w:style>
  <w:style w:type="paragraph" w:customStyle="1" w:styleId="HeadingBase">
    <w:name w:val="Heading Base"/>
    <w:rsid w:val="00B140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408E"/>
    <w:pPr>
      <w:tabs>
        <w:tab w:val="right" w:leader="dot" w:pos="9072"/>
      </w:tabs>
      <w:ind w:left="567"/>
    </w:pPr>
    <w:rPr>
      <w:szCs w:val="22"/>
    </w:rPr>
  </w:style>
  <w:style w:type="paragraph" w:customStyle="1" w:styleId="TOCBase">
    <w:name w:val="TOC Base"/>
    <w:rsid w:val="00B140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408E"/>
    <w:pPr>
      <w:tabs>
        <w:tab w:val="right" w:leader="dot" w:pos="9072"/>
      </w:tabs>
      <w:spacing w:before="40" w:after="40"/>
      <w:ind w:left="284"/>
    </w:pPr>
    <w:rPr>
      <w:rFonts w:ascii="Times New Roman" w:hAnsi="Times New Roman"/>
    </w:rPr>
  </w:style>
  <w:style w:type="paragraph" w:styleId="TOC1">
    <w:name w:val="toc 1"/>
    <w:basedOn w:val="TOCBase"/>
    <w:next w:val="Normal"/>
    <w:rsid w:val="00B1408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140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408E"/>
    <w:rPr>
      <w:rFonts w:ascii="Times New Roman" w:eastAsia="Times New Roman" w:hAnsi="Times New Roman" w:cs="Times New Roman"/>
      <w:sz w:val="16"/>
      <w:lang w:eastAsia="en-US"/>
    </w:rPr>
  </w:style>
  <w:style w:type="paragraph" w:styleId="Title">
    <w:name w:val="Title"/>
    <w:basedOn w:val="HeadingBase"/>
    <w:link w:val="TitleChar"/>
    <w:qFormat/>
    <w:rsid w:val="00B1408E"/>
    <w:pPr>
      <w:spacing w:before="5040"/>
      <w:jc w:val="center"/>
    </w:pPr>
    <w:rPr>
      <w:sz w:val="48"/>
      <w:szCs w:val="72"/>
      <w:lang w:val="en-US"/>
    </w:rPr>
  </w:style>
  <w:style w:type="character" w:customStyle="1" w:styleId="TitleChar">
    <w:name w:val="Title Char"/>
    <w:basedOn w:val="DefaultParagraphFont"/>
    <w:link w:val="Title"/>
    <w:rsid w:val="00B140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408E"/>
    <w:pPr>
      <w:tabs>
        <w:tab w:val="left" w:pos="3600"/>
        <w:tab w:val="left" w:pos="3958"/>
      </w:tabs>
    </w:pPr>
  </w:style>
  <w:style w:type="paragraph" w:styleId="List">
    <w:name w:val="List"/>
    <w:basedOn w:val="BodyText"/>
    <w:next w:val="BodyText"/>
    <w:rsid w:val="00B1408E"/>
    <w:pPr>
      <w:tabs>
        <w:tab w:val="left" w:pos="340"/>
      </w:tabs>
      <w:spacing w:before="60" w:after="60"/>
      <w:ind w:left="340" w:hanging="340"/>
    </w:pPr>
  </w:style>
  <w:style w:type="paragraph" w:customStyle="1" w:styleId="Note">
    <w:name w:val="Note"/>
    <w:basedOn w:val="BodyText"/>
    <w:rsid w:val="00B1408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1408E"/>
    <w:rPr>
      <w:b/>
      <w:spacing w:val="0"/>
    </w:rPr>
  </w:style>
  <w:style w:type="paragraph" w:customStyle="1" w:styleId="SuperTitle">
    <w:name w:val="SuperTitle"/>
    <w:basedOn w:val="Title"/>
    <w:rsid w:val="00B1408E"/>
    <w:pPr>
      <w:framePr w:wrap="auto" w:hAnchor="text" w:y="6049"/>
    </w:pPr>
    <w:rPr>
      <w:color w:val="000000"/>
      <w:sz w:val="40"/>
    </w:rPr>
  </w:style>
  <w:style w:type="paragraph" w:customStyle="1" w:styleId="TOCTitle">
    <w:name w:val="TOCTitle"/>
    <w:basedOn w:val="Heading1"/>
    <w:rsid w:val="00B1408E"/>
    <w:pPr>
      <w:spacing w:after="240"/>
      <w:jc w:val="center"/>
      <w:outlineLvl w:val="9"/>
    </w:pPr>
    <w:rPr>
      <w:caps/>
    </w:rPr>
  </w:style>
  <w:style w:type="paragraph" w:customStyle="1" w:styleId="Version">
    <w:name w:val="Version"/>
    <w:rsid w:val="00B1408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1408E"/>
    <w:pPr>
      <w:keepNext w:val="0"/>
      <w:tabs>
        <w:tab w:val="right" w:pos="4176"/>
      </w:tabs>
      <w:ind w:left="198" w:hanging="198"/>
    </w:pPr>
    <w:rPr>
      <w:rFonts w:ascii="Garamond" w:hAnsi="Garamond"/>
    </w:rPr>
  </w:style>
  <w:style w:type="paragraph" w:styleId="IndexHeading">
    <w:name w:val="index heading"/>
    <w:basedOn w:val="Normal"/>
    <w:next w:val="Index1"/>
    <w:semiHidden/>
    <w:rsid w:val="00B1408E"/>
    <w:pPr>
      <w:spacing w:before="120" w:after="120"/>
    </w:pPr>
    <w:rPr>
      <w:rFonts w:ascii="Arial" w:hAnsi="Arial"/>
      <w:b/>
      <w:color w:val="918585"/>
      <w:sz w:val="24"/>
    </w:rPr>
  </w:style>
  <w:style w:type="paragraph" w:styleId="Header">
    <w:name w:val="header"/>
    <w:basedOn w:val="Normal"/>
    <w:link w:val="HeaderChar"/>
    <w:rsid w:val="00B140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408E"/>
    <w:rPr>
      <w:rFonts w:ascii="Times New Roman" w:eastAsia="Times New Roman" w:hAnsi="Times New Roman" w:cs="Times New Roman"/>
      <w:sz w:val="16"/>
      <w:szCs w:val="20"/>
      <w:lang w:val="en-GB" w:eastAsia="en-US"/>
    </w:rPr>
  </w:style>
  <w:style w:type="paragraph" w:customStyle="1" w:styleId="Chapter">
    <w:name w:val="Chapter"/>
    <w:basedOn w:val="Normal"/>
    <w:rsid w:val="00B1408E"/>
    <w:pPr>
      <w:spacing w:before="240"/>
    </w:pPr>
    <w:rPr>
      <w:rFonts w:ascii="Times New Roman" w:hAnsi="Times New Roman"/>
      <w:smallCaps/>
      <w:spacing w:val="80"/>
      <w:sz w:val="28"/>
    </w:rPr>
  </w:style>
  <w:style w:type="paragraph" w:customStyle="1" w:styleId="InChapter">
    <w:name w:val="InChapter"/>
    <w:basedOn w:val="Heading3"/>
    <w:rsid w:val="00B1408E"/>
    <w:pPr>
      <w:spacing w:after="240"/>
      <w:outlineLvl w:val="9"/>
    </w:pPr>
    <w:rPr>
      <w:noProof/>
    </w:rPr>
  </w:style>
  <w:style w:type="paragraph" w:styleId="Index2">
    <w:name w:val="index 2"/>
    <w:basedOn w:val="Normal"/>
    <w:next w:val="Normal"/>
    <w:semiHidden/>
    <w:rsid w:val="00B1408E"/>
    <w:pPr>
      <w:tabs>
        <w:tab w:val="right" w:pos="4176"/>
      </w:tabs>
      <w:ind w:left="568" w:hanging="284"/>
    </w:pPr>
    <w:rPr>
      <w:rFonts w:ascii="Garamond" w:hAnsi="Garamond"/>
    </w:rPr>
  </w:style>
  <w:style w:type="paragraph" w:customStyle="1" w:styleId="Byline">
    <w:name w:val="Byline"/>
    <w:rsid w:val="00B140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408E"/>
    <w:pPr>
      <w:tabs>
        <w:tab w:val="clear" w:pos="3600"/>
        <w:tab w:val="clear" w:pos="3958"/>
      </w:tabs>
      <w:jc w:val="right"/>
    </w:pPr>
  </w:style>
  <w:style w:type="character" w:styleId="Emphasis">
    <w:name w:val="Emphasis"/>
    <w:basedOn w:val="DefaultParagraphFont"/>
    <w:qFormat/>
    <w:rsid w:val="00B1408E"/>
    <w:rPr>
      <w:i/>
    </w:rPr>
  </w:style>
  <w:style w:type="paragraph" w:styleId="Caption">
    <w:name w:val="caption"/>
    <w:basedOn w:val="BodyText"/>
    <w:next w:val="Normal"/>
    <w:qFormat/>
    <w:rsid w:val="00B1408E"/>
    <w:pPr>
      <w:framePr w:w="2268" w:hSpace="181" w:vSpace="181" w:wrap="around" w:vAnchor="text" w:hAnchor="page" w:x="1135" w:y="285" w:anchorLock="1"/>
    </w:pPr>
    <w:rPr>
      <w:i/>
    </w:rPr>
  </w:style>
  <w:style w:type="paragraph" w:customStyle="1" w:styleId="MiniTOCTitle">
    <w:name w:val="MiniTOCTitle"/>
    <w:basedOn w:val="Heading4"/>
    <w:rsid w:val="00B1408E"/>
    <w:pPr>
      <w:spacing w:before="240"/>
      <w:outlineLvl w:val="9"/>
    </w:pPr>
    <w:rPr>
      <w:noProof/>
      <w:sz w:val="24"/>
    </w:rPr>
  </w:style>
  <w:style w:type="paragraph" w:customStyle="1" w:styleId="MiniTOCItem">
    <w:name w:val="MiniTOCItem"/>
    <w:basedOn w:val="ListBullet"/>
    <w:rsid w:val="00B1408E"/>
    <w:pPr>
      <w:numPr>
        <w:numId w:val="0"/>
      </w:numPr>
      <w:tabs>
        <w:tab w:val="right" w:leader="dot" w:pos="6521"/>
      </w:tabs>
      <w:spacing w:before="0" w:after="0"/>
    </w:pPr>
  </w:style>
  <w:style w:type="paragraph" w:customStyle="1" w:styleId="TOFTitle">
    <w:name w:val="TOFTitle"/>
    <w:basedOn w:val="TOCTitle"/>
    <w:rsid w:val="00B1408E"/>
  </w:style>
  <w:style w:type="paragraph" w:styleId="TableofFigures">
    <w:name w:val="table of figures"/>
    <w:basedOn w:val="Normal"/>
    <w:next w:val="Normal"/>
    <w:semiHidden/>
    <w:rsid w:val="00B1408E"/>
    <w:pPr>
      <w:tabs>
        <w:tab w:val="right" w:leader="dot" w:pos="9072"/>
      </w:tabs>
      <w:ind w:left="970" w:hanging="403"/>
    </w:pPr>
    <w:rPr>
      <w:rFonts w:ascii="Times New Roman" w:hAnsi="Times New Roman"/>
      <w:b/>
    </w:rPr>
  </w:style>
  <w:style w:type="paragraph" w:styleId="ListNumber">
    <w:name w:val="List Number"/>
    <w:basedOn w:val="List"/>
    <w:rsid w:val="00B1408E"/>
    <w:pPr>
      <w:numPr>
        <w:numId w:val="15"/>
      </w:numPr>
      <w:tabs>
        <w:tab w:val="clear" w:pos="340"/>
      </w:tabs>
    </w:pPr>
  </w:style>
  <w:style w:type="character" w:customStyle="1" w:styleId="WingdingSymbols">
    <w:name w:val="Wingding Symbols"/>
    <w:rsid w:val="00B1408E"/>
    <w:rPr>
      <w:rFonts w:ascii="Wingdings" w:hAnsi="Wingdings"/>
    </w:rPr>
  </w:style>
  <w:style w:type="paragraph" w:customStyle="1" w:styleId="TableHeading">
    <w:name w:val="Table Heading"/>
    <w:basedOn w:val="HeadingBase"/>
    <w:rsid w:val="00B1408E"/>
    <w:pPr>
      <w:keepLines/>
      <w:pBdr>
        <w:bottom w:val="single" w:sz="6" w:space="1" w:color="918585"/>
      </w:pBdr>
      <w:spacing w:before="240"/>
    </w:pPr>
  </w:style>
  <w:style w:type="character" w:customStyle="1" w:styleId="HotSpot">
    <w:name w:val="HotSpot"/>
    <w:rsid w:val="00B1408E"/>
    <w:rPr>
      <w:color w:val="0033CC"/>
      <w:u w:val="none"/>
    </w:rPr>
  </w:style>
  <w:style w:type="paragraph" w:customStyle="1" w:styleId="BodyTextRight">
    <w:name w:val="Body Text Right"/>
    <w:basedOn w:val="BodyText"/>
    <w:rsid w:val="00B1408E"/>
    <w:pPr>
      <w:spacing w:before="0" w:after="0"/>
      <w:jc w:val="right"/>
    </w:pPr>
  </w:style>
  <w:style w:type="paragraph" w:styleId="Index3">
    <w:name w:val="index 3"/>
    <w:basedOn w:val="ListNumber2"/>
    <w:next w:val="Normal"/>
    <w:semiHidden/>
    <w:rsid w:val="00B1408E"/>
    <w:pPr>
      <w:numPr>
        <w:numId w:val="0"/>
      </w:numPr>
      <w:tabs>
        <w:tab w:val="right" w:leader="dot" w:pos="4176"/>
      </w:tabs>
    </w:pPr>
  </w:style>
  <w:style w:type="paragraph" w:styleId="ListNumber2">
    <w:name w:val="List Number 2"/>
    <w:basedOn w:val="List2"/>
    <w:rsid w:val="00B1408E"/>
    <w:pPr>
      <w:numPr>
        <w:numId w:val="10"/>
      </w:numPr>
      <w:tabs>
        <w:tab w:val="clear" w:pos="1060"/>
      </w:tabs>
    </w:pPr>
  </w:style>
  <w:style w:type="paragraph" w:customStyle="1" w:styleId="MarginNote">
    <w:name w:val="Margin Note"/>
    <w:basedOn w:val="BodyText"/>
    <w:rsid w:val="00B140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40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408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1408E"/>
    <w:rPr>
      <w:sz w:val="32"/>
    </w:rPr>
  </w:style>
  <w:style w:type="paragraph" w:customStyle="1" w:styleId="HeadingProcedure">
    <w:name w:val="Heading Procedure"/>
    <w:basedOn w:val="HeadingBase"/>
    <w:next w:val="Normal"/>
    <w:rsid w:val="00B1408E"/>
    <w:pPr>
      <w:tabs>
        <w:tab w:val="left" w:pos="0"/>
      </w:tabs>
      <w:spacing w:before="120" w:after="60"/>
    </w:pPr>
    <w:rPr>
      <w:i/>
      <w:color w:val="918585"/>
      <w:sz w:val="22"/>
    </w:rPr>
  </w:style>
  <w:style w:type="paragraph" w:customStyle="1" w:styleId="TableBodyText">
    <w:name w:val="Table Body Text"/>
    <w:basedOn w:val="BodyText"/>
    <w:rsid w:val="00B1408E"/>
    <w:pPr>
      <w:spacing w:before="60" w:after="60"/>
    </w:pPr>
  </w:style>
  <w:style w:type="paragraph" w:styleId="ListContinue">
    <w:name w:val="List Continue"/>
    <w:basedOn w:val="List"/>
    <w:rsid w:val="00B1408E"/>
    <w:pPr>
      <w:ind w:firstLine="0"/>
    </w:pPr>
  </w:style>
  <w:style w:type="paragraph" w:customStyle="1" w:styleId="ListNote">
    <w:name w:val="List Note"/>
    <w:basedOn w:val="List"/>
    <w:rsid w:val="00B1408E"/>
    <w:pPr>
      <w:pBdr>
        <w:top w:val="single" w:sz="6" w:space="2" w:color="918585"/>
        <w:bottom w:val="single" w:sz="6" w:space="2" w:color="918585"/>
      </w:pBdr>
      <w:tabs>
        <w:tab w:val="left" w:pos="1021"/>
      </w:tabs>
      <w:ind w:firstLine="0"/>
    </w:pPr>
  </w:style>
  <w:style w:type="paragraph" w:customStyle="1" w:styleId="Warning">
    <w:name w:val="Warning"/>
    <w:basedOn w:val="BodyText"/>
    <w:rsid w:val="00B1408E"/>
    <w:pPr>
      <w:shd w:val="clear" w:color="auto" w:fill="D9D9D9"/>
      <w:tabs>
        <w:tab w:val="left" w:pos="992"/>
      </w:tabs>
      <w:ind w:left="119" w:right="119"/>
    </w:pPr>
    <w:rPr>
      <w:sz w:val="20"/>
    </w:rPr>
  </w:style>
  <w:style w:type="paragraph" w:customStyle="1" w:styleId="MarginIcons">
    <w:name w:val="Margin Icons"/>
    <w:basedOn w:val="BodyText"/>
    <w:rsid w:val="00B140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408E"/>
    <w:rPr>
      <w:rFonts w:ascii="Courier New" w:hAnsi="Courier New"/>
    </w:rPr>
  </w:style>
  <w:style w:type="paragraph" w:customStyle="1" w:styleId="NoteBullet">
    <w:name w:val="Note Bullet"/>
    <w:basedOn w:val="Note"/>
    <w:rsid w:val="00B1408E"/>
    <w:pPr>
      <w:tabs>
        <w:tab w:val="clear" w:pos="680"/>
      </w:tabs>
      <w:spacing w:before="60" w:after="60"/>
    </w:pPr>
  </w:style>
  <w:style w:type="paragraph" w:customStyle="1" w:styleId="SubHeading2">
    <w:name w:val="SubHeading2"/>
    <w:basedOn w:val="HeadingBase"/>
    <w:rsid w:val="00B1408E"/>
    <w:pPr>
      <w:spacing w:before="240" w:after="60"/>
    </w:pPr>
    <w:rPr>
      <w:sz w:val="20"/>
    </w:rPr>
  </w:style>
  <w:style w:type="paragraph" w:customStyle="1" w:styleId="SubHeading1">
    <w:name w:val="SubHeading1"/>
    <w:basedOn w:val="HeadingBase"/>
    <w:rsid w:val="00B1408E"/>
    <w:pPr>
      <w:spacing w:before="240" w:after="60"/>
    </w:pPr>
    <w:rPr>
      <w:color w:val="918585"/>
      <w:sz w:val="22"/>
    </w:rPr>
  </w:style>
  <w:style w:type="paragraph" w:customStyle="1" w:styleId="SideHeading">
    <w:name w:val="Side Heading"/>
    <w:basedOn w:val="HeadingBase"/>
    <w:rsid w:val="00B140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408E"/>
    <w:pPr>
      <w:tabs>
        <w:tab w:val="num" w:pos="360"/>
      </w:tabs>
    </w:pPr>
  </w:style>
  <w:style w:type="paragraph" w:styleId="PlainText">
    <w:name w:val="Plain Text"/>
    <w:basedOn w:val="Normal"/>
    <w:link w:val="PlainTextChar"/>
    <w:rsid w:val="00B1408E"/>
    <w:rPr>
      <w:sz w:val="20"/>
    </w:rPr>
  </w:style>
  <w:style w:type="character" w:customStyle="1" w:styleId="PlainTextChar">
    <w:name w:val="Plain Text Char"/>
    <w:basedOn w:val="DefaultParagraphFont"/>
    <w:link w:val="PlainText"/>
    <w:rsid w:val="00B1408E"/>
    <w:rPr>
      <w:rFonts w:ascii="Courier New" w:eastAsia="Times New Roman" w:hAnsi="Courier New" w:cs="Times New Roman"/>
      <w:sz w:val="20"/>
      <w:szCs w:val="20"/>
      <w:lang w:eastAsia="en-US"/>
    </w:rPr>
  </w:style>
  <w:style w:type="character" w:customStyle="1" w:styleId="MenuOption">
    <w:name w:val="Menu Option"/>
    <w:basedOn w:val="DefaultParagraphFont"/>
    <w:rsid w:val="00B1408E"/>
    <w:rPr>
      <w:b/>
      <w:smallCaps/>
    </w:rPr>
  </w:style>
  <w:style w:type="paragraph" w:customStyle="1" w:styleId="TableListNumber">
    <w:name w:val="Table List Number"/>
    <w:basedOn w:val="ListNumber"/>
    <w:rsid w:val="00B1408E"/>
    <w:pPr>
      <w:numPr>
        <w:numId w:val="0"/>
      </w:numPr>
    </w:pPr>
  </w:style>
  <w:style w:type="paragraph" w:styleId="TOC4">
    <w:name w:val="toc 4"/>
    <w:basedOn w:val="TOCBase"/>
    <w:next w:val="Normal"/>
    <w:semiHidden/>
    <w:rsid w:val="00B1408E"/>
    <w:pPr>
      <w:tabs>
        <w:tab w:val="right" w:leader="dot" w:pos="9071"/>
      </w:tabs>
      <w:ind w:left="1701"/>
    </w:pPr>
  </w:style>
  <w:style w:type="paragraph" w:customStyle="1" w:styleId="ListAlpha">
    <w:name w:val="List Alpha"/>
    <w:basedOn w:val="List"/>
    <w:rsid w:val="00B1408E"/>
    <w:pPr>
      <w:numPr>
        <w:numId w:val="9"/>
      </w:numPr>
    </w:pPr>
  </w:style>
  <w:style w:type="paragraph" w:customStyle="1" w:styleId="ListAlpha2">
    <w:name w:val="List Alpha 2"/>
    <w:basedOn w:val="List2"/>
    <w:rsid w:val="00B1408E"/>
    <w:pPr>
      <w:numPr>
        <w:numId w:val="8"/>
      </w:numPr>
    </w:pPr>
  </w:style>
  <w:style w:type="paragraph" w:styleId="List2">
    <w:name w:val="List 2"/>
    <w:basedOn w:val="BodyText"/>
    <w:rsid w:val="00B1408E"/>
    <w:pPr>
      <w:tabs>
        <w:tab w:val="left" w:pos="680"/>
      </w:tabs>
      <w:spacing w:before="60" w:after="60"/>
      <w:ind w:left="680" w:hanging="340"/>
    </w:pPr>
  </w:style>
  <w:style w:type="paragraph" w:styleId="List3">
    <w:name w:val="List 3"/>
    <w:basedOn w:val="BodyText"/>
    <w:rsid w:val="00B1408E"/>
    <w:pPr>
      <w:tabs>
        <w:tab w:val="left" w:pos="1021"/>
      </w:tabs>
      <w:spacing w:before="60" w:after="60"/>
      <w:ind w:left="1020" w:hanging="340"/>
    </w:pPr>
  </w:style>
  <w:style w:type="paragraph" w:styleId="List4">
    <w:name w:val="List 4"/>
    <w:basedOn w:val="BodyText"/>
    <w:rsid w:val="00B1408E"/>
    <w:pPr>
      <w:tabs>
        <w:tab w:val="left" w:pos="1361"/>
      </w:tabs>
      <w:spacing w:before="60" w:after="60"/>
      <w:ind w:left="1361" w:hanging="340"/>
    </w:pPr>
  </w:style>
  <w:style w:type="paragraph" w:styleId="List5">
    <w:name w:val="List 5"/>
    <w:basedOn w:val="BodyText"/>
    <w:rsid w:val="00B1408E"/>
    <w:pPr>
      <w:tabs>
        <w:tab w:val="left" w:pos="1701"/>
      </w:tabs>
      <w:spacing w:before="60" w:after="60"/>
      <w:ind w:left="1701" w:hanging="340"/>
    </w:pPr>
  </w:style>
  <w:style w:type="paragraph" w:styleId="ListBullet3">
    <w:name w:val="List Bullet 3"/>
    <w:basedOn w:val="List3"/>
    <w:rsid w:val="00B1408E"/>
    <w:pPr>
      <w:numPr>
        <w:numId w:val="14"/>
      </w:numPr>
      <w:tabs>
        <w:tab w:val="clear" w:pos="1021"/>
      </w:tabs>
      <w:ind w:left="1037" w:hanging="357"/>
    </w:pPr>
  </w:style>
  <w:style w:type="paragraph" w:styleId="ListBullet4">
    <w:name w:val="List Bullet 4"/>
    <w:basedOn w:val="List4"/>
    <w:rsid w:val="00B1408E"/>
    <w:pPr>
      <w:numPr>
        <w:numId w:val="3"/>
      </w:numPr>
      <w:tabs>
        <w:tab w:val="clear" w:pos="1361"/>
      </w:tabs>
    </w:pPr>
  </w:style>
  <w:style w:type="paragraph" w:styleId="ListBullet5">
    <w:name w:val="List Bullet 5"/>
    <w:basedOn w:val="List5"/>
    <w:rsid w:val="00B1408E"/>
    <w:pPr>
      <w:numPr>
        <w:numId w:val="4"/>
      </w:numPr>
    </w:pPr>
  </w:style>
  <w:style w:type="paragraph" w:styleId="ListContinue2">
    <w:name w:val="List Continue 2"/>
    <w:basedOn w:val="List2"/>
    <w:rsid w:val="00B1408E"/>
    <w:pPr>
      <w:ind w:firstLine="0"/>
    </w:pPr>
  </w:style>
  <w:style w:type="paragraph" w:styleId="ListContinue3">
    <w:name w:val="List Continue 3"/>
    <w:basedOn w:val="List3"/>
    <w:rsid w:val="00B1408E"/>
    <w:pPr>
      <w:ind w:left="1021" w:firstLine="0"/>
    </w:pPr>
  </w:style>
  <w:style w:type="paragraph" w:styleId="ListContinue4">
    <w:name w:val="List Continue 4"/>
    <w:basedOn w:val="List4"/>
    <w:rsid w:val="00B1408E"/>
    <w:pPr>
      <w:ind w:firstLine="0"/>
    </w:pPr>
  </w:style>
  <w:style w:type="paragraph" w:styleId="ListContinue5">
    <w:name w:val="List Continue 5"/>
    <w:basedOn w:val="List5"/>
    <w:rsid w:val="00B1408E"/>
    <w:pPr>
      <w:ind w:firstLine="0"/>
    </w:pPr>
  </w:style>
  <w:style w:type="paragraph" w:styleId="ListNumber3">
    <w:name w:val="List Number 3"/>
    <w:basedOn w:val="List3"/>
    <w:rsid w:val="00B1408E"/>
    <w:pPr>
      <w:numPr>
        <w:numId w:val="5"/>
      </w:numPr>
    </w:pPr>
  </w:style>
  <w:style w:type="paragraph" w:styleId="ListNumber4">
    <w:name w:val="List Number 4"/>
    <w:basedOn w:val="List4"/>
    <w:rsid w:val="00B1408E"/>
    <w:pPr>
      <w:numPr>
        <w:numId w:val="6"/>
      </w:numPr>
    </w:pPr>
  </w:style>
  <w:style w:type="paragraph" w:styleId="ListNumber5">
    <w:name w:val="List Number 5"/>
    <w:basedOn w:val="List5"/>
    <w:rsid w:val="00B1408E"/>
    <w:pPr>
      <w:numPr>
        <w:numId w:val="7"/>
      </w:numPr>
    </w:pPr>
  </w:style>
  <w:style w:type="paragraph" w:styleId="BlockText">
    <w:name w:val="Block Text"/>
    <w:basedOn w:val="Normal"/>
    <w:rsid w:val="00B1408E"/>
    <w:pPr>
      <w:spacing w:after="120"/>
      <w:ind w:left="1440" w:right="1440"/>
    </w:pPr>
  </w:style>
  <w:style w:type="character" w:customStyle="1" w:styleId="Subscript">
    <w:name w:val="Subscript"/>
    <w:basedOn w:val="DefaultParagraphFont"/>
    <w:rsid w:val="00B1408E"/>
    <w:rPr>
      <w:sz w:val="16"/>
      <w:vertAlign w:val="subscript"/>
    </w:rPr>
  </w:style>
  <w:style w:type="character" w:customStyle="1" w:styleId="Superscript">
    <w:name w:val="Superscript"/>
    <w:basedOn w:val="DefaultParagraphFont"/>
    <w:rsid w:val="00B1408E"/>
    <w:rPr>
      <w:sz w:val="16"/>
      <w:vertAlign w:val="superscript"/>
    </w:rPr>
  </w:style>
  <w:style w:type="character" w:customStyle="1" w:styleId="Symbols">
    <w:name w:val="Symbols"/>
    <w:basedOn w:val="DefaultParagraphFont"/>
    <w:rsid w:val="00B1408E"/>
    <w:rPr>
      <w:rFonts w:ascii="Symbol" w:hAnsi="Symbol"/>
    </w:rPr>
  </w:style>
  <w:style w:type="character" w:customStyle="1" w:styleId="MenuOptions">
    <w:name w:val="Menu Options"/>
    <w:basedOn w:val="DefaultParagraphFont"/>
    <w:rsid w:val="00B1408E"/>
    <w:rPr>
      <w:rFonts w:ascii="Arial Narrow" w:hAnsi="Arial Narrow"/>
      <w:smallCaps/>
    </w:rPr>
  </w:style>
  <w:style w:type="character" w:customStyle="1" w:styleId="Buttons">
    <w:name w:val="Buttons"/>
    <w:basedOn w:val="DefaultParagraphFont"/>
    <w:rsid w:val="00B1408E"/>
    <w:rPr>
      <w:b/>
    </w:rPr>
  </w:style>
  <w:style w:type="character" w:customStyle="1" w:styleId="Underlined">
    <w:name w:val="Underlined"/>
    <w:basedOn w:val="DefaultParagraphFont"/>
    <w:rsid w:val="00B1408E"/>
    <w:rPr>
      <w:u w:val="single"/>
    </w:rPr>
  </w:style>
  <w:style w:type="paragraph" w:customStyle="1" w:styleId="TableBodyTextRight">
    <w:name w:val="Table Body Text Right"/>
    <w:basedOn w:val="TableBodyText"/>
    <w:rsid w:val="00B1408E"/>
    <w:pPr>
      <w:widowControl w:val="0"/>
      <w:autoSpaceDE w:val="0"/>
      <w:autoSpaceDN w:val="0"/>
      <w:adjustRightInd w:val="0"/>
      <w:jc w:val="right"/>
    </w:pPr>
    <w:rPr>
      <w:rFonts w:cs="Arial"/>
      <w:szCs w:val="18"/>
    </w:rPr>
  </w:style>
  <w:style w:type="paragraph" w:customStyle="1" w:styleId="CopyrightText">
    <w:name w:val="Copyright Text"/>
    <w:basedOn w:val="BodyText"/>
    <w:rsid w:val="00B1408E"/>
    <w:rPr>
      <w:sz w:val="18"/>
    </w:rPr>
  </w:style>
  <w:style w:type="paragraph" w:customStyle="1" w:styleId="BodySmallRight">
    <w:name w:val="Body Small Right"/>
    <w:basedOn w:val="BodyTextRight"/>
    <w:rsid w:val="00B1408E"/>
    <w:rPr>
      <w:sz w:val="18"/>
      <w:szCs w:val="18"/>
    </w:rPr>
  </w:style>
  <w:style w:type="paragraph" w:customStyle="1" w:styleId="MarginEdition">
    <w:name w:val="Margin Edition"/>
    <w:basedOn w:val="MarginNote"/>
    <w:rsid w:val="00B1408E"/>
    <w:pPr>
      <w:spacing w:before="0" w:after="0"/>
    </w:pPr>
    <w:rPr>
      <w:rFonts w:ascii="Times New Roman" w:hAnsi="Times New Roman"/>
      <w:color w:val="999999"/>
    </w:rPr>
  </w:style>
  <w:style w:type="paragraph" w:customStyle="1" w:styleId="Spacer">
    <w:name w:val="Spacer"/>
    <w:basedOn w:val="Normal"/>
    <w:rsid w:val="00B1408E"/>
    <w:rPr>
      <w:sz w:val="2"/>
      <w:szCs w:val="2"/>
    </w:rPr>
  </w:style>
  <w:style w:type="character" w:customStyle="1" w:styleId="Small">
    <w:name w:val="Small"/>
    <w:basedOn w:val="DefaultParagraphFont"/>
    <w:rsid w:val="00B1408E"/>
    <w:rPr>
      <w:sz w:val="16"/>
    </w:rPr>
  </w:style>
  <w:style w:type="paragraph" w:customStyle="1" w:styleId="WideTable">
    <w:name w:val="Wide Table"/>
    <w:basedOn w:val="Normal"/>
    <w:rsid w:val="00B1408E"/>
    <w:pPr>
      <w:ind w:left="-1418"/>
    </w:pPr>
    <w:rPr>
      <w:sz w:val="2"/>
      <w:szCs w:val="2"/>
    </w:rPr>
  </w:style>
  <w:style w:type="character" w:styleId="PageNumber">
    <w:name w:val="page number"/>
    <w:basedOn w:val="DefaultParagraphFont"/>
    <w:rsid w:val="00B1408E"/>
  </w:style>
  <w:style w:type="paragraph" w:styleId="Quote">
    <w:name w:val="Quote"/>
    <w:basedOn w:val="Heading1"/>
    <w:link w:val="QuoteChar"/>
    <w:qFormat/>
    <w:rsid w:val="00B1408E"/>
    <w:rPr>
      <w:b w:val="0"/>
      <w:sz w:val="72"/>
      <w:szCs w:val="72"/>
      <w:lang w:val="en-NZ"/>
    </w:rPr>
  </w:style>
  <w:style w:type="character" w:customStyle="1" w:styleId="QuoteChar">
    <w:name w:val="Quote Char"/>
    <w:basedOn w:val="DefaultParagraphFont"/>
    <w:link w:val="Quote"/>
    <w:rsid w:val="00B140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408E"/>
    <w:pPr>
      <w:pageBreakBefore/>
    </w:pPr>
  </w:style>
  <w:style w:type="paragraph" w:customStyle="1" w:styleId="Border">
    <w:name w:val="Border"/>
    <w:basedOn w:val="Normal"/>
    <w:qFormat/>
    <w:rsid w:val="00B140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408E"/>
    <w:rPr>
      <w:b/>
      <w:bCs/>
      <w:i/>
      <w:iCs/>
      <w:color w:val="auto"/>
    </w:rPr>
  </w:style>
  <w:style w:type="paragraph" w:styleId="IntenseQuote">
    <w:name w:val="Intense Quote"/>
    <w:basedOn w:val="Normal"/>
    <w:next w:val="Normal"/>
    <w:link w:val="IntenseQuoteChar"/>
    <w:uiPriority w:val="30"/>
    <w:qFormat/>
    <w:rsid w:val="00B140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408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1408E"/>
    <w:rPr>
      <w:smallCaps/>
      <w:color w:val="auto"/>
      <w:u w:val="single"/>
    </w:rPr>
  </w:style>
  <w:style w:type="character" w:styleId="IntenseReference">
    <w:name w:val="Intense Reference"/>
    <w:basedOn w:val="DefaultParagraphFont"/>
    <w:uiPriority w:val="32"/>
    <w:qFormat/>
    <w:rsid w:val="00B1408E"/>
    <w:rPr>
      <w:b/>
      <w:bCs/>
      <w:smallCaps/>
      <w:color w:val="auto"/>
      <w:spacing w:val="5"/>
      <w:u w:val="single"/>
    </w:rPr>
  </w:style>
  <w:style w:type="paragraph" w:customStyle="1" w:styleId="2ColumnHeading">
    <w:name w:val="2Column Heading"/>
    <w:basedOn w:val="BodyText"/>
    <w:qFormat/>
    <w:rsid w:val="00B1408E"/>
    <w:pPr>
      <w:spacing w:after="60"/>
      <w:ind w:left="-2268"/>
    </w:pPr>
    <w:rPr>
      <w:b/>
    </w:rPr>
  </w:style>
  <w:style w:type="paragraph" w:customStyle="1" w:styleId="Heading1TOC">
    <w:name w:val="Heading1 TOC"/>
    <w:basedOn w:val="Normal"/>
    <w:qFormat/>
    <w:rsid w:val="00B1408E"/>
    <w:pPr>
      <w:spacing w:before="240" w:after="120"/>
    </w:pPr>
    <w:rPr>
      <w:rFonts w:ascii="Times New Roman" w:hAnsi="Times New Roman"/>
      <w:b/>
      <w:sz w:val="32"/>
    </w:rPr>
  </w:style>
  <w:style w:type="paragraph" w:customStyle="1" w:styleId="Heading2TOC">
    <w:name w:val="Heading2 TOC"/>
    <w:basedOn w:val="Normal"/>
    <w:qFormat/>
    <w:rsid w:val="00B1408E"/>
    <w:pPr>
      <w:spacing w:before="240" w:after="60"/>
    </w:pPr>
    <w:rPr>
      <w:rFonts w:ascii="Times New Roman" w:hAnsi="Times New Roman"/>
      <w:b/>
      <w:sz w:val="28"/>
    </w:rPr>
  </w:style>
  <w:style w:type="character" w:customStyle="1" w:styleId="Underline">
    <w:name w:val="Underline"/>
    <w:basedOn w:val="DefaultParagraphFont"/>
    <w:qFormat/>
    <w:rsid w:val="00B1408E"/>
    <w:rPr>
      <w:u w:val="single"/>
    </w:rPr>
  </w:style>
  <w:style w:type="character" w:customStyle="1" w:styleId="BoldandItalics">
    <w:name w:val="Bold and Italics"/>
    <w:qFormat/>
    <w:rsid w:val="00B1408E"/>
    <w:rPr>
      <w:b/>
      <w:i/>
      <w:u w:val="none"/>
    </w:rPr>
  </w:style>
  <w:style w:type="paragraph" w:styleId="BalloonText">
    <w:name w:val="Balloon Text"/>
    <w:basedOn w:val="Normal"/>
    <w:link w:val="BalloonTextChar"/>
    <w:rsid w:val="00B1408E"/>
    <w:rPr>
      <w:rFonts w:ascii="Tahoma" w:hAnsi="Tahoma" w:cs="Tahoma"/>
      <w:sz w:val="16"/>
      <w:szCs w:val="16"/>
    </w:rPr>
  </w:style>
  <w:style w:type="character" w:customStyle="1" w:styleId="BalloonTextChar">
    <w:name w:val="Balloon Text Char"/>
    <w:basedOn w:val="DefaultParagraphFont"/>
    <w:link w:val="BalloonText"/>
    <w:rsid w:val="00B1408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1408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1408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1408E"/>
    <w:rPr>
      <w:b/>
      <w:color w:val="660033"/>
      <w:spacing w:val="0"/>
    </w:rPr>
  </w:style>
  <w:style w:type="paragraph" w:customStyle="1" w:styleId="Nameditemlist">
    <w:name w:val="Named item list"/>
    <w:basedOn w:val="BodyText"/>
    <w:qFormat/>
    <w:rsid w:val="00B1408E"/>
    <w:pPr>
      <w:tabs>
        <w:tab w:val="left" w:pos="2835"/>
      </w:tabs>
      <w:ind w:left="2835" w:hanging="2835"/>
    </w:pPr>
  </w:style>
  <w:style w:type="paragraph" w:customStyle="1" w:styleId="BodyTextnopadding">
    <w:name w:val="Body Text no padding"/>
    <w:basedOn w:val="BodyText"/>
    <w:qFormat/>
    <w:rsid w:val="00B1408E"/>
    <w:pPr>
      <w:spacing w:before="0" w:after="0"/>
    </w:pPr>
  </w:style>
  <w:style w:type="paragraph" w:customStyle="1" w:styleId="BodyTextBold">
    <w:name w:val="Body Text Bold"/>
    <w:basedOn w:val="BodyText"/>
    <w:qFormat/>
    <w:rsid w:val="00B1408E"/>
    <w:rPr>
      <w:b/>
    </w:rPr>
  </w:style>
  <w:style w:type="character" w:styleId="Hyperlink">
    <w:name w:val="Hyperlink"/>
    <w:basedOn w:val="DefaultParagraphFont"/>
    <w:uiPriority w:val="99"/>
    <w:unhideWhenUsed/>
    <w:rsid w:val="003935F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794</Words>
  <Characters>4950</Characters>
  <Application>Microsoft Office Word</Application>
  <DocSecurity>0</DocSecurity>
  <Lines>126</Lines>
  <Paragraphs>76</Paragraphs>
  <ScaleCrop>false</ScaleCrop>
  <Company>Author-it Software Corporation Ltd.</Company>
  <LinksUpToDate>false</LinksUpToDate>
  <CharactersWithSpaces>5668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RIIBLA601E Design blasts</dc:title>
  <dc:subject>Approved</dc:subject>
  <dc:creator>PwC’s Skills for Australia</dc:creator>
  <cp:keywords>Release: 1</cp:keywords>
  <dc:description>Review Date: 12 April 2008</dc:description>
  <cp:lastModifiedBy>HSD_TPCMSd.prod</cp:lastModifiedBy>
  <cp:revision>3</cp:revision>
  <dcterms:created xsi:type="dcterms:W3CDTF">2021-01-25T11:37:00Z</dcterms:created>
  <dcterms:modified xsi:type="dcterms:W3CDTF">2021-01-25T11:37:00Z</dcterms:modified>
</cp:coreProperties>
</file>