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FFB" w:rsidP="00393FFB">
      <w:pPr>
        <w:pStyle w:val="Title"/>
      </w:pPr>
      <w:r>
        <w:fldChar w:fldCharType="begin"/>
      </w:r>
      <w:r>
        <w:instrText xml:space="preserve"> TITLE   \* MERGEFORMAT </w:instrText>
      </w:r>
      <w:r>
        <w:fldChar w:fldCharType="separate"/>
      </w:r>
      <w:r>
        <w:t>Assessment Requirements for RIIBLA401D Manage blasting operations</w:t>
      </w:r>
      <w:r>
        <w:fldChar w:fldCharType="end"/>
      </w:r>
    </w:p>
    <w:p w:rsidR="00393FFB" w:rsidP="00393FFB">
      <w:pPr>
        <w:pStyle w:val="Version"/>
        <w:sectPr w:rsidSect="001B1A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1A06" w:rsidP="001B1A06">
      <w:pPr>
        <w:pStyle w:val="SuperHeading"/>
      </w:pPr>
      <w:r w:rsidRPr="001B1A06">
        <w:t>Assessment Requirements for RIIBLA401D Manage blasting operations</w:t>
      </w:r>
    </w:p>
    <w:p w:rsidR="00000000" w:rsidRPr="001B1A06" w:rsidP="001B1A06">
      <w:pPr>
        <w:pStyle w:val="Heading1"/>
      </w:pPr>
      <w:bookmarkStart w:id="1" w:name="O_667428"/>
      <w:bookmarkEnd w:id="1"/>
      <w:r w:rsidRPr="001B1A06">
        <w:t>Modification History</w:t>
      </w:r>
    </w:p>
    <w:tbl>
      <w:tblPr>
        <w:tblW w:w="0" w:type="auto"/>
        <w:tblLayout w:type="fixed"/>
        <w:tblCellMar>
          <w:left w:w="62" w:type="dxa"/>
          <w:right w:w="62" w:type="dxa"/>
        </w:tblCellMar>
        <w:tblLook w:val="0000"/>
      </w:tblPr>
      <w:tblGrid>
        <w:gridCol w:w="1260"/>
        <w:gridCol w:w="7380"/>
      </w:tblGrid>
      <w:tr w:rsidTr="00393FFB">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A06">
            <w:pPr>
              <w:pStyle w:val="Heading4"/>
              <w:rPr>
                <w:lang w:val="en-NZ"/>
              </w:rPr>
            </w:pPr>
            <w:r w:rsidRPr="001B1A06">
              <w:t>Release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A06">
            <w:pPr>
              <w:pStyle w:val="Heading4"/>
              <w:rPr>
                <w:lang w:val="en-NZ"/>
              </w:rPr>
            </w:pPr>
            <w:r w:rsidRPr="001B1A06">
              <w:t>Comment</w:t>
            </w:r>
          </w:p>
        </w:tc>
      </w:tr>
      <w:tr w:rsidTr="00393FFB">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A06">
            <w:pPr>
              <w:pStyle w:val="BodyText"/>
              <w:rPr>
                <w:lang w:val="en-NZ"/>
              </w:rPr>
            </w:pPr>
            <w:r w:rsidRPr="001B1A06">
              <w:t>1</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A06">
            <w:pPr>
              <w:pStyle w:val="BodyText"/>
              <w:rPr>
                <w:lang w:val="en-NZ"/>
              </w:rPr>
            </w:pPr>
            <w:r w:rsidRPr="001B1A06">
              <w:t>This unit replaces RIIBLA401A Manage blasting operations.</w:t>
            </w:r>
          </w:p>
        </w:tc>
      </w:tr>
      <w:tr w:rsidTr="00393FFB">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1A06">
            <w:pPr>
              <w:pStyle w:val="BodyText"/>
              <w:rPr>
                <w:lang w:val="en-NZ"/>
              </w:rPr>
            </w:pPr>
            <w:r w:rsidRPr="001B1A06">
              <w:t>2</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1A06" w:rsidP="001B1A06">
            <w:pPr>
              <w:pStyle w:val="BodyText"/>
            </w:pPr>
            <w:r w:rsidRPr="001B1A06">
              <w:t>Performance Evidence numbering corrected.</w:t>
            </w:r>
          </w:p>
          <w:p w:rsidR="00000000" w:rsidRPr="001B1A06" w:rsidP="001B1A06">
            <w:pPr>
              <w:pStyle w:val="BodyText"/>
            </w:pPr>
            <w:r w:rsidRPr="001B1A06">
              <w:t>Required frequency and volume of evidence amended in Performance evidence.</w:t>
            </w:r>
          </w:p>
          <w:p w:rsidR="00000000" w:rsidRPr="001B1A06" w:rsidP="001B1A06">
            <w:pPr>
              <w:pStyle w:val="BodyText"/>
            </w:pPr>
            <w:r w:rsidRPr="001B1A06">
              <w:t>Substantial amendments made in Assessment Conditions field, including: references to Industry Sectors, assessor and subject matter expert experience requirements, how assessment sho</w:t>
            </w:r>
            <w:r w:rsidRPr="001B1A06">
              <w:t>uld be conducted and what it should confirm.</w:t>
            </w:r>
          </w:p>
        </w:tc>
      </w:tr>
    </w:tbl>
    <w:p w:rsidR="00000000" w:rsidRPr="001B1A06" w:rsidP="001B1A06">
      <w:pPr>
        <w:pStyle w:val="BodyText"/>
      </w:pPr>
    </w:p>
    <w:p w:rsidR="00000000" w:rsidRPr="001B1A06" w:rsidP="001B1A06">
      <w:pPr>
        <w:pStyle w:val="AllowPageBreak"/>
      </w:pPr>
    </w:p>
    <w:p w:rsidR="00000000" w:rsidRPr="001B1A06" w:rsidP="001B1A06">
      <w:pPr>
        <w:pStyle w:val="Heading1"/>
      </w:pPr>
      <w:bookmarkStart w:id="2" w:name="O_667427"/>
      <w:bookmarkEnd w:id="2"/>
      <w:r w:rsidRPr="001B1A06">
        <w:t>Performance Evidence</w:t>
      </w:r>
    </w:p>
    <w:p w:rsidR="00000000" w:rsidRPr="001B1A06" w:rsidP="00393FFB">
      <w:pPr>
        <w:pStyle w:val="BodyText"/>
      </w:pPr>
      <w:r w:rsidRPr="001B1A06">
        <w:t>Evidence is required to be collected that demonstrates a candidate’s competency in this unit. Evidence must be relevant to the roles within this sector’s work operations a</w:t>
      </w:r>
      <w:r w:rsidRPr="001B1A06">
        <w:t>nd satisfy all of the requirements of the performance criteria of this unit and include evidence that the candidate:</w:t>
      </w:r>
    </w:p>
    <w:p w:rsidR="00000000" w:rsidRPr="001B1A06" w:rsidP="001B1A06">
      <w:pPr>
        <w:pStyle w:val="ListBullet"/>
      </w:pPr>
      <w:r w:rsidRPr="001B1A06">
        <w:t>locates and applies relevant legislation, documentation, policies and procedures</w:t>
      </w:r>
    </w:p>
    <w:p w:rsidR="00000000" w:rsidRPr="001B1A06" w:rsidP="001B1A06">
      <w:pPr>
        <w:pStyle w:val="ListBullet"/>
      </w:pPr>
      <w:r w:rsidRPr="001B1A06">
        <w:t xml:space="preserve">works effectively with others to plan, prepare and conduct blasting operations including: </w:t>
      </w:r>
    </w:p>
    <w:p w:rsidR="00000000" w:rsidRPr="001B1A06" w:rsidP="001B1A06">
      <w:pPr>
        <w:pStyle w:val="ListBullet2"/>
      </w:pPr>
      <w:r w:rsidRPr="001B1A06">
        <w:t>complying with written and verbal reporting requirements and procedures</w:t>
      </w:r>
    </w:p>
    <w:p w:rsidR="00000000" w:rsidRPr="001B1A06" w:rsidP="001B1A06">
      <w:pPr>
        <w:pStyle w:val="ListBullet2"/>
      </w:pPr>
      <w:r w:rsidRPr="001B1A06">
        <w:t>communicating clearly and concisely with others to receive and clarify work instructions</w:t>
      </w:r>
    </w:p>
    <w:p w:rsidR="00000000" w:rsidRPr="001B1A06" w:rsidP="001B1A06">
      <w:pPr>
        <w:pStyle w:val="ListBullet2"/>
      </w:pPr>
      <w:r w:rsidRPr="001B1A06">
        <w:t>pro</w:t>
      </w:r>
      <w:r w:rsidRPr="001B1A06">
        <w:t>vision of clear and timely instruction and supervision by the individual of those involved in blasting operations</w:t>
      </w:r>
    </w:p>
    <w:p w:rsidR="00000000" w:rsidRPr="001B1A06" w:rsidP="001B1A06">
      <w:pPr>
        <w:pStyle w:val="ListBullet"/>
      </w:pPr>
      <w:r w:rsidRPr="001B1A06">
        <w:t>demonstrates completion of managing blasting operations that safely, effectively and efficiently meets all of the required outcomes on more t</w:t>
      </w:r>
      <w:r w:rsidRPr="001B1A06">
        <w:t>han one (1) occasion including:</w:t>
      </w:r>
    </w:p>
    <w:p w:rsidR="00000000" w:rsidRPr="001B1A06" w:rsidP="001B1A06">
      <w:pPr>
        <w:pStyle w:val="ListBullet2"/>
      </w:pPr>
      <w:r w:rsidRPr="001B1A06">
        <w:t>validating the blast design criteria</w:t>
      </w:r>
    </w:p>
    <w:p w:rsidR="00000000" w:rsidRPr="001B1A06" w:rsidP="001B1A06">
      <w:pPr>
        <w:pStyle w:val="ListBullet2"/>
      </w:pPr>
      <w:r w:rsidRPr="001B1A06">
        <w:t>obtaining relevant permits, licenses or authorities</w:t>
      </w:r>
    </w:p>
    <w:p w:rsidR="00000000" w:rsidRPr="001B1A06" w:rsidP="001B1A06">
      <w:pPr>
        <w:pStyle w:val="ListBullet2"/>
      </w:pPr>
      <w:r w:rsidRPr="001B1A06">
        <w:t>applying the legislative and site requirements and procedures for:</w:t>
      </w:r>
    </w:p>
    <w:p w:rsidR="00000000" w:rsidRPr="001B1A06" w:rsidP="001B1A06">
      <w:pPr>
        <w:pStyle w:val="ListBullet2"/>
      </w:pPr>
      <w:r w:rsidRPr="001B1A06">
        <w:t>the purchase of explosives</w:t>
      </w:r>
    </w:p>
    <w:p w:rsidR="00000000" w:rsidRPr="001B1A06" w:rsidP="001B1A06">
      <w:pPr>
        <w:pStyle w:val="ListBullet2"/>
      </w:pPr>
      <w:r w:rsidRPr="001B1A06">
        <w:t>set-up and security of explosives</w:t>
      </w:r>
    </w:p>
    <w:p w:rsidR="00000000" w:rsidRPr="001B1A06" w:rsidP="001B1A06">
      <w:pPr>
        <w:pStyle w:val="ListBullet2"/>
      </w:pPr>
      <w:r w:rsidRPr="001B1A06">
        <w:t>report</w:t>
      </w:r>
      <w:r w:rsidRPr="001B1A06">
        <w:t>ing</w:t>
      </w:r>
    </w:p>
    <w:p w:rsidR="00000000" w:rsidRPr="001B1A06" w:rsidP="001B1A06">
      <w:pPr>
        <w:pStyle w:val="ListBullet2"/>
      </w:pPr>
      <w:r w:rsidRPr="001B1A06">
        <w:t>site access</w:t>
      </w:r>
    </w:p>
    <w:p w:rsidR="00000000" w:rsidRPr="001B1A06" w:rsidP="001B1A06">
      <w:pPr>
        <w:pStyle w:val="ListBullet2"/>
      </w:pPr>
      <w:r w:rsidRPr="001B1A06">
        <w:t>handling, transport and storage of explosives</w:t>
      </w:r>
    </w:p>
    <w:p w:rsidR="00000000" w:rsidRPr="001B1A06" w:rsidP="001B1A06">
      <w:pPr>
        <w:pStyle w:val="ListBullet2"/>
      </w:pPr>
      <w:r w:rsidRPr="001B1A06">
        <w:t>site inspections</w:t>
      </w:r>
    </w:p>
    <w:p w:rsidR="00000000" w:rsidRPr="001B1A06" w:rsidP="001B1A06">
      <w:pPr>
        <w:pStyle w:val="ListBullet2"/>
      </w:pPr>
      <w:r w:rsidRPr="001B1A06">
        <w:t>type and quality of explosives used</w:t>
      </w:r>
    </w:p>
    <w:p w:rsidR="00000000" w:rsidRPr="001B1A06" w:rsidP="001B1A06">
      <w:pPr>
        <w:pStyle w:val="ListBullet2"/>
      </w:pPr>
      <w:r w:rsidRPr="001B1A06">
        <w:t>coordination of support vehicles, personnel and other equipment</w:t>
      </w:r>
    </w:p>
    <w:p w:rsidR="00000000" w:rsidRPr="001B1A06" w:rsidP="001B1A06">
      <w:pPr>
        <w:pStyle w:val="ListBullet2"/>
      </w:pPr>
      <w:r w:rsidRPr="001B1A06">
        <w:t>setting up and securing the blast area</w:t>
      </w:r>
    </w:p>
    <w:p w:rsidR="00000000" w:rsidRPr="001B1A06" w:rsidP="001B1A06">
      <w:pPr>
        <w:pStyle w:val="ListBullet2"/>
      </w:pPr>
      <w:r w:rsidRPr="001B1A06">
        <w:t>secondary blasting</w:t>
      </w:r>
    </w:p>
    <w:p w:rsidR="00000000" w:rsidRPr="001B1A06" w:rsidP="001B1A06">
      <w:pPr>
        <w:pStyle w:val="ListBullet2"/>
      </w:pPr>
      <w:r w:rsidRPr="001B1A06">
        <w:t>re-assessment of blast site</w:t>
      </w:r>
    </w:p>
    <w:p w:rsidR="00000000" w:rsidRPr="001B1A06" w:rsidP="001B1A06">
      <w:pPr>
        <w:pStyle w:val="ListBullet2"/>
      </w:pPr>
      <w:r w:rsidRPr="001B1A06">
        <w:t>misfires or potential misfires</w:t>
      </w:r>
    </w:p>
    <w:p w:rsidR="00000000" w:rsidRPr="001B1A06" w:rsidP="001B1A06">
      <w:pPr>
        <w:pStyle w:val="ListBullet2"/>
      </w:pPr>
      <w:r w:rsidRPr="001B1A06">
        <w:t>washing out or re-charging</w:t>
      </w:r>
    </w:p>
    <w:p w:rsidR="00000000" w:rsidRPr="001B1A06" w:rsidP="001B1A06">
      <w:pPr>
        <w:pStyle w:val="ListBullet2"/>
      </w:pPr>
      <w:r w:rsidRPr="001B1A06">
        <w:t>disposal of explosives</w:t>
      </w:r>
    </w:p>
    <w:p w:rsidR="00000000" w:rsidRPr="001B1A06" w:rsidP="001B1A06">
      <w:pPr>
        <w:pStyle w:val="ListBullet2"/>
      </w:pPr>
      <w:r w:rsidRPr="001B1A06">
        <w:t>identifying and analysing environmental risks</w:t>
      </w:r>
    </w:p>
    <w:p w:rsidR="00000000" w:rsidRPr="001B1A06" w:rsidP="001B1A06">
      <w:pPr>
        <w:pStyle w:val="ListBullet2"/>
      </w:pPr>
      <w:r w:rsidRPr="001B1A06">
        <w:t xml:space="preserve">implementing the blast plan </w:t>
      </w:r>
    </w:p>
    <w:p w:rsidR="00000000" w:rsidRPr="001B1A06" w:rsidP="001B1A06">
      <w:pPr>
        <w:pStyle w:val="ListBullet2"/>
      </w:pPr>
      <w:r w:rsidRPr="001B1A06">
        <w:t>monitoring blasts</w:t>
      </w:r>
    </w:p>
    <w:p w:rsidR="00000000" w:rsidRPr="001B1A06" w:rsidP="001B1A06">
      <w:pPr>
        <w:pStyle w:val="ListBullet2"/>
      </w:pPr>
      <w:r w:rsidRPr="001B1A06">
        <w:t>coordinating post-blast inspection</w:t>
      </w:r>
    </w:p>
    <w:p w:rsidR="00000000" w:rsidRPr="001B1A06" w:rsidP="001B1A06">
      <w:pPr>
        <w:pStyle w:val="ListBullet2"/>
      </w:pPr>
      <w:r w:rsidRPr="001B1A06">
        <w:t>monitoring maintena</w:t>
      </w:r>
      <w:r w:rsidRPr="001B1A06">
        <w:t xml:space="preserve">nce and routine inspection of blast and blast monitoring equipment </w:t>
      </w:r>
    </w:p>
    <w:p w:rsidR="00000000" w:rsidRPr="001B1A06" w:rsidP="001B1A06">
      <w:pPr>
        <w:pStyle w:val="AllowPageBreak"/>
      </w:pPr>
    </w:p>
    <w:p w:rsidR="00000000" w:rsidRPr="001B1A06" w:rsidP="001B1A06">
      <w:pPr>
        <w:pStyle w:val="Heading1"/>
      </w:pPr>
      <w:bookmarkStart w:id="3" w:name="O_667426"/>
      <w:bookmarkEnd w:id="3"/>
      <w:r w:rsidRPr="001B1A06">
        <w:t>Knowledge Evidence</w:t>
      </w:r>
    </w:p>
    <w:p w:rsidR="00000000" w:rsidRPr="001B1A06" w:rsidP="00393FFB">
      <w:pPr>
        <w:pStyle w:val="BodyText"/>
      </w:pPr>
      <w:r w:rsidRPr="001B1A06">
        <w:t>The candidate must demonstrate knowledge in managing blasting operations:</w:t>
      </w:r>
    </w:p>
    <w:p w:rsidR="00000000" w:rsidRPr="001B1A06" w:rsidP="001B1A06">
      <w:pPr>
        <w:pStyle w:val="ListBullet"/>
      </w:pPr>
      <w:r w:rsidRPr="001B1A06">
        <w:t>Australian standards and codes</w:t>
      </w:r>
    </w:p>
    <w:p w:rsidR="00000000" w:rsidRPr="001B1A06" w:rsidP="001B1A06">
      <w:pPr>
        <w:pStyle w:val="ListBullet"/>
      </w:pPr>
      <w:r w:rsidRPr="001B1A06">
        <w:t>blast site procedures</w:t>
      </w:r>
    </w:p>
    <w:p w:rsidR="00000000" w:rsidRPr="001B1A06" w:rsidP="001B1A06">
      <w:pPr>
        <w:pStyle w:val="ListBullet"/>
      </w:pPr>
      <w:r w:rsidRPr="001B1A06">
        <w:t>explosives and safety and health legislation</w:t>
      </w:r>
    </w:p>
    <w:p w:rsidR="00000000" w:rsidRPr="001B1A06" w:rsidP="001B1A06">
      <w:pPr>
        <w:pStyle w:val="ListBullet"/>
      </w:pPr>
      <w:r w:rsidRPr="001B1A06">
        <w:t>emergency procedures</w:t>
      </w:r>
    </w:p>
    <w:p w:rsidR="00000000" w:rsidRPr="001B1A06" w:rsidP="001B1A06">
      <w:pPr>
        <w:pStyle w:val="ListBullet"/>
      </w:pPr>
      <w:r w:rsidRPr="001B1A06">
        <w:t>environmental procedures</w:t>
      </w:r>
    </w:p>
    <w:p w:rsidR="00000000" w:rsidRPr="001B1A06" w:rsidP="001B1A06">
      <w:pPr>
        <w:pStyle w:val="ListBullet"/>
      </w:pPr>
      <w:r w:rsidRPr="001B1A06">
        <w:t>equipment processes, technical capability and limitations</w:t>
      </w:r>
    </w:p>
    <w:p w:rsidR="00000000" w:rsidRPr="001B1A06" w:rsidP="001B1A06">
      <w:pPr>
        <w:pStyle w:val="ListBullet"/>
      </w:pPr>
      <w:r w:rsidRPr="001B1A06">
        <w:t>basic geological and technical information</w:t>
      </w:r>
    </w:p>
    <w:p w:rsidR="00000000" w:rsidRPr="001B1A06" w:rsidP="001B1A06">
      <w:pPr>
        <w:pStyle w:val="ListBullet"/>
      </w:pPr>
      <w:r w:rsidRPr="001B1A06">
        <w:t>blast plans</w:t>
      </w:r>
    </w:p>
    <w:p w:rsidR="00000000" w:rsidRPr="001B1A06" w:rsidP="001B1A06">
      <w:pPr>
        <w:pStyle w:val="ListBullet"/>
      </w:pPr>
      <w:r w:rsidRPr="001B1A06">
        <w:t>manufacturers’ instructions</w:t>
      </w:r>
    </w:p>
    <w:p w:rsidR="00000000" w:rsidRPr="001B1A06" w:rsidP="001B1A06">
      <w:pPr>
        <w:pStyle w:val="ListBullet"/>
      </w:pPr>
      <w:r w:rsidRPr="001B1A06">
        <w:t>types and characteristic</w:t>
      </w:r>
      <w:r w:rsidRPr="001B1A06">
        <w:t>s of blasting agents, explosives and initiation systems</w:t>
      </w:r>
    </w:p>
    <w:p w:rsidR="00000000" w:rsidRPr="001B1A06" w:rsidP="001B1A06">
      <w:pPr>
        <w:pStyle w:val="ListBullet"/>
      </w:pPr>
      <w:r w:rsidRPr="001B1A06">
        <w:t>concepts such as density, velocity and relationships between variable</w:t>
      </w:r>
    </w:p>
    <w:p w:rsidR="00000000" w:rsidRPr="001B1A06" w:rsidP="001B1A06">
      <w:pPr>
        <w:pStyle w:val="ListBullet"/>
      </w:pPr>
      <w:r w:rsidRPr="001B1A06">
        <w:t>assimilation, interpretation and application of information and technical data</w:t>
      </w:r>
    </w:p>
    <w:p w:rsidR="00000000" w:rsidRPr="001B1A06" w:rsidP="001B1A06">
      <w:pPr>
        <w:pStyle w:val="ListBullet"/>
      </w:pPr>
      <w:r w:rsidRPr="001B1A06">
        <w:t>mathematical processes and applications</w:t>
      </w:r>
    </w:p>
    <w:p w:rsidR="00000000" w:rsidRPr="001B1A06" w:rsidP="001B1A06">
      <w:pPr>
        <w:pStyle w:val="ListBullet"/>
      </w:pPr>
      <w:r w:rsidRPr="001B1A06">
        <w:t>cause and m</w:t>
      </w:r>
      <w:r w:rsidRPr="001B1A06">
        <w:t>anagement of misfires</w:t>
      </w:r>
    </w:p>
    <w:p w:rsidR="00000000" w:rsidRPr="001B1A06" w:rsidP="001B1A06">
      <w:pPr>
        <w:pStyle w:val="ListBullet"/>
      </w:pPr>
      <w:r w:rsidRPr="001B1A06">
        <w:t>identification of safety and environmental hazards</w:t>
      </w:r>
    </w:p>
    <w:p w:rsidR="00000000" w:rsidRPr="001B1A06" w:rsidP="001B1A06">
      <w:pPr>
        <w:pStyle w:val="ListBullet"/>
      </w:pPr>
      <w:r w:rsidRPr="001B1A06">
        <w:t>explosives disposal methods</w:t>
      </w:r>
    </w:p>
    <w:p w:rsidR="00000000" w:rsidRPr="001B1A06" w:rsidP="001B1A06">
      <w:pPr>
        <w:pStyle w:val="AllowPageBreak"/>
      </w:pPr>
    </w:p>
    <w:p w:rsidR="00000000" w:rsidRPr="001B1A06" w:rsidP="001B1A06">
      <w:pPr>
        <w:pStyle w:val="Heading1"/>
      </w:pPr>
      <w:bookmarkStart w:id="4" w:name="O_667425"/>
      <w:bookmarkEnd w:id="4"/>
      <w:r w:rsidRPr="001B1A06">
        <w:t>Assessment Conditions</w:t>
      </w:r>
    </w:p>
    <w:p w:rsidR="00000000" w:rsidRPr="001B1A06" w:rsidP="001B1A06">
      <w:pPr>
        <w:pStyle w:val="ListBullet"/>
      </w:pPr>
      <w:r w:rsidRPr="001B1A06">
        <w:t>An assessor of this unit must satisfy the requirements of the NVR/AQTF or their successors; and Industry regulation</w:t>
      </w:r>
      <w:r w:rsidRPr="001B1A06">
        <w:t xml:space="preserve">s for certification and licensing; and, </w:t>
      </w:r>
    </w:p>
    <w:p w:rsidR="00000000" w:rsidRPr="001B1A06" w:rsidP="001B1A06">
      <w:pPr>
        <w:pStyle w:val="ListBullet"/>
      </w:pPr>
      <w:r w:rsidRPr="001B1A06">
        <w:t>this unit is best assessed in the context of this sector’s work environment;</w:t>
      </w:r>
    </w:p>
    <w:p w:rsidR="00000000" w:rsidRPr="001B1A06" w:rsidP="001B1A06">
      <w:pPr>
        <w:pStyle w:val="ListBullet"/>
      </w:pPr>
      <w:r w:rsidRPr="001B1A06">
        <w:t>where personal safety or environmental damage are limiting factors, assessment may occur in a simulated environment provided it is realist</w:t>
      </w:r>
      <w:r w:rsidRPr="001B1A06">
        <w:t>ic and sufficiently rigorous to cover all aspects of this sector’s workplace performance, including environment, task skills, task management skills, contingency management skills and job role environment skills; and,</w:t>
      </w:r>
    </w:p>
    <w:p w:rsidR="00000000" w:rsidRPr="001B1A06" w:rsidP="001B1A06">
      <w:pPr>
        <w:pStyle w:val="ListBullet"/>
      </w:pPr>
      <w:r w:rsidRPr="001B1A06">
        <w:t>this unit must be assessed in complian</w:t>
      </w:r>
      <w:r w:rsidRPr="001B1A06">
        <w:t>ce with relevant legislation/regulation and using policies, procedures, processes and operational manuals directly related to the industry sector for which it is being assessed; and,</w:t>
      </w:r>
    </w:p>
    <w:p w:rsidR="00000000" w:rsidRPr="001B1A06" w:rsidP="001B1A06">
      <w:pPr>
        <w:pStyle w:val="ListBullet"/>
      </w:pPr>
      <w:r w:rsidRPr="001B1A06">
        <w:t>assessment may be conducted in conjunction with the assessment of other U</w:t>
      </w:r>
      <w:r w:rsidRPr="001B1A06">
        <w:t>nits of Competency; and,</w:t>
      </w:r>
    </w:p>
    <w:p w:rsidR="00000000" w:rsidRPr="001B1A06" w:rsidP="001B1A06">
      <w:pPr>
        <w:pStyle w:val="ListBullet"/>
      </w:pPr>
      <w:r w:rsidRPr="001B1A06">
        <w:t>assessment must confirm consistent performance can be applied in a range of relevant workplace circumstances; and,</w:t>
      </w:r>
    </w:p>
    <w:p w:rsidR="00000000" w:rsidRPr="001B1A06" w:rsidP="001B1A06">
      <w:pPr>
        <w:pStyle w:val="ListBullet"/>
      </w:pPr>
      <w:r w:rsidRPr="001B1A06">
        <w:t>assessors must demonstrate the performance evidence, and knowledge evidence as outlined in this Un</w:t>
      </w:r>
      <w:r w:rsidRPr="001B1A06">
        <w:t>it of Competency, and through the minimum years of current* work experience specified below in an Industry sector relevant to the outcomes of the unit; or,</w:t>
      </w:r>
    </w:p>
    <w:p w:rsidR="00000000" w:rsidRPr="001B1A06" w:rsidP="001B1A06">
      <w:pPr>
        <w:pStyle w:val="ListBullet"/>
      </w:pPr>
      <w:r w:rsidRPr="001B1A06">
        <w:t xml:space="preserve">where the assessor does not meet experience requirements a co-assessment or partnership arrangement </w:t>
      </w:r>
      <w:r w:rsidRPr="001B1A06">
        <w:t>must exist between the qualified assessor and an Industry subject matter expert. The Industry subject matter expert should hold the unit being assessed (or an equivalent unit) and/or demonstrate equivalence of skills and knowledge at the unit level. An Ind</w:t>
      </w:r>
      <w:r w:rsidRPr="001B1A06">
        <w:t>ustry technical expert must also demonstrate skills and knowledge from the minimum years of current work experience specified below in the Industry sector, including time spent in roles related to the unit being assessed; and,</w:t>
      </w:r>
    </w:p>
    <w:p w:rsidR="00000000" w:rsidRPr="001B1A06" w:rsidP="001B1A06">
      <w:pPr>
        <w:pStyle w:val="ListBullet"/>
      </w:pPr>
      <w:r w:rsidRPr="001B1A06">
        <w:t>assessor and Industry subject</w:t>
      </w:r>
      <w:r w:rsidRPr="001B1A06">
        <w:t xml:space="preserve">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B1A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A06">
            <w:pPr>
              <w:pStyle w:val="Heading4"/>
              <w:rPr>
                <w:lang w:val="en-NZ"/>
              </w:rPr>
            </w:pPr>
            <w:r w:rsidRPr="001B1A0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A06">
            <w:pPr>
              <w:pStyle w:val="Heading4"/>
              <w:rPr>
                <w:lang w:val="en-NZ"/>
              </w:rPr>
            </w:pPr>
            <w:r w:rsidRPr="001B1A0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A06">
            <w:pPr>
              <w:pStyle w:val="Heading4"/>
              <w:rPr>
                <w:lang w:val="en-NZ"/>
              </w:rPr>
            </w:pPr>
            <w:r w:rsidRPr="001B1A06">
              <w:t>Required assessor or Industry subject matter expert exper</w:t>
            </w:r>
            <w:r w:rsidRPr="001B1A06">
              <w:t>ience</w:t>
            </w:r>
          </w:p>
        </w:tc>
      </w:tr>
      <w:tr w:rsidTr="001B1A0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A06">
            <w:pPr>
              <w:pStyle w:val="BodyText"/>
              <w:rPr>
                <w:lang w:val="en-NZ"/>
              </w:rPr>
            </w:pPr>
            <w:r w:rsidRPr="001B1A0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A06">
            <w:pPr>
              <w:pStyle w:val="BodyText"/>
              <w:rPr>
                <w:lang w:val="en-NZ"/>
              </w:rPr>
            </w:pPr>
            <w:r w:rsidRPr="001B1A0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A06">
            <w:pPr>
              <w:pStyle w:val="BodyText"/>
              <w:rPr>
                <w:lang w:val="en-NZ"/>
              </w:rPr>
            </w:pPr>
            <w:r w:rsidRPr="001B1A06">
              <w:t>1 Year</w:t>
            </w:r>
          </w:p>
        </w:tc>
      </w:tr>
      <w:tr w:rsidTr="001B1A0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A06">
            <w:pPr>
              <w:pStyle w:val="BodyText"/>
              <w:rPr>
                <w:lang w:val="en-NZ"/>
              </w:rPr>
            </w:pPr>
            <w:r w:rsidRPr="001B1A0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A06">
            <w:pPr>
              <w:pStyle w:val="BodyText"/>
              <w:rPr>
                <w:lang w:val="en-NZ"/>
              </w:rPr>
            </w:pPr>
            <w:r w:rsidRPr="001B1A06">
              <w:t>2 Years</w:t>
            </w:r>
          </w:p>
        </w:tc>
      </w:tr>
      <w:tr w:rsidTr="001B1A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A06">
            <w:pPr>
              <w:pStyle w:val="BodyText"/>
              <w:rPr>
                <w:lang w:val="en-NZ"/>
              </w:rPr>
            </w:pPr>
            <w:r w:rsidRPr="001B1A0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A06">
            <w:pPr>
              <w:pStyle w:val="BodyText"/>
              <w:rPr>
                <w:lang w:val="en-NZ"/>
              </w:rPr>
            </w:pPr>
            <w:r w:rsidRPr="001B1A0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A06">
            <w:pPr>
              <w:pStyle w:val="BodyText"/>
              <w:rPr>
                <w:lang w:val="en-NZ"/>
              </w:rPr>
            </w:pPr>
            <w:r w:rsidRPr="001B1A06">
              <w:t>3 Years</w:t>
            </w:r>
          </w:p>
        </w:tc>
      </w:tr>
      <w:tr w:rsidTr="001B1A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A06">
            <w:pPr>
              <w:pStyle w:val="BodyText"/>
              <w:rPr>
                <w:lang w:val="en-NZ"/>
              </w:rPr>
            </w:pPr>
            <w:r w:rsidRPr="001B1A0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A06">
            <w:pPr>
              <w:pStyle w:val="BodyText"/>
              <w:rPr>
                <w:lang w:val="en-NZ"/>
              </w:rPr>
            </w:pPr>
            <w:r w:rsidRPr="001B1A0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A06">
            <w:pPr>
              <w:pStyle w:val="BodyText"/>
              <w:rPr>
                <w:lang w:val="en-NZ"/>
              </w:rPr>
            </w:pPr>
            <w:r w:rsidRPr="001B1A06">
              <w:t>5 Years</w:t>
            </w:r>
          </w:p>
        </w:tc>
      </w:tr>
      <w:tr w:rsidTr="001B1A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1A06">
            <w:pPr>
              <w:pStyle w:val="BodyText"/>
              <w:rPr>
                <w:lang w:val="en-NZ"/>
              </w:rPr>
            </w:pPr>
            <w:r w:rsidRPr="001B1A0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1A06" w:rsidP="001B1A06">
            <w:pPr>
              <w:pStyle w:val="BodyText"/>
            </w:pPr>
            <w:r w:rsidRPr="001B1A06">
              <w:t>Where this Unit is being assessed outside of the Resources and Infrastructure Sectors assessor and/or Industry subject matter expert experience should be in-line with industry standards for the sector in which it is being assessed and where no Industry sta</w:t>
            </w:r>
            <w:r w:rsidRPr="001B1A06">
              <w:t>ndard is specified should comply with any relevant regulation.</w:t>
            </w:r>
          </w:p>
        </w:tc>
      </w:tr>
    </w:tbl>
    <w:p w:rsidR="00000000" w:rsidRPr="001B1A06" w:rsidP="00393FFB">
      <w:pPr>
        <w:pStyle w:val="BodyText"/>
      </w:pPr>
      <w:r w:rsidRPr="001B1A06">
        <w:t>*Assessors can demonstrate current work experience through employment within Industry in a role relevant to the outcomes of the Unit; or, for external assessors this can be demonstrated throu</w:t>
      </w:r>
      <w:r w:rsidRPr="001B1A06">
        <w:t>gh exposure to Industry by conducting frequent site assessments across various locations.</w:t>
      </w:r>
    </w:p>
    <w:p w:rsidR="00000000" w:rsidRPr="001B1A06" w:rsidP="00393FFB">
      <w:pPr>
        <w:pStyle w:val="BodyText"/>
      </w:pPr>
      <w:r w:rsidRPr="001B1A06">
        <w:t>**Where a unit is being delivered outside of a Qualification the first numeric character in the Unit code should be considered to indicate the AQF level</w:t>
      </w:r>
    </w:p>
    <w:p w:rsidR="00000000" w:rsidRPr="001B1A06" w:rsidP="001B1A06">
      <w:pPr>
        <w:pStyle w:val="Heading1"/>
      </w:pPr>
      <w:bookmarkStart w:id="5" w:name="O_667436"/>
      <w:bookmarkEnd w:id="5"/>
      <w:r w:rsidRPr="001B1A06">
        <w:t>Links</w:t>
      </w:r>
    </w:p>
    <w:p w:rsidR="00000000" w:rsidRPr="001B1A06" w:rsidP="00393FFB">
      <w:pPr>
        <w:pStyle w:val="BodyText"/>
      </w:pPr>
      <w:r w:rsidRPr="001B1A0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C71E5">
        <w:rPr>
          <w:rStyle w:val="Hyperlink"/>
        </w:rPr>
        <w:t>https://vetnet.gov.au/Pages/TrainingDocs.aspx?q=88a61002-9a21-4386-aaf8-69c76e675272</w:t>
      </w:r>
      <w:r>
        <w:fldChar w:fldCharType="end"/>
      </w:r>
    </w:p>
    <w:p w:rsidR="00000000" w:rsidRPr="001B1A06" w:rsidP="001B1A06"/>
    <w:sectPr w:rsidSect="001B1A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A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A06" w:rsidRPr="00393FFB" w:rsidP="00393F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A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FFB" w:rsidP="001B1A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3FFB" w:rsidP="001B1A0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93FFB" w:rsidP="001B1A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A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F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1A06" w:rsidRPr="00393FFB" w:rsidP="00393F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A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FFB" w:rsidRPr="002D2AF8" w:rsidP="001B1A06">
    <w:pPr>
      <w:pStyle w:val="Header"/>
      <w:framePr w:wrap="around"/>
    </w:pPr>
    <w:r>
      <w:fldChar w:fldCharType="begin"/>
    </w:r>
    <w:r>
      <w:instrText xml:space="preserve"> TITLE   \* MERGEFORMAT </w:instrText>
    </w:r>
    <w:r>
      <w:fldChar w:fldCharType="separate"/>
    </w:r>
    <w:r>
      <w:t>Assessment Requirements for RIIBLA401D Manage blasting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393FFB" w:rsidP="001B1A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446E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CA6E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D290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A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1A06"/>
    <w:pPr>
      <w:spacing w:before="360" w:after="60"/>
      <w:outlineLvl w:val="0"/>
    </w:pPr>
    <w:rPr>
      <w:sz w:val="32"/>
    </w:rPr>
  </w:style>
  <w:style w:type="paragraph" w:styleId="Heading2">
    <w:name w:val="heading 2"/>
    <w:basedOn w:val="HeadingBase"/>
    <w:next w:val="BodyText"/>
    <w:link w:val="Heading2Char"/>
    <w:qFormat/>
    <w:rsid w:val="001B1A06"/>
    <w:pPr>
      <w:keepLines/>
      <w:spacing w:before="240" w:after="120"/>
      <w:outlineLvl w:val="1"/>
    </w:pPr>
    <w:rPr>
      <w:sz w:val="28"/>
      <w:szCs w:val="40"/>
    </w:rPr>
  </w:style>
  <w:style w:type="paragraph" w:styleId="Heading3">
    <w:name w:val="heading 3"/>
    <w:basedOn w:val="HeadingBase"/>
    <w:next w:val="BodyText"/>
    <w:link w:val="Heading3Char"/>
    <w:qFormat/>
    <w:rsid w:val="001B1A06"/>
    <w:pPr>
      <w:spacing w:before="180" w:after="120"/>
      <w:outlineLvl w:val="2"/>
    </w:pPr>
    <w:rPr>
      <w:spacing w:val="-10"/>
      <w:kern w:val="32"/>
    </w:rPr>
  </w:style>
  <w:style w:type="paragraph" w:styleId="Heading4">
    <w:name w:val="heading 4"/>
    <w:basedOn w:val="HeadingBase"/>
    <w:next w:val="BodyText"/>
    <w:link w:val="Heading4Char"/>
    <w:qFormat/>
    <w:rsid w:val="001B1A06"/>
    <w:pPr>
      <w:spacing w:before="160" w:after="120"/>
      <w:outlineLvl w:val="3"/>
    </w:pPr>
    <w:rPr>
      <w:sz w:val="22"/>
    </w:rPr>
  </w:style>
  <w:style w:type="paragraph" w:styleId="Heading5">
    <w:name w:val="heading 5"/>
    <w:basedOn w:val="HeadingBase"/>
    <w:next w:val="Normal"/>
    <w:link w:val="Heading5Char"/>
    <w:qFormat/>
    <w:rsid w:val="001B1A06"/>
    <w:pPr>
      <w:spacing w:before="80"/>
      <w:outlineLvl w:val="4"/>
    </w:pPr>
    <w:rPr>
      <w:color w:val="918585"/>
      <w:sz w:val="20"/>
    </w:rPr>
  </w:style>
  <w:style w:type="paragraph" w:styleId="Heading6">
    <w:name w:val="heading 6"/>
    <w:basedOn w:val="HeadingBase"/>
    <w:next w:val="Normal"/>
    <w:link w:val="Heading6Char"/>
    <w:qFormat/>
    <w:rsid w:val="001B1A06"/>
    <w:pPr>
      <w:spacing w:before="60"/>
      <w:outlineLvl w:val="5"/>
    </w:pPr>
    <w:rPr>
      <w:color w:val="918585"/>
      <w:sz w:val="20"/>
    </w:rPr>
  </w:style>
  <w:style w:type="paragraph" w:styleId="Heading7">
    <w:name w:val="heading 7"/>
    <w:basedOn w:val="Normal"/>
    <w:next w:val="Normal"/>
    <w:link w:val="Heading7Char"/>
    <w:qFormat/>
    <w:rsid w:val="001B1A06"/>
    <w:pPr>
      <w:ind w:left="720"/>
      <w:outlineLvl w:val="6"/>
    </w:pPr>
    <w:rPr>
      <w:i/>
    </w:rPr>
  </w:style>
  <w:style w:type="paragraph" w:styleId="Heading8">
    <w:name w:val="heading 8"/>
    <w:basedOn w:val="Normal"/>
    <w:next w:val="Normal"/>
    <w:link w:val="Heading8Char"/>
    <w:qFormat/>
    <w:rsid w:val="001B1A06"/>
    <w:pPr>
      <w:ind w:left="720"/>
      <w:outlineLvl w:val="7"/>
    </w:pPr>
    <w:rPr>
      <w:i/>
    </w:rPr>
  </w:style>
  <w:style w:type="paragraph" w:styleId="Heading9">
    <w:name w:val="heading 9"/>
    <w:basedOn w:val="Normal"/>
    <w:next w:val="Normal"/>
    <w:link w:val="Heading9Char"/>
    <w:qFormat/>
    <w:rsid w:val="001B1A06"/>
    <w:pPr>
      <w:ind w:left="720"/>
      <w:outlineLvl w:val="8"/>
    </w:pPr>
    <w:rPr>
      <w:i/>
    </w:rPr>
  </w:style>
  <w:style w:type="character" w:default="1" w:styleId="DefaultParagraphFont">
    <w:name w:val="Default Paragraph Font"/>
    <w:uiPriority w:val="1"/>
    <w:unhideWhenUsed/>
    <w:rsid w:val="001B1A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A06"/>
  </w:style>
  <w:style w:type="character" w:customStyle="1" w:styleId="Heading1Char">
    <w:name w:val="Heading 1 Char"/>
    <w:basedOn w:val="DefaultParagraphFont"/>
    <w:link w:val="Heading1"/>
    <w:rsid w:val="001B1A0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B1A06"/>
    <w:rPr>
      <w:rFonts w:ascii="Times New Roman" w:eastAsia="Times New Roman" w:hAnsi="Times New Roman" w:cs="Times New Roman"/>
      <w:b/>
      <w:szCs w:val="20"/>
      <w:lang w:eastAsia="en-US"/>
    </w:rPr>
  </w:style>
  <w:style w:type="paragraph" w:styleId="BodyText">
    <w:name w:val="Body Text"/>
    <w:basedOn w:val="Normal"/>
    <w:link w:val="BodyTextChar"/>
    <w:rsid w:val="001B1A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1A06"/>
    <w:rPr>
      <w:rFonts w:ascii="Times New Roman" w:eastAsia="Times New Roman" w:hAnsi="Times New Roman" w:cs="Times New Roman"/>
      <w:sz w:val="24"/>
      <w:lang w:eastAsia="en-US"/>
    </w:rPr>
  </w:style>
  <w:style w:type="paragraph" w:styleId="ListBullet">
    <w:name w:val="List Bullet"/>
    <w:basedOn w:val="List"/>
    <w:rsid w:val="001B1A06"/>
    <w:pPr>
      <w:numPr>
        <w:numId w:val="12"/>
      </w:numPr>
      <w:tabs>
        <w:tab w:val="clear" w:pos="340"/>
      </w:tabs>
      <w:spacing w:before="40" w:after="40"/>
    </w:pPr>
  </w:style>
  <w:style w:type="paragraph" w:styleId="ListBullet2">
    <w:name w:val="List Bullet 2"/>
    <w:basedOn w:val="List2"/>
    <w:rsid w:val="001B1A06"/>
    <w:pPr>
      <w:numPr>
        <w:numId w:val="13"/>
      </w:numPr>
      <w:tabs>
        <w:tab w:val="clear" w:pos="680"/>
      </w:tabs>
    </w:pPr>
  </w:style>
  <w:style w:type="paragraph" w:customStyle="1" w:styleId="SuperHeading">
    <w:name w:val="SuperHeading"/>
    <w:basedOn w:val="Normal"/>
    <w:rsid w:val="001B1A06"/>
    <w:pPr>
      <w:spacing w:before="240" w:after="120"/>
      <w:outlineLvl w:val="0"/>
    </w:pPr>
    <w:rPr>
      <w:rFonts w:ascii="Times New Roman" w:hAnsi="Times New Roman"/>
      <w:b/>
      <w:sz w:val="32"/>
    </w:rPr>
  </w:style>
  <w:style w:type="paragraph" w:customStyle="1" w:styleId="AllowPageBreak">
    <w:name w:val="AllowPageBreak"/>
    <w:rsid w:val="001B1A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1A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1A0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B1A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A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A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1A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1A06"/>
    <w:rPr>
      <w:rFonts w:ascii="Courier New" w:eastAsia="Times New Roman" w:hAnsi="Courier New" w:cs="Times New Roman"/>
      <w:i/>
      <w:szCs w:val="20"/>
      <w:lang w:eastAsia="en-US"/>
    </w:rPr>
  </w:style>
  <w:style w:type="paragraph" w:customStyle="1" w:styleId="HeadingBase">
    <w:name w:val="Heading Base"/>
    <w:rsid w:val="001B1A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A06"/>
    <w:pPr>
      <w:tabs>
        <w:tab w:val="right" w:leader="dot" w:pos="9072"/>
      </w:tabs>
      <w:ind w:left="567"/>
    </w:pPr>
    <w:rPr>
      <w:szCs w:val="22"/>
    </w:rPr>
  </w:style>
  <w:style w:type="paragraph" w:customStyle="1" w:styleId="TOCBase">
    <w:name w:val="TOC Base"/>
    <w:rsid w:val="001B1A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A06"/>
    <w:pPr>
      <w:tabs>
        <w:tab w:val="right" w:leader="dot" w:pos="9072"/>
      </w:tabs>
      <w:spacing w:before="40" w:after="40"/>
      <w:ind w:left="284"/>
    </w:pPr>
    <w:rPr>
      <w:rFonts w:ascii="Times New Roman" w:hAnsi="Times New Roman"/>
    </w:rPr>
  </w:style>
  <w:style w:type="paragraph" w:styleId="TOC1">
    <w:name w:val="toc 1"/>
    <w:basedOn w:val="TOCBase"/>
    <w:next w:val="Normal"/>
    <w:rsid w:val="001B1A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1A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A06"/>
    <w:rPr>
      <w:rFonts w:ascii="Times New Roman" w:eastAsia="Times New Roman" w:hAnsi="Times New Roman" w:cs="Times New Roman"/>
      <w:sz w:val="16"/>
      <w:lang w:eastAsia="en-US"/>
    </w:rPr>
  </w:style>
  <w:style w:type="paragraph" w:styleId="Title">
    <w:name w:val="Title"/>
    <w:basedOn w:val="HeadingBase"/>
    <w:link w:val="TitleChar"/>
    <w:qFormat/>
    <w:rsid w:val="001B1A06"/>
    <w:pPr>
      <w:spacing w:before="5040"/>
      <w:jc w:val="center"/>
    </w:pPr>
    <w:rPr>
      <w:sz w:val="48"/>
      <w:szCs w:val="72"/>
      <w:lang w:val="en-US"/>
    </w:rPr>
  </w:style>
  <w:style w:type="character" w:customStyle="1" w:styleId="TitleChar">
    <w:name w:val="Title Char"/>
    <w:basedOn w:val="DefaultParagraphFont"/>
    <w:link w:val="Title"/>
    <w:rsid w:val="001B1A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A06"/>
    <w:pPr>
      <w:tabs>
        <w:tab w:val="left" w:pos="3600"/>
        <w:tab w:val="left" w:pos="3958"/>
      </w:tabs>
    </w:pPr>
  </w:style>
  <w:style w:type="paragraph" w:styleId="List">
    <w:name w:val="List"/>
    <w:basedOn w:val="BodyText"/>
    <w:next w:val="BodyText"/>
    <w:rsid w:val="001B1A06"/>
    <w:pPr>
      <w:tabs>
        <w:tab w:val="left" w:pos="340"/>
      </w:tabs>
      <w:spacing w:before="60" w:after="60"/>
      <w:ind w:left="340" w:hanging="340"/>
    </w:pPr>
  </w:style>
  <w:style w:type="paragraph" w:customStyle="1" w:styleId="Note">
    <w:name w:val="Note"/>
    <w:basedOn w:val="BodyText"/>
    <w:rsid w:val="001B1A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1A06"/>
    <w:rPr>
      <w:b/>
      <w:spacing w:val="0"/>
    </w:rPr>
  </w:style>
  <w:style w:type="paragraph" w:customStyle="1" w:styleId="SuperTitle">
    <w:name w:val="SuperTitle"/>
    <w:basedOn w:val="Title"/>
    <w:rsid w:val="001B1A06"/>
    <w:pPr>
      <w:framePr w:wrap="auto" w:hAnchor="text" w:y="6049"/>
    </w:pPr>
    <w:rPr>
      <w:color w:val="000000"/>
      <w:sz w:val="40"/>
    </w:rPr>
  </w:style>
  <w:style w:type="paragraph" w:customStyle="1" w:styleId="TOCTitle">
    <w:name w:val="TOCTitle"/>
    <w:basedOn w:val="Heading1"/>
    <w:rsid w:val="001B1A06"/>
    <w:pPr>
      <w:spacing w:after="240"/>
      <w:jc w:val="center"/>
      <w:outlineLvl w:val="9"/>
    </w:pPr>
    <w:rPr>
      <w:caps/>
    </w:rPr>
  </w:style>
  <w:style w:type="paragraph" w:customStyle="1" w:styleId="Version">
    <w:name w:val="Version"/>
    <w:rsid w:val="001B1A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1A06"/>
    <w:pPr>
      <w:keepNext w:val="0"/>
      <w:tabs>
        <w:tab w:val="right" w:pos="4176"/>
      </w:tabs>
      <w:ind w:left="198" w:hanging="198"/>
    </w:pPr>
    <w:rPr>
      <w:rFonts w:ascii="Garamond" w:hAnsi="Garamond"/>
    </w:rPr>
  </w:style>
  <w:style w:type="paragraph" w:styleId="IndexHeading">
    <w:name w:val="index heading"/>
    <w:basedOn w:val="Normal"/>
    <w:next w:val="Index1"/>
    <w:semiHidden/>
    <w:rsid w:val="001B1A06"/>
    <w:pPr>
      <w:spacing w:before="120" w:after="120"/>
    </w:pPr>
    <w:rPr>
      <w:rFonts w:ascii="Arial" w:hAnsi="Arial"/>
      <w:b/>
      <w:color w:val="918585"/>
      <w:sz w:val="24"/>
    </w:rPr>
  </w:style>
  <w:style w:type="paragraph" w:styleId="Header">
    <w:name w:val="header"/>
    <w:basedOn w:val="Normal"/>
    <w:link w:val="HeaderChar"/>
    <w:rsid w:val="001B1A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A06"/>
    <w:rPr>
      <w:rFonts w:ascii="Times New Roman" w:eastAsia="Times New Roman" w:hAnsi="Times New Roman" w:cs="Times New Roman"/>
      <w:sz w:val="16"/>
      <w:szCs w:val="20"/>
      <w:lang w:val="en-GB" w:eastAsia="en-US"/>
    </w:rPr>
  </w:style>
  <w:style w:type="paragraph" w:customStyle="1" w:styleId="Chapter">
    <w:name w:val="Chapter"/>
    <w:basedOn w:val="Normal"/>
    <w:rsid w:val="001B1A06"/>
    <w:pPr>
      <w:spacing w:before="240"/>
    </w:pPr>
    <w:rPr>
      <w:rFonts w:ascii="Times New Roman" w:hAnsi="Times New Roman"/>
      <w:smallCaps/>
      <w:spacing w:val="80"/>
      <w:sz w:val="28"/>
    </w:rPr>
  </w:style>
  <w:style w:type="paragraph" w:customStyle="1" w:styleId="InChapter">
    <w:name w:val="InChapter"/>
    <w:basedOn w:val="Heading3"/>
    <w:rsid w:val="001B1A06"/>
    <w:pPr>
      <w:spacing w:after="240"/>
      <w:outlineLvl w:val="9"/>
    </w:pPr>
    <w:rPr>
      <w:noProof/>
    </w:rPr>
  </w:style>
  <w:style w:type="paragraph" w:styleId="Index2">
    <w:name w:val="index 2"/>
    <w:basedOn w:val="Normal"/>
    <w:next w:val="Normal"/>
    <w:semiHidden/>
    <w:rsid w:val="001B1A06"/>
    <w:pPr>
      <w:tabs>
        <w:tab w:val="right" w:pos="4176"/>
      </w:tabs>
      <w:ind w:left="568" w:hanging="284"/>
    </w:pPr>
    <w:rPr>
      <w:rFonts w:ascii="Garamond" w:hAnsi="Garamond"/>
    </w:rPr>
  </w:style>
  <w:style w:type="paragraph" w:customStyle="1" w:styleId="Byline">
    <w:name w:val="Byline"/>
    <w:rsid w:val="001B1A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A06"/>
    <w:pPr>
      <w:tabs>
        <w:tab w:val="clear" w:pos="3600"/>
        <w:tab w:val="clear" w:pos="3958"/>
      </w:tabs>
      <w:jc w:val="right"/>
    </w:pPr>
  </w:style>
  <w:style w:type="character" w:styleId="Emphasis">
    <w:name w:val="Emphasis"/>
    <w:basedOn w:val="DefaultParagraphFont"/>
    <w:qFormat/>
    <w:rsid w:val="001B1A06"/>
    <w:rPr>
      <w:i/>
    </w:rPr>
  </w:style>
  <w:style w:type="paragraph" w:styleId="Caption">
    <w:name w:val="caption"/>
    <w:basedOn w:val="BodyText"/>
    <w:next w:val="Normal"/>
    <w:qFormat/>
    <w:rsid w:val="001B1A06"/>
    <w:pPr>
      <w:framePr w:w="2268" w:hSpace="181" w:vSpace="181" w:wrap="around" w:vAnchor="text" w:hAnchor="page" w:x="1135" w:y="285" w:anchorLock="1"/>
    </w:pPr>
    <w:rPr>
      <w:i/>
    </w:rPr>
  </w:style>
  <w:style w:type="paragraph" w:customStyle="1" w:styleId="MiniTOCTitle">
    <w:name w:val="MiniTOCTitle"/>
    <w:basedOn w:val="Heading4"/>
    <w:rsid w:val="001B1A06"/>
    <w:pPr>
      <w:spacing w:before="240"/>
      <w:outlineLvl w:val="9"/>
    </w:pPr>
    <w:rPr>
      <w:noProof/>
      <w:sz w:val="24"/>
    </w:rPr>
  </w:style>
  <w:style w:type="paragraph" w:customStyle="1" w:styleId="MiniTOCItem">
    <w:name w:val="MiniTOCItem"/>
    <w:basedOn w:val="ListBullet"/>
    <w:rsid w:val="001B1A06"/>
    <w:pPr>
      <w:numPr>
        <w:numId w:val="0"/>
      </w:numPr>
      <w:tabs>
        <w:tab w:val="right" w:leader="dot" w:pos="6521"/>
      </w:tabs>
      <w:spacing w:before="0" w:after="0"/>
    </w:pPr>
  </w:style>
  <w:style w:type="paragraph" w:customStyle="1" w:styleId="TOFTitle">
    <w:name w:val="TOFTitle"/>
    <w:basedOn w:val="TOCTitle"/>
    <w:rsid w:val="001B1A06"/>
  </w:style>
  <w:style w:type="paragraph" w:styleId="TableofFigures">
    <w:name w:val="table of figures"/>
    <w:basedOn w:val="Normal"/>
    <w:next w:val="Normal"/>
    <w:semiHidden/>
    <w:rsid w:val="001B1A06"/>
    <w:pPr>
      <w:tabs>
        <w:tab w:val="right" w:leader="dot" w:pos="9072"/>
      </w:tabs>
      <w:ind w:left="970" w:hanging="403"/>
    </w:pPr>
    <w:rPr>
      <w:rFonts w:ascii="Times New Roman" w:hAnsi="Times New Roman"/>
      <w:b/>
    </w:rPr>
  </w:style>
  <w:style w:type="paragraph" w:styleId="ListNumber">
    <w:name w:val="List Number"/>
    <w:basedOn w:val="List"/>
    <w:rsid w:val="001B1A06"/>
    <w:pPr>
      <w:numPr>
        <w:numId w:val="15"/>
      </w:numPr>
      <w:tabs>
        <w:tab w:val="clear" w:pos="340"/>
      </w:tabs>
    </w:pPr>
  </w:style>
  <w:style w:type="character" w:customStyle="1" w:styleId="WingdingSymbols">
    <w:name w:val="Wingding Symbols"/>
    <w:rsid w:val="001B1A06"/>
    <w:rPr>
      <w:rFonts w:ascii="Wingdings" w:hAnsi="Wingdings"/>
    </w:rPr>
  </w:style>
  <w:style w:type="paragraph" w:customStyle="1" w:styleId="TableHeading">
    <w:name w:val="Table Heading"/>
    <w:basedOn w:val="HeadingBase"/>
    <w:rsid w:val="001B1A06"/>
    <w:pPr>
      <w:keepLines/>
      <w:pBdr>
        <w:bottom w:val="single" w:sz="6" w:space="1" w:color="918585"/>
      </w:pBdr>
      <w:spacing w:before="240"/>
    </w:pPr>
  </w:style>
  <w:style w:type="character" w:customStyle="1" w:styleId="HotSpot">
    <w:name w:val="HotSpot"/>
    <w:rsid w:val="001B1A06"/>
    <w:rPr>
      <w:color w:val="0033CC"/>
      <w:u w:val="none"/>
    </w:rPr>
  </w:style>
  <w:style w:type="paragraph" w:customStyle="1" w:styleId="BodyTextRight">
    <w:name w:val="Body Text Right"/>
    <w:basedOn w:val="BodyText"/>
    <w:rsid w:val="001B1A06"/>
    <w:pPr>
      <w:spacing w:before="0" w:after="0"/>
      <w:jc w:val="right"/>
    </w:pPr>
  </w:style>
  <w:style w:type="paragraph" w:styleId="Index3">
    <w:name w:val="index 3"/>
    <w:basedOn w:val="ListNumber2"/>
    <w:next w:val="Normal"/>
    <w:semiHidden/>
    <w:rsid w:val="001B1A06"/>
    <w:pPr>
      <w:numPr>
        <w:numId w:val="0"/>
      </w:numPr>
      <w:tabs>
        <w:tab w:val="right" w:leader="dot" w:pos="4176"/>
      </w:tabs>
    </w:pPr>
  </w:style>
  <w:style w:type="paragraph" w:styleId="ListNumber2">
    <w:name w:val="List Number 2"/>
    <w:basedOn w:val="List2"/>
    <w:rsid w:val="001B1A06"/>
    <w:pPr>
      <w:numPr>
        <w:numId w:val="10"/>
      </w:numPr>
      <w:tabs>
        <w:tab w:val="clear" w:pos="1060"/>
      </w:tabs>
    </w:pPr>
  </w:style>
  <w:style w:type="paragraph" w:customStyle="1" w:styleId="MarginNote">
    <w:name w:val="Margin Note"/>
    <w:basedOn w:val="BodyText"/>
    <w:rsid w:val="001B1A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A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A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1A06"/>
    <w:rPr>
      <w:sz w:val="32"/>
    </w:rPr>
  </w:style>
  <w:style w:type="paragraph" w:customStyle="1" w:styleId="HeadingProcedure">
    <w:name w:val="Heading Procedure"/>
    <w:basedOn w:val="HeadingBase"/>
    <w:next w:val="Normal"/>
    <w:rsid w:val="001B1A06"/>
    <w:pPr>
      <w:tabs>
        <w:tab w:val="left" w:pos="0"/>
      </w:tabs>
      <w:spacing w:before="120" w:after="60"/>
    </w:pPr>
    <w:rPr>
      <w:i/>
      <w:color w:val="918585"/>
      <w:sz w:val="22"/>
    </w:rPr>
  </w:style>
  <w:style w:type="paragraph" w:customStyle="1" w:styleId="TableBodyText">
    <w:name w:val="Table Body Text"/>
    <w:basedOn w:val="BodyText"/>
    <w:rsid w:val="001B1A06"/>
    <w:pPr>
      <w:spacing w:before="60" w:after="60"/>
    </w:pPr>
  </w:style>
  <w:style w:type="paragraph" w:styleId="ListContinue">
    <w:name w:val="List Continue"/>
    <w:basedOn w:val="List"/>
    <w:rsid w:val="001B1A06"/>
    <w:pPr>
      <w:ind w:firstLine="0"/>
    </w:pPr>
  </w:style>
  <w:style w:type="paragraph" w:customStyle="1" w:styleId="ListNote">
    <w:name w:val="List Note"/>
    <w:basedOn w:val="List"/>
    <w:rsid w:val="001B1A06"/>
    <w:pPr>
      <w:pBdr>
        <w:top w:val="single" w:sz="6" w:space="2" w:color="918585"/>
        <w:bottom w:val="single" w:sz="6" w:space="2" w:color="918585"/>
      </w:pBdr>
      <w:tabs>
        <w:tab w:val="left" w:pos="1021"/>
      </w:tabs>
      <w:ind w:firstLine="0"/>
    </w:pPr>
  </w:style>
  <w:style w:type="paragraph" w:customStyle="1" w:styleId="Warning">
    <w:name w:val="Warning"/>
    <w:basedOn w:val="BodyText"/>
    <w:rsid w:val="001B1A06"/>
    <w:pPr>
      <w:shd w:val="clear" w:color="auto" w:fill="D9D9D9"/>
      <w:tabs>
        <w:tab w:val="left" w:pos="992"/>
      </w:tabs>
      <w:ind w:left="119" w:right="119"/>
    </w:pPr>
    <w:rPr>
      <w:sz w:val="20"/>
    </w:rPr>
  </w:style>
  <w:style w:type="paragraph" w:customStyle="1" w:styleId="MarginIcons">
    <w:name w:val="Margin Icons"/>
    <w:basedOn w:val="BodyText"/>
    <w:rsid w:val="001B1A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A06"/>
    <w:rPr>
      <w:rFonts w:ascii="Courier New" w:hAnsi="Courier New"/>
    </w:rPr>
  </w:style>
  <w:style w:type="paragraph" w:customStyle="1" w:styleId="NoteBullet">
    <w:name w:val="Note Bullet"/>
    <w:basedOn w:val="Note"/>
    <w:rsid w:val="001B1A06"/>
    <w:pPr>
      <w:tabs>
        <w:tab w:val="clear" w:pos="680"/>
      </w:tabs>
      <w:spacing w:before="60" w:after="60"/>
    </w:pPr>
  </w:style>
  <w:style w:type="paragraph" w:customStyle="1" w:styleId="SubHeading2">
    <w:name w:val="SubHeading2"/>
    <w:basedOn w:val="HeadingBase"/>
    <w:rsid w:val="001B1A06"/>
    <w:pPr>
      <w:spacing w:before="240" w:after="60"/>
    </w:pPr>
    <w:rPr>
      <w:sz w:val="20"/>
    </w:rPr>
  </w:style>
  <w:style w:type="paragraph" w:customStyle="1" w:styleId="SubHeading1">
    <w:name w:val="SubHeading1"/>
    <w:basedOn w:val="HeadingBase"/>
    <w:rsid w:val="001B1A06"/>
    <w:pPr>
      <w:spacing w:before="240" w:after="60"/>
    </w:pPr>
    <w:rPr>
      <w:color w:val="918585"/>
      <w:sz w:val="22"/>
    </w:rPr>
  </w:style>
  <w:style w:type="paragraph" w:customStyle="1" w:styleId="SideHeading">
    <w:name w:val="Side Heading"/>
    <w:basedOn w:val="HeadingBase"/>
    <w:rsid w:val="001B1A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A06"/>
    <w:pPr>
      <w:tabs>
        <w:tab w:val="num" w:pos="360"/>
      </w:tabs>
    </w:pPr>
  </w:style>
  <w:style w:type="paragraph" w:styleId="PlainText">
    <w:name w:val="Plain Text"/>
    <w:basedOn w:val="Normal"/>
    <w:link w:val="PlainTextChar"/>
    <w:rsid w:val="001B1A06"/>
    <w:rPr>
      <w:sz w:val="20"/>
    </w:rPr>
  </w:style>
  <w:style w:type="character" w:customStyle="1" w:styleId="PlainTextChar">
    <w:name w:val="Plain Text Char"/>
    <w:basedOn w:val="DefaultParagraphFont"/>
    <w:link w:val="PlainText"/>
    <w:rsid w:val="001B1A06"/>
    <w:rPr>
      <w:rFonts w:ascii="Courier New" w:eastAsia="Times New Roman" w:hAnsi="Courier New" w:cs="Times New Roman"/>
      <w:sz w:val="20"/>
      <w:szCs w:val="20"/>
      <w:lang w:eastAsia="en-US"/>
    </w:rPr>
  </w:style>
  <w:style w:type="character" w:customStyle="1" w:styleId="MenuOption">
    <w:name w:val="Menu Option"/>
    <w:basedOn w:val="DefaultParagraphFont"/>
    <w:rsid w:val="001B1A06"/>
    <w:rPr>
      <w:b/>
      <w:smallCaps/>
    </w:rPr>
  </w:style>
  <w:style w:type="paragraph" w:customStyle="1" w:styleId="TableListNumber">
    <w:name w:val="Table List Number"/>
    <w:basedOn w:val="ListNumber"/>
    <w:rsid w:val="001B1A06"/>
    <w:pPr>
      <w:numPr>
        <w:numId w:val="0"/>
      </w:numPr>
    </w:pPr>
  </w:style>
  <w:style w:type="paragraph" w:styleId="TOC4">
    <w:name w:val="toc 4"/>
    <w:basedOn w:val="TOCBase"/>
    <w:next w:val="Normal"/>
    <w:semiHidden/>
    <w:rsid w:val="001B1A06"/>
    <w:pPr>
      <w:tabs>
        <w:tab w:val="right" w:leader="dot" w:pos="9071"/>
      </w:tabs>
      <w:ind w:left="1701"/>
    </w:pPr>
  </w:style>
  <w:style w:type="paragraph" w:customStyle="1" w:styleId="ListAlpha">
    <w:name w:val="List Alpha"/>
    <w:basedOn w:val="List"/>
    <w:rsid w:val="001B1A06"/>
    <w:pPr>
      <w:numPr>
        <w:numId w:val="9"/>
      </w:numPr>
    </w:pPr>
  </w:style>
  <w:style w:type="paragraph" w:customStyle="1" w:styleId="ListAlpha2">
    <w:name w:val="List Alpha 2"/>
    <w:basedOn w:val="List2"/>
    <w:rsid w:val="001B1A06"/>
    <w:pPr>
      <w:numPr>
        <w:numId w:val="8"/>
      </w:numPr>
    </w:pPr>
  </w:style>
  <w:style w:type="paragraph" w:styleId="List2">
    <w:name w:val="List 2"/>
    <w:basedOn w:val="BodyText"/>
    <w:rsid w:val="001B1A06"/>
    <w:pPr>
      <w:tabs>
        <w:tab w:val="left" w:pos="680"/>
      </w:tabs>
      <w:spacing w:before="60" w:after="60"/>
      <w:ind w:left="680" w:hanging="340"/>
    </w:pPr>
  </w:style>
  <w:style w:type="paragraph" w:styleId="List3">
    <w:name w:val="List 3"/>
    <w:basedOn w:val="BodyText"/>
    <w:rsid w:val="001B1A06"/>
    <w:pPr>
      <w:tabs>
        <w:tab w:val="left" w:pos="1021"/>
      </w:tabs>
      <w:spacing w:before="60" w:after="60"/>
      <w:ind w:left="1020" w:hanging="340"/>
    </w:pPr>
  </w:style>
  <w:style w:type="paragraph" w:styleId="List4">
    <w:name w:val="List 4"/>
    <w:basedOn w:val="BodyText"/>
    <w:rsid w:val="001B1A06"/>
    <w:pPr>
      <w:tabs>
        <w:tab w:val="left" w:pos="1361"/>
      </w:tabs>
      <w:spacing w:before="60" w:after="60"/>
      <w:ind w:left="1361" w:hanging="340"/>
    </w:pPr>
  </w:style>
  <w:style w:type="paragraph" w:styleId="List5">
    <w:name w:val="List 5"/>
    <w:basedOn w:val="BodyText"/>
    <w:rsid w:val="001B1A06"/>
    <w:pPr>
      <w:tabs>
        <w:tab w:val="left" w:pos="1701"/>
      </w:tabs>
      <w:spacing w:before="60" w:after="60"/>
      <w:ind w:left="1701" w:hanging="340"/>
    </w:pPr>
  </w:style>
  <w:style w:type="paragraph" w:styleId="ListBullet3">
    <w:name w:val="List Bullet 3"/>
    <w:basedOn w:val="List3"/>
    <w:rsid w:val="001B1A06"/>
    <w:pPr>
      <w:numPr>
        <w:numId w:val="14"/>
      </w:numPr>
      <w:tabs>
        <w:tab w:val="clear" w:pos="1021"/>
      </w:tabs>
      <w:ind w:left="1037" w:hanging="357"/>
    </w:pPr>
  </w:style>
  <w:style w:type="paragraph" w:styleId="ListBullet4">
    <w:name w:val="List Bullet 4"/>
    <w:basedOn w:val="List4"/>
    <w:rsid w:val="001B1A06"/>
    <w:pPr>
      <w:numPr>
        <w:numId w:val="3"/>
      </w:numPr>
      <w:tabs>
        <w:tab w:val="clear" w:pos="1361"/>
      </w:tabs>
    </w:pPr>
  </w:style>
  <w:style w:type="paragraph" w:styleId="ListBullet5">
    <w:name w:val="List Bullet 5"/>
    <w:basedOn w:val="List5"/>
    <w:rsid w:val="001B1A06"/>
    <w:pPr>
      <w:numPr>
        <w:numId w:val="4"/>
      </w:numPr>
    </w:pPr>
  </w:style>
  <w:style w:type="paragraph" w:styleId="ListContinue2">
    <w:name w:val="List Continue 2"/>
    <w:basedOn w:val="List2"/>
    <w:rsid w:val="001B1A06"/>
    <w:pPr>
      <w:ind w:firstLine="0"/>
    </w:pPr>
  </w:style>
  <w:style w:type="paragraph" w:styleId="ListContinue3">
    <w:name w:val="List Continue 3"/>
    <w:basedOn w:val="List3"/>
    <w:rsid w:val="001B1A06"/>
    <w:pPr>
      <w:ind w:left="1021" w:firstLine="0"/>
    </w:pPr>
  </w:style>
  <w:style w:type="paragraph" w:styleId="ListContinue4">
    <w:name w:val="List Continue 4"/>
    <w:basedOn w:val="List4"/>
    <w:rsid w:val="001B1A06"/>
    <w:pPr>
      <w:ind w:firstLine="0"/>
    </w:pPr>
  </w:style>
  <w:style w:type="paragraph" w:styleId="ListContinue5">
    <w:name w:val="List Continue 5"/>
    <w:basedOn w:val="List5"/>
    <w:rsid w:val="001B1A06"/>
    <w:pPr>
      <w:ind w:firstLine="0"/>
    </w:pPr>
  </w:style>
  <w:style w:type="paragraph" w:styleId="ListNumber3">
    <w:name w:val="List Number 3"/>
    <w:basedOn w:val="List3"/>
    <w:rsid w:val="001B1A06"/>
    <w:pPr>
      <w:numPr>
        <w:numId w:val="5"/>
      </w:numPr>
    </w:pPr>
  </w:style>
  <w:style w:type="paragraph" w:styleId="ListNumber4">
    <w:name w:val="List Number 4"/>
    <w:basedOn w:val="List4"/>
    <w:rsid w:val="001B1A06"/>
    <w:pPr>
      <w:numPr>
        <w:numId w:val="6"/>
      </w:numPr>
    </w:pPr>
  </w:style>
  <w:style w:type="paragraph" w:styleId="ListNumber5">
    <w:name w:val="List Number 5"/>
    <w:basedOn w:val="List5"/>
    <w:rsid w:val="001B1A06"/>
    <w:pPr>
      <w:numPr>
        <w:numId w:val="7"/>
      </w:numPr>
    </w:pPr>
  </w:style>
  <w:style w:type="paragraph" w:styleId="BlockText">
    <w:name w:val="Block Text"/>
    <w:basedOn w:val="Normal"/>
    <w:rsid w:val="001B1A06"/>
    <w:pPr>
      <w:spacing w:after="120"/>
      <w:ind w:left="1440" w:right="1440"/>
    </w:pPr>
  </w:style>
  <w:style w:type="character" w:customStyle="1" w:styleId="Subscript">
    <w:name w:val="Subscript"/>
    <w:basedOn w:val="DefaultParagraphFont"/>
    <w:rsid w:val="001B1A06"/>
    <w:rPr>
      <w:sz w:val="16"/>
      <w:vertAlign w:val="subscript"/>
    </w:rPr>
  </w:style>
  <w:style w:type="character" w:customStyle="1" w:styleId="Superscript">
    <w:name w:val="Superscript"/>
    <w:basedOn w:val="DefaultParagraphFont"/>
    <w:rsid w:val="001B1A06"/>
    <w:rPr>
      <w:sz w:val="16"/>
      <w:vertAlign w:val="superscript"/>
    </w:rPr>
  </w:style>
  <w:style w:type="character" w:customStyle="1" w:styleId="Symbols">
    <w:name w:val="Symbols"/>
    <w:basedOn w:val="DefaultParagraphFont"/>
    <w:rsid w:val="001B1A06"/>
    <w:rPr>
      <w:rFonts w:ascii="Symbol" w:hAnsi="Symbol"/>
    </w:rPr>
  </w:style>
  <w:style w:type="character" w:customStyle="1" w:styleId="MenuOptions">
    <w:name w:val="Menu Options"/>
    <w:basedOn w:val="DefaultParagraphFont"/>
    <w:rsid w:val="001B1A06"/>
    <w:rPr>
      <w:rFonts w:ascii="Arial Narrow" w:hAnsi="Arial Narrow"/>
      <w:smallCaps/>
    </w:rPr>
  </w:style>
  <w:style w:type="character" w:customStyle="1" w:styleId="Buttons">
    <w:name w:val="Buttons"/>
    <w:basedOn w:val="DefaultParagraphFont"/>
    <w:rsid w:val="001B1A06"/>
    <w:rPr>
      <w:b/>
    </w:rPr>
  </w:style>
  <w:style w:type="character" w:customStyle="1" w:styleId="Underlined">
    <w:name w:val="Underlined"/>
    <w:basedOn w:val="DefaultParagraphFont"/>
    <w:rsid w:val="001B1A06"/>
    <w:rPr>
      <w:u w:val="single"/>
    </w:rPr>
  </w:style>
  <w:style w:type="paragraph" w:customStyle="1" w:styleId="TableBodyTextRight">
    <w:name w:val="Table Body Text Right"/>
    <w:basedOn w:val="TableBodyText"/>
    <w:rsid w:val="001B1A06"/>
    <w:pPr>
      <w:widowControl w:val="0"/>
      <w:autoSpaceDE w:val="0"/>
      <w:autoSpaceDN w:val="0"/>
      <w:adjustRightInd w:val="0"/>
      <w:jc w:val="right"/>
    </w:pPr>
    <w:rPr>
      <w:rFonts w:cs="Arial"/>
      <w:szCs w:val="18"/>
    </w:rPr>
  </w:style>
  <w:style w:type="paragraph" w:customStyle="1" w:styleId="CopyrightText">
    <w:name w:val="Copyright Text"/>
    <w:basedOn w:val="BodyText"/>
    <w:rsid w:val="001B1A06"/>
    <w:rPr>
      <w:sz w:val="18"/>
    </w:rPr>
  </w:style>
  <w:style w:type="paragraph" w:customStyle="1" w:styleId="BodySmallRight">
    <w:name w:val="Body Small Right"/>
    <w:basedOn w:val="BodyTextRight"/>
    <w:rsid w:val="001B1A06"/>
    <w:rPr>
      <w:sz w:val="18"/>
      <w:szCs w:val="18"/>
    </w:rPr>
  </w:style>
  <w:style w:type="paragraph" w:customStyle="1" w:styleId="MarginEdition">
    <w:name w:val="Margin Edition"/>
    <w:basedOn w:val="MarginNote"/>
    <w:rsid w:val="001B1A06"/>
    <w:pPr>
      <w:spacing w:before="0" w:after="0"/>
    </w:pPr>
    <w:rPr>
      <w:rFonts w:ascii="Times New Roman" w:hAnsi="Times New Roman"/>
      <w:color w:val="999999"/>
    </w:rPr>
  </w:style>
  <w:style w:type="paragraph" w:customStyle="1" w:styleId="Spacer">
    <w:name w:val="Spacer"/>
    <w:basedOn w:val="Normal"/>
    <w:rsid w:val="001B1A06"/>
    <w:rPr>
      <w:sz w:val="2"/>
      <w:szCs w:val="2"/>
    </w:rPr>
  </w:style>
  <w:style w:type="character" w:customStyle="1" w:styleId="Small">
    <w:name w:val="Small"/>
    <w:basedOn w:val="DefaultParagraphFont"/>
    <w:rsid w:val="001B1A06"/>
    <w:rPr>
      <w:sz w:val="16"/>
    </w:rPr>
  </w:style>
  <w:style w:type="paragraph" w:customStyle="1" w:styleId="WideTable">
    <w:name w:val="Wide Table"/>
    <w:basedOn w:val="Normal"/>
    <w:rsid w:val="001B1A06"/>
    <w:pPr>
      <w:ind w:left="-1418"/>
    </w:pPr>
    <w:rPr>
      <w:sz w:val="2"/>
      <w:szCs w:val="2"/>
    </w:rPr>
  </w:style>
  <w:style w:type="character" w:styleId="PageNumber">
    <w:name w:val="page number"/>
    <w:basedOn w:val="DefaultParagraphFont"/>
    <w:rsid w:val="001B1A06"/>
  </w:style>
  <w:style w:type="paragraph" w:styleId="Quote">
    <w:name w:val="Quote"/>
    <w:basedOn w:val="Heading1"/>
    <w:link w:val="QuoteChar"/>
    <w:qFormat/>
    <w:rsid w:val="001B1A06"/>
    <w:rPr>
      <w:b w:val="0"/>
      <w:sz w:val="72"/>
      <w:szCs w:val="72"/>
      <w:lang w:val="en-NZ"/>
    </w:rPr>
  </w:style>
  <w:style w:type="character" w:customStyle="1" w:styleId="QuoteChar">
    <w:name w:val="Quote Char"/>
    <w:basedOn w:val="DefaultParagraphFont"/>
    <w:link w:val="Quote"/>
    <w:rsid w:val="001B1A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A06"/>
    <w:pPr>
      <w:pageBreakBefore/>
    </w:pPr>
  </w:style>
  <w:style w:type="paragraph" w:customStyle="1" w:styleId="Border">
    <w:name w:val="Border"/>
    <w:basedOn w:val="Normal"/>
    <w:qFormat/>
    <w:rsid w:val="001B1A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A06"/>
    <w:rPr>
      <w:b/>
      <w:bCs/>
      <w:i/>
      <w:iCs/>
      <w:color w:val="auto"/>
    </w:rPr>
  </w:style>
  <w:style w:type="paragraph" w:styleId="IntenseQuote">
    <w:name w:val="Intense Quote"/>
    <w:basedOn w:val="Normal"/>
    <w:next w:val="Normal"/>
    <w:link w:val="IntenseQuoteChar"/>
    <w:uiPriority w:val="30"/>
    <w:qFormat/>
    <w:rsid w:val="001B1A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A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1A06"/>
    <w:rPr>
      <w:smallCaps/>
      <w:color w:val="auto"/>
      <w:u w:val="single"/>
    </w:rPr>
  </w:style>
  <w:style w:type="character" w:styleId="IntenseReference">
    <w:name w:val="Intense Reference"/>
    <w:basedOn w:val="DefaultParagraphFont"/>
    <w:uiPriority w:val="32"/>
    <w:qFormat/>
    <w:rsid w:val="001B1A06"/>
    <w:rPr>
      <w:b/>
      <w:bCs/>
      <w:smallCaps/>
      <w:color w:val="auto"/>
      <w:spacing w:val="5"/>
      <w:u w:val="single"/>
    </w:rPr>
  </w:style>
  <w:style w:type="paragraph" w:customStyle="1" w:styleId="2ColumnHeading">
    <w:name w:val="2Column Heading"/>
    <w:basedOn w:val="BodyText"/>
    <w:qFormat/>
    <w:rsid w:val="001B1A06"/>
    <w:pPr>
      <w:spacing w:after="60"/>
      <w:ind w:left="-2268"/>
    </w:pPr>
    <w:rPr>
      <w:b/>
    </w:rPr>
  </w:style>
  <w:style w:type="paragraph" w:customStyle="1" w:styleId="Heading1TOC">
    <w:name w:val="Heading1 TOC"/>
    <w:basedOn w:val="Normal"/>
    <w:qFormat/>
    <w:rsid w:val="001B1A06"/>
    <w:pPr>
      <w:spacing w:before="240" w:after="120"/>
    </w:pPr>
    <w:rPr>
      <w:rFonts w:ascii="Times New Roman" w:hAnsi="Times New Roman"/>
      <w:b/>
      <w:sz w:val="32"/>
    </w:rPr>
  </w:style>
  <w:style w:type="paragraph" w:customStyle="1" w:styleId="Heading2TOC">
    <w:name w:val="Heading2 TOC"/>
    <w:basedOn w:val="Normal"/>
    <w:qFormat/>
    <w:rsid w:val="001B1A06"/>
    <w:pPr>
      <w:spacing w:before="240" w:after="60"/>
    </w:pPr>
    <w:rPr>
      <w:rFonts w:ascii="Times New Roman" w:hAnsi="Times New Roman"/>
      <w:b/>
      <w:sz w:val="28"/>
    </w:rPr>
  </w:style>
  <w:style w:type="character" w:customStyle="1" w:styleId="Underline">
    <w:name w:val="Underline"/>
    <w:basedOn w:val="DefaultParagraphFont"/>
    <w:qFormat/>
    <w:rsid w:val="001B1A06"/>
    <w:rPr>
      <w:u w:val="single"/>
    </w:rPr>
  </w:style>
  <w:style w:type="character" w:customStyle="1" w:styleId="BoldandItalics">
    <w:name w:val="Bold and Italics"/>
    <w:qFormat/>
    <w:rsid w:val="001B1A06"/>
    <w:rPr>
      <w:b/>
      <w:i/>
      <w:u w:val="none"/>
    </w:rPr>
  </w:style>
  <w:style w:type="paragraph" w:styleId="BalloonText">
    <w:name w:val="Balloon Text"/>
    <w:basedOn w:val="Normal"/>
    <w:link w:val="BalloonTextChar"/>
    <w:rsid w:val="001B1A06"/>
    <w:rPr>
      <w:rFonts w:ascii="Tahoma" w:hAnsi="Tahoma" w:cs="Tahoma"/>
      <w:sz w:val="16"/>
      <w:szCs w:val="16"/>
    </w:rPr>
  </w:style>
  <w:style w:type="character" w:customStyle="1" w:styleId="BalloonTextChar">
    <w:name w:val="Balloon Text Char"/>
    <w:basedOn w:val="DefaultParagraphFont"/>
    <w:link w:val="BalloonText"/>
    <w:rsid w:val="001B1A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1A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1A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1A06"/>
    <w:rPr>
      <w:b/>
      <w:color w:val="660033"/>
      <w:spacing w:val="0"/>
    </w:rPr>
  </w:style>
  <w:style w:type="paragraph" w:customStyle="1" w:styleId="Nameditemlist">
    <w:name w:val="Named item list"/>
    <w:basedOn w:val="BodyText"/>
    <w:qFormat/>
    <w:rsid w:val="001B1A06"/>
    <w:pPr>
      <w:tabs>
        <w:tab w:val="left" w:pos="2835"/>
      </w:tabs>
      <w:ind w:left="2835" w:hanging="2835"/>
    </w:pPr>
  </w:style>
  <w:style w:type="paragraph" w:customStyle="1" w:styleId="BodyTextnopadding">
    <w:name w:val="Body Text no padding"/>
    <w:basedOn w:val="BodyText"/>
    <w:qFormat/>
    <w:rsid w:val="001B1A06"/>
    <w:pPr>
      <w:spacing w:before="0" w:after="0"/>
    </w:pPr>
  </w:style>
  <w:style w:type="paragraph" w:customStyle="1" w:styleId="BodyTextBold">
    <w:name w:val="Body Text Bold"/>
    <w:basedOn w:val="BodyText"/>
    <w:qFormat/>
    <w:rsid w:val="001B1A06"/>
    <w:rPr>
      <w:b/>
    </w:rPr>
  </w:style>
  <w:style w:type="character" w:styleId="Hyperlink">
    <w:name w:val="Hyperlink"/>
    <w:basedOn w:val="DefaultParagraphFont"/>
    <w:uiPriority w:val="99"/>
    <w:unhideWhenUsed/>
    <w:rsid w:val="00393F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884</Words>
  <Characters>5681</Characters>
  <Application>Microsoft Office Word</Application>
  <DocSecurity>0</DocSecurity>
  <Lines>149</Lines>
  <Paragraphs>105</Paragraphs>
  <ScaleCrop>false</ScaleCrop>
  <Company>Author-it Software Corporation Ltd.</Company>
  <LinksUpToDate>false</LinksUpToDate>
  <CharactersWithSpaces>6460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RIIBLA401D Manage blasting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2020-07-08T07:23:00Z</dcterms:created>
  <dcterms:modified xsi:type="dcterms:W3CDTF">2020-07-08T07:23:00Z</dcterms:modified>
</cp:coreProperties>
</file>