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5AB" w:rsidP="00A265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RIIBLA306D Conduct accretion firing</w:t>
      </w:r>
      <w:r>
        <w:fldChar w:fldCharType="end"/>
      </w:r>
    </w:p>
    <w:p w:rsidR="00A265AB" w:rsidP="00A265AB">
      <w:pPr>
        <w:pStyle w:val="Version"/>
        <w:sectPr w:rsidSect="00C600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0012" w:rsidP="00C60012">
      <w:pPr>
        <w:pStyle w:val="SuperHeading"/>
      </w:pPr>
      <w:r w:rsidRPr="00C60012">
        <w:t>Assessment Requirements for RIIBLA306D Conduct accretion firing</w:t>
      </w:r>
    </w:p>
    <w:p w:rsidR="00000000" w:rsidRPr="00C60012" w:rsidP="00C60012">
      <w:pPr>
        <w:pStyle w:val="Heading1"/>
      </w:pPr>
      <w:bookmarkStart w:id="1" w:name="O_674051"/>
      <w:bookmarkEnd w:id="1"/>
      <w:r w:rsidRPr="00C6001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A265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7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012">
            <w:pPr>
              <w:pStyle w:val="Heading4"/>
              <w:rPr>
                <w:lang w:val="en-NZ"/>
              </w:rPr>
            </w:pPr>
            <w:r w:rsidRPr="00C6001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012">
            <w:pPr>
              <w:pStyle w:val="Heading4"/>
              <w:rPr>
                <w:lang w:val="en-NZ"/>
              </w:rPr>
            </w:pPr>
            <w:r w:rsidRPr="00C60012">
              <w:t>Comment</w:t>
            </w:r>
          </w:p>
        </w:tc>
      </w:tr>
      <w:tr w:rsidTr="00A265A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012">
            <w:pPr>
              <w:pStyle w:val="BodyText"/>
              <w:rPr>
                <w:lang w:val="en-NZ"/>
              </w:rPr>
            </w:pPr>
            <w:r w:rsidRPr="00C6001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012">
            <w:pPr>
              <w:pStyle w:val="BodyText"/>
              <w:rPr>
                <w:lang w:val="en-NZ"/>
              </w:rPr>
            </w:pPr>
            <w:r w:rsidRPr="00C60012">
              <w:t>This unit replaces RIIBLA306A Conduct accretion firing</w:t>
            </w:r>
          </w:p>
        </w:tc>
      </w:tr>
      <w:tr w:rsidTr="00A265A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0012">
            <w:pPr>
              <w:pStyle w:val="BodyText"/>
              <w:rPr>
                <w:lang w:val="en-NZ"/>
              </w:rPr>
            </w:pPr>
            <w:r w:rsidRPr="00C6001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0012" w:rsidP="00C60012">
            <w:pPr>
              <w:pStyle w:val="BodyText"/>
            </w:pPr>
            <w:r w:rsidRPr="00C60012">
              <w:t>Required frequency and volume of evidence amended in Performance evidence.</w:t>
            </w:r>
          </w:p>
          <w:p w:rsidR="00000000" w:rsidRPr="00C60012" w:rsidP="00C60012">
            <w:pPr>
              <w:pStyle w:val="BodyText"/>
            </w:pPr>
            <w:r w:rsidRPr="00C60012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60012" w:rsidP="00C60012">
      <w:pPr>
        <w:pStyle w:val="BodyText"/>
      </w:pPr>
    </w:p>
    <w:p w:rsidR="00000000" w:rsidRPr="00C60012" w:rsidP="00C60012">
      <w:pPr>
        <w:pStyle w:val="AllowPageBreak"/>
      </w:pPr>
    </w:p>
    <w:p w:rsidR="00000000" w:rsidRPr="00C60012" w:rsidP="00C60012">
      <w:pPr>
        <w:pStyle w:val="Heading1"/>
      </w:pPr>
      <w:bookmarkStart w:id="2" w:name="O_674050"/>
      <w:bookmarkEnd w:id="2"/>
      <w:r w:rsidRPr="00C60012">
        <w:t>Performance Evidence</w:t>
      </w:r>
    </w:p>
    <w:p w:rsidR="00000000" w:rsidRPr="00C60012" w:rsidP="00A265AB">
      <w:pPr>
        <w:pStyle w:val="BodyText"/>
      </w:pPr>
      <w:r w:rsidRPr="00C60012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C60012">
        <w:t>f this unit and include evidence that the candidate:</w:t>
      </w:r>
    </w:p>
    <w:p w:rsidR="00000000" w:rsidRPr="00C60012" w:rsidP="00C60012">
      <w:pPr>
        <w:pStyle w:val="ListBullet"/>
      </w:pPr>
      <w:r w:rsidRPr="00C60012">
        <w:t>locates and applies relevant site documentation, policies and procedures</w:t>
      </w:r>
    </w:p>
    <w:p w:rsidR="00000000" w:rsidRPr="00C60012" w:rsidP="00C60012">
      <w:pPr>
        <w:pStyle w:val="ListBullet"/>
      </w:pPr>
      <w:r w:rsidRPr="00C60012">
        <w:t xml:space="preserve">works effectively with others to undertake and complete accretion firing that meets all of the required outcomes including; </w:t>
      </w:r>
    </w:p>
    <w:p w:rsidR="00000000" w:rsidRPr="00C60012" w:rsidP="00C60012">
      <w:pPr>
        <w:pStyle w:val="ListBullet2"/>
      </w:pPr>
      <w:r w:rsidRPr="00C60012">
        <w:t>com</w:t>
      </w:r>
      <w:r w:rsidRPr="00C60012">
        <w:t>plying with written and verbal reporting requirements and procedures</w:t>
      </w:r>
    </w:p>
    <w:p w:rsidR="00000000" w:rsidRPr="00C60012" w:rsidP="00C60012">
      <w:pPr>
        <w:pStyle w:val="ListBullet2"/>
      </w:pPr>
      <w:r w:rsidRPr="00C60012">
        <w:t>communicating clearly and concisely with others to receive and clarify work instructions</w:t>
      </w:r>
    </w:p>
    <w:p w:rsidR="00000000" w:rsidRPr="00C60012" w:rsidP="00C60012">
      <w:pPr>
        <w:pStyle w:val="ListBullet2"/>
      </w:pPr>
      <w:r w:rsidRPr="00C60012">
        <w:t>communicating clearly and concisely with others to resolve coordination</w:t>
      </w:r>
      <w:r w:rsidRPr="00C60012">
        <w:t xml:space="preserve"> requirements prior to commencing and during work activities</w:t>
      </w:r>
    </w:p>
    <w:p w:rsidR="00000000" w:rsidRPr="00C60012" w:rsidP="00C60012">
      <w:pPr>
        <w:pStyle w:val="ListBullet"/>
      </w:pPr>
      <w:r w:rsidRPr="00C60012">
        <w:t>demonstrates completion of conducting accretion firing that safely, effectively and efficiently meets all of the required outcomes on more than one (1) occasion including:</w:t>
      </w:r>
    </w:p>
    <w:p w:rsidR="00000000" w:rsidRPr="00C60012" w:rsidP="00C60012">
      <w:pPr>
        <w:pStyle w:val="ListBullet2"/>
      </w:pPr>
      <w:r w:rsidRPr="00C60012">
        <w:t>planning and preparin</w:t>
      </w:r>
      <w:r w:rsidRPr="00C60012">
        <w:t>g for shot firing</w:t>
      </w:r>
    </w:p>
    <w:p w:rsidR="00000000" w:rsidRPr="00C60012" w:rsidP="00C60012">
      <w:pPr>
        <w:pStyle w:val="ListBullet2"/>
      </w:pPr>
      <w:r w:rsidRPr="00C60012">
        <w:t>supervising the storage and transport of explosives and accessories</w:t>
      </w:r>
    </w:p>
    <w:p w:rsidR="00000000" w:rsidRPr="00C60012" w:rsidP="00C60012">
      <w:pPr>
        <w:pStyle w:val="ListBullet2"/>
      </w:pPr>
      <w:r w:rsidRPr="00C60012">
        <w:t>preparing for charging and charge holes</w:t>
      </w:r>
    </w:p>
    <w:p w:rsidR="00000000" w:rsidRPr="00C60012" w:rsidP="00C60012">
      <w:pPr>
        <w:pStyle w:val="ListBullet2"/>
      </w:pPr>
      <w:r w:rsidRPr="00C60012">
        <w:t>conducting the blast</w:t>
      </w:r>
    </w:p>
    <w:p w:rsidR="00000000" w:rsidRPr="00C60012" w:rsidP="00C60012">
      <w:pPr>
        <w:pStyle w:val="ListBullet2"/>
      </w:pPr>
      <w:r w:rsidRPr="00C60012">
        <w:t>completing post-blast activities</w:t>
      </w:r>
    </w:p>
    <w:p w:rsidR="00000000" w:rsidRPr="00C60012" w:rsidP="00C60012">
      <w:pPr>
        <w:pStyle w:val="ListBullet2"/>
      </w:pPr>
      <w:r w:rsidRPr="00C60012">
        <w:t>carrying out housekeeping activities</w:t>
      </w:r>
    </w:p>
    <w:p w:rsidR="00000000" w:rsidRPr="00C60012" w:rsidP="00C60012">
      <w:pPr>
        <w:pStyle w:val="AllowPageBreak"/>
      </w:pPr>
    </w:p>
    <w:p w:rsidR="00000000" w:rsidRPr="00C60012" w:rsidP="00C60012">
      <w:pPr>
        <w:pStyle w:val="Heading1"/>
      </w:pPr>
      <w:bookmarkStart w:id="3" w:name="O_674049"/>
      <w:bookmarkEnd w:id="3"/>
      <w:r w:rsidRPr="00C60012">
        <w:t>Knowledge Evidence</w:t>
      </w:r>
    </w:p>
    <w:p w:rsidR="00000000" w:rsidRPr="00C60012" w:rsidP="00A265AB">
      <w:pPr>
        <w:pStyle w:val="BodyText"/>
      </w:pPr>
      <w:r w:rsidRPr="00C60012">
        <w:t>The</w:t>
      </w:r>
      <w:r w:rsidRPr="00C60012">
        <w:t xml:space="preserve"> candidate must demonstrate knowledge of the following when conducting accretion firing through:</w:t>
      </w:r>
    </w:p>
    <w:p w:rsidR="00000000" w:rsidRPr="00C60012" w:rsidP="00C60012">
      <w:pPr>
        <w:pStyle w:val="ListBullet"/>
      </w:pPr>
      <w:r w:rsidRPr="00C60012">
        <w:t>site procedures</w:t>
      </w:r>
    </w:p>
    <w:p w:rsidR="00000000" w:rsidRPr="00C60012" w:rsidP="00C60012">
      <w:pPr>
        <w:pStyle w:val="ListBullet"/>
      </w:pPr>
      <w:r w:rsidRPr="00C60012">
        <w:t>explosives legislation</w:t>
      </w:r>
    </w:p>
    <w:p w:rsidR="00000000" w:rsidRPr="00C60012" w:rsidP="00C60012">
      <w:pPr>
        <w:pStyle w:val="ListBullet"/>
      </w:pPr>
      <w:r w:rsidRPr="00C60012">
        <w:t>emergency procedures/environmental procedures</w:t>
      </w:r>
    </w:p>
    <w:p w:rsidR="00000000" w:rsidRPr="00C60012" w:rsidP="00C60012">
      <w:pPr>
        <w:pStyle w:val="ListBullet"/>
      </w:pPr>
      <w:r w:rsidRPr="00C60012">
        <w:t>equipment purpose, technical capability and limitations</w:t>
      </w:r>
    </w:p>
    <w:p w:rsidR="00000000" w:rsidRPr="00C60012" w:rsidP="00C60012">
      <w:pPr>
        <w:pStyle w:val="ListBullet"/>
      </w:pPr>
      <w:r w:rsidRPr="00C60012">
        <w:t>safety requirements</w:t>
      </w:r>
    </w:p>
    <w:p w:rsidR="00000000" w:rsidRPr="00C60012" w:rsidP="00C60012">
      <w:pPr>
        <w:pStyle w:val="ListBullet"/>
      </w:pPr>
      <w:r w:rsidRPr="00C60012">
        <w:t>accretion/effects of accretion</w:t>
      </w:r>
    </w:p>
    <w:p w:rsidR="00000000" w:rsidRPr="00C60012" w:rsidP="00C60012">
      <w:pPr>
        <w:pStyle w:val="ListBullet"/>
      </w:pPr>
      <w:r w:rsidRPr="00C60012">
        <w:t>hazardous goods procedures (handling and transport)</w:t>
      </w:r>
    </w:p>
    <w:p w:rsidR="00000000" w:rsidRPr="00C60012" w:rsidP="00C60012">
      <w:pPr>
        <w:pStyle w:val="ListBullet"/>
      </w:pPr>
      <w:r w:rsidRPr="00C60012">
        <w:t>blast area security</w:t>
      </w:r>
    </w:p>
    <w:p w:rsidR="00000000" w:rsidRPr="00C60012" w:rsidP="00C60012">
      <w:pPr>
        <w:pStyle w:val="ListBullet"/>
      </w:pPr>
      <w:r w:rsidRPr="00C60012">
        <w:t>risk management including application of appropriate controls to identified risks</w:t>
      </w:r>
    </w:p>
    <w:p w:rsidR="00000000" w:rsidRPr="00C60012" w:rsidP="00C60012">
      <w:pPr>
        <w:pStyle w:val="ListBullet"/>
      </w:pPr>
      <w:r w:rsidRPr="00C60012">
        <w:t>start-up and shutdown procedures</w:t>
      </w:r>
    </w:p>
    <w:p w:rsidR="00000000" w:rsidRPr="00C60012" w:rsidP="00C60012">
      <w:pPr>
        <w:pStyle w:val="ListBullet"/>
      </w:pPr>
      <w:r w:rsidRPr="00C60012">
        <w:t>explosives storage</w:t>
      </w:r>
      <w:r w:rsidRPr="00C60012">
        <w:t xml:space="preserve"> procedures</w:t>
      </w:r>
    </w:p>
    <w:p w:rsidR="00000000" w:rsidRPr="00C60012" w:rsidP="00C60012">
      <w:pPr>
        <w:pStyle w:val="ListBullet"/>
      </w:pPr>
      <w:r w:rsidRPr="00C60012">
        <w:t>types and characteristics of blasting agents, explosives and initiation systems</w:t>
      </w:r>
    </w:p>
    <w:p w:rsidR="00000000" w:rsidRPr="00C60012" w:rsidP="00C60012">
      <w:pPr>
        <w:pStyle w:val="AllowPageBreak"/>
      </w:pPr>
    </w:p>
    <w:p w:rsidR="00000000" w:rsidRPr="00C60012" w:rsidP="00C60012">
      <w:pPr>
        <w:pStyle w:val="Heading1"/>
      </w:pPr>
      <w:bookmarkStart w:id="4" w:name="O_674048"/>
      <w:bookmarkEnd w:id="4"/>
      <w:r w:rsidRPr="00C60012">
        <w:t>Assessment Conditions</w:t>
      </w:r>
    </w:p>
    <w:p w:rsidR="00000000" w:rsidRPr="00C60012" w:rsidP="00C60012">
      <w:pPr>
        <w:pStyle w:val="ListBullet"/>
      </w:pPr>
      <w:r w:rsidRPr="00C60012">
        <w:t>An assessor of this unit must satisfy the requirements of the NVR/AQTF or their successors; and Industry regulations for cer</w:t>
      </w:r>
      <w:r w:rsidRPr="00C60012">
        <w:t xml:space="preserve">tification and licensing: and, </w:t>
      </w:r>
    </w:p>
    <w:p w:rsidR="00000000" w:rsidRPr="00C60012" w:rsidP="00C60012">
      <w:pPr>
        <w:pStyle w:val="ListBullet"/>
      </w:pPr>
      <w:r w:rsidRPr="00C60012">
        <w:t>this unit is best assessed in the context of this sector’s work environment;</w:t>
      </w:r>
    </w:p>
    <w:p w:rsidR="00000000" w:rsidRPr="00C60012" w:rsidP="00C60012">
      <w:pPr>
        <w:pStyle w:val="ListBullet"/>
      </w:pPr>
      <w:r w:rsidRPr="00C60012">
        <w:t>where personal safety or environmental damage are limiting factors, assessment may occur in a simulated environment provided it is realistic and su</w:t>
      </w:r>
      <w:r w:rsidRPr="00C60012">
        <w:t>fficiently rigorous to cover all aspects of this sector’s workplace performance, including environment, task skills, task management skills, contingency management skills and job role environment skills; and,</w:t>
      </w:r>
    </w:p>
    <w:p w:rsidR="00000000" w:rsidRPr="00C60012" w:rsidP="00C60012">
      <w:pPr>
        <w:pStyle w:val="ListBullet"/>
      </w:pPr>
      <w:r w:rsidRPr="00C60012">
        <w:t>this unit must be assessed in compliance with r</w:t>
      </w:r>
      <w:r w:rsidRPr="00C60012">
        <w:t>elevant legislation/regulation and using policies, procedures, processes and operational manuals directly related to the industry sector for which it is being assessed; and,</w:t>
      </w:r>
    </w:p>
    <w:p w:rsidR="00000000" w:rsidRPr="00C60012" w:rsidP="00C60012">
      <w:pPr>
        <w:pStyle w:val="ListBullet"/>
      </w:pPr>
      <w:r w:rsidRPr="00C60012">
        <w:t>assessment may be conducted in conjunction with the assessment of other Units of C</w:t>
      </w:r>
      <w:r w:rsidRPr="00C60012">
        <w:t>ompetency; and,</w:t>
      </w:r>
    </w:p>
    <w:p w:rsidR="00000000" w:rsidRPr="00C60012" w:rsidP="00C60012">
      <w:pPr>
        <w:pStyle w:val="ListBullet"/>
      </w:pPr>
      <w:r w:rsidRPr="00C60012">
        <w:t>assessment must confirm consistent performance can be applied in a range of relevant workplace circumstances; and,</w:t>
      </w:r>
    </w:p>
    <w:p w:rsidR="00000000" w:rsidRPr="00C60012" w:rsidP="00C60012">
      <w:pPr>
        <w:pStyle w:val="ListBullet"/>
      </w:pPr>
      <w:r w:rsidRPr="00C60012">
        <w:t>assessors must demonstrate the performance evidence, and knowledge evidence as outlined in this Unit of Competency, and throu</w:t>
      </w:r>
      <w:r w:rsidRPr="00C60012">
        <w:t>gh the minimum years of current* work experience specified below in an Industry sector relevant to the outcomes of the unit; or,</w:t>
      </w:r>
    </w:p>
    <w:p w:rsidR="00000000" w:rsidRPr="00C60012" w:rsidP="00C60012">
      <w:pPr>
        <w:pStyle w:val="ListBullet"/>
      </w:pPr>
      <w:r w:rsidRPr="00C60012">
        <w:t>where the assessor does not meet experience requirements a co-assessment or partnership arrangement must exist between the qual</w:t>
      </w:r>
      <w:r w:rsidRPr="00C60012">
        <w:t>ified assessor and an Industry subject matter expert. The Industry subject matter expert should hold the unit being assessed (or an equivalent unit) and/or demonstrate equivalence of skills and knowledge at the unit level. An Industry technical expert must</w:t>
      </w:r>
      <w:r w:rsidRPr="00C60012">
        <w:t xml:space="preserve"> also demonstrate skills and knowledge from the minimum years of current work experience specified below in the Industry sector, including time spent in roles related to the unit being assessed; and,</w:t>
      </w:r>
    </w:p>
    <w:p w:rsidR="00000000" w:rsidRPr="00C60012" w:rsidP="00C60012">
      <w:pPr>
        <w:pStyle w:val="ListBullet"/>
      </w:pPr>
      <w:r w:rsidRPr="00C60012">
        <w:t>assessor and Industry subject matter expert requirements</w:t>
      </w:r>
      <w:r w:rsidRPr="00C60012">
        <w:t xml:space="preserve"> differ depending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C6001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012">
            <w:pPr>
              <w:pStyle w:val="Heading4"/>
              <w:rPr>
                <w:lang w:val="en-NZ"/>
              </w:rPr>
            </w:pPr>
            <w:r w:rsidRPr="00C6001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012">
            <w:pPr>
              <w:pStyle w:val="Heading4"/>
              <w:rPr>
                <w:lang w:val="en-NZ"/>
              </w:rPr>
            </w:pPr>
            <w:r w:rsidRPr="00C6001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012">
            <w:pPr>
              <w:pStyle w:val="Heading4"/>
              <w:rPr>
                <w:lang w:val="en-NZ"/>
              </w:rPr>
            </w:pPr>
            <w:r w:rsidRPr="00C60012">
              <w:t>Required assessor or Industry subject matter expert experience</w:t>
            </w:r>
          </w:p>
        </w:tc>
      </w:tr>
      <w:tr w:rsidTr="00C6001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012">
            <w:pPr>
              <w:pStyle w:val="BodyText"/>
              <w:rPr>
                <w:lang w:val="en-NZ"/>
              </w:rPr>
            </w:pPr>
            <w:r w:rsidRPr="00C60012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012">
            <w:pPr>
              <w:pStyle w:val="BodyText"/>
              <w:rPr>
                <w:lang w:val="en-NZ"/>
              </w:rPr>
            </w:pPr>
            <w:r w:rsidRPr="00C6001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012">
            <w:pPr>
              <w:pStyle w:val="BodyText"/>
              <w:rPr>
                <w:lang w:val="en-NZ"/>
              </w:rPr>
            </w:pPr>
            <w:r w:rsidRPr="00C60012">
              <w:t>1 Year</w:t>
            </w:r>
          </w:p>
        </w:tc>
      </w:tr>
      <w:tr w:rsidTr="00C6001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012">
            <w:pPr>
              <w:pStyle w:val="BodyText"/>
              <w:rPr>
                <w:lang w:val="en-NZ"/>
              </w:rPr>
            </w:pPr>
            <w:r w:rsidRPr="00C6001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012">
            <w:pPr>
              <w:pStyle w:val="BodyText"/>
              <w:rPr>
                <w:lang w:val="en-NZ"/>
              </w:rPr>
            </w:pPr>
            <w:r w:rsidRPr="00C60012">
              <w:t>2 Years</w:t>
            </w:r>
          </w:p>
        </w:tc>
      </w:tr>
      <w:tr w:rsidTr="00C6001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012">
            <w:pPr>
              <w:pStyle w:val="BodyText"/>
              <w:rPr>
                <w:lang w:val="en-NZ"/>
              </w:rPr>
            </w:pPr>
            <w:r w:rsidRPr="00C6001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012">
            <w:pPr>
              <w:pStyle w:val="BodyText"/>
              <w:rPr>
                <w:lang w:val="en-NZ"/>
              </w:rPr>
            </w:pPr>
            <w:r w:rsidRPr="00C6001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012">
            <w:pPr>
              <w:pStyle w:val="BodyText"/>
              <w:rPr>
                <w:lang w:val="en-NZ"/>
              </w:rPr>
            </w:pPr>
            <w:r w:rsidRPr="00C60012">
              <w:t>3 Years</w:t>
            </w:r>
          </w:p>
        </w:tc>
      </w:tr>
      <w:tr w:rsidTr="00C6001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012">
            <w:pPr>
              <w:pStyle w:val="BodyText"/>
              <w:rPr>
                <w:lang w:val="en-NZ"/>
              </w:rPr>
            </w:pPr>
            <w:r w:rsidRPr="00C6001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012">
            <w:pPr>
              <w:pStyle w:val="BodyText"/>
              <w:rPr>
                <w:lang w:val="en-NZ"/>
              </w:rPr>
            </w:pPr>
            <w:r w:rsidRPr="00C6001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012">
            <w:pPr>
              <w:pStyle w:val="BodyText"/>
              <w:rPr>
                <w:lang w:val="en-NZ"/>
              </w:rPr>
            </w:pPr>
            <w:r w:rsidRPr="00C60012">
              <w:t>5 Years</w:t>
            </w:r>
          </w:p>
        </w:tc>
      </w:tr>
      <w:tr w:rsidTr="00C6001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60012">
            <w:pPr>
              <w:pStyle w:val="BodyText"/>
              <w:rPr>
                <w:lang w:val="en-NZ"/>
              </w:rPr>
            </w:pPr>
            <w:r w:rsidRPr="00C6001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60012" w:rsidP="00C60012">
            <w:pPr>
              <w:pStyle w:val="BodyText"/>
            </w:pPr>
            <w:r w:rsidRPr="00C60012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C60012">
              <w:t>ndard is specified should comply with any relevant regulation.</w:t>
            </w:r>
          </w:p>
        </w:tc>
      </w:tr>
    </w:tbl>
    <w:p w:rsidR="00000000" w:rsidRPr="00C60012" w:rsidP="00A265AB">
      <w:pPr>
        <w:pStyle w:val="BodyText"/>
      </w:pPr>
      <w:r w:rsidRPr="00C60012">
        <w:t xml:space="preserve">*Assessors can demonstrate current work experience through employment within Industry in a role relevant to the outcomes of the Unit; or, for external </w:t>
      </w:r>
      <w:r w:rsidRPr="00C60012">
        <w:t>assessors this can be demonstrated through exposure to Industry by conducting frequent site assessments across various locations.</w:t>
      </w:r>
    </w:p>
    <w:p w:rsidR="00000000" w:rsidRPr="00C60012" w:rsidP="00A265AB">
      <w:pPr>
        <w:pStyle w:val="BodyText"/>
      </w:pPr>
      <w:r w:rsidRPr="00C60012">
        <w:t>**Where a unit is being delivered outside of a Qualification the first numeric character in the Unit code should be considered</w:t>
      </w:r>
      <w:r w:rsidRPr="00C60012">
        <w:t xml:space="preserve"> to indicate the AQF level</w:t>
      </w:r>
    </w:p>
    <w:p w:rsidR="00000000" w:rsidRPr="00C60012" w:rsidP="00C60012">
      <w:pPr>
        <w:pStyle w:val="Heading1"/>
      </w:pPr>
      <w:bookmarkStart w:id="5" w:name="O_674060"/>
      <w:bookmarkEnd w:id="5"/>
      <w:r w:rsidRPr="00C60012">
        <w:t>Links</w:t>
      </w:r>
    </w:p>
    <w:p w:rsidR="00000000" w:rsidRPr="00C60012" w:rsidP="00A265AB">
      <w:pPr>
        <w:pStyle w:val="BodyText"/>
      </w:pPr>
      <w:r w:rsidRPr="00C600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57A1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60012" w:rsidP="00C60012"/>
    <w:sectPr w:rsidSect="00C6001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0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012" w:rsidRPr="00A265AB" w:rsidP="00A265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0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AB" w:rsidP="00C600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65AB" w:rsidP="00C600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265AB" w:rsidP="00C600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0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0012" w:rsidRPr="00A265AB" w:rsidP="00A265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00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AB" w:rsidRPr="002D2AF8" w:rsidP="00C600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RIIBLA306D Conduct accretion firing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A265AB" w:rsidP="00C600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D2AC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EE8A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D405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0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00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00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00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00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00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00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00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00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00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00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0012"/>
  </w:style>
  <w:style w:type="character" w:customStyle="1" w:styleId="Heading1Char">
    <w:name w:val="Heading 1 Char"/>
    <w:basedOn w:val="DefaultParagraphFont"/>
    <w:link w:val="Heading1"/>
    <w:rsid w:val="00C600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001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600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00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001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600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600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00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00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00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00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00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00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00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00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00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00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00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00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00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00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00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00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00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00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00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00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0012"/>
    <w:rPr>
      <w:b/>
      <w:spacing w:val="0"/>
    </w:rPr>
  </w:style>
  <w:style w:type="paragraph" w:customStyle="1" w:styleId="SuperTitle">
    <w:name w:val="SuperTitle"/>
    <w:basedOn w:val="Title"/>
    <w:rsid w:val="00C600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00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00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600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00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00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00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00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00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00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00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00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0012"/>
    <w:rPr>
      <w:i/>
    </w:rPr>
  </w:style>
  <w:style w:type="paragraph" w:styleId="Caption">
    <w:name w:val="caption"/>
    <w:basedOn w:val="BodyText"/>
    <w:next w:val="Normal"/>
    <w:qFormat/>
    <w:rsid w:val="00C600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00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00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0012"/>
  </w:style>
  <w:style w:type="paragraph" w:styleId="TableofFigures">
    <w:name w:val="table of figures"/>
    <w:basedOn w:val="Normal"/>
    <w:next w:val="Normal"/>
    <w:semiHidden/>
    <w:rsid w:val="00C600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00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60012"/>
    <w:rPr>
      <w:rFonts w:ascii="Wingdings" w:hAnsi="Wingdings"/>
    </w:rPr>
  </w:style>
  <w:style w:type="paragraph" w:customStyle="1" w:styleId="TableHeading">
    <w:name w:val="Table Heading"/>
    <w:basedOn w:val="HeadingBase"/>
    <w:rsid w:val="00C600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0012"/>
    <w:rPr>
      <w:color w:val="0033CC"/>
      <w:u w:val="none"/>
    </w:rPr>
  </w:style>
  <w:style w:type="paragraph" w:customStyle="1" w:styleId="BodyTextRight">
    <w:name w:val="Body Text Right"/>
    <w:basedOn w:val="BodyText"/>
    <w:rsid w:val="00C600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00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00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00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00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00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0012"/>
    <w:rPr>
      <w:sz w:val="32"/>
    </w:rPr>
  </w:style>
  <w:style w:type="paragraph" w:customStyle="1" w:styleId="HeadingProcedure">
    <w:name w:val="Heading Procedure"/>
    <w:basedOn w:val="HeadingBase"/>
    <w:next w:val="Normal"/>
    <w:rsid w:val="00C600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0012"/>
    <w:pPr>
      <w:spacing w:before="60" w:after="60"/>
    </w:pPr>
  </w:style>
  <w:style w:type="paragraph" w:styleId="ListContinue">
    <w:name w:val="List Continue"/>
    <w:basedOn w:val="List"/>
    <w:rsid w:val="00C60012"/>
    <w:pPr>
      <w:ind w:firstLine="0"/>
    </w:pPr>
  </w:style>
  <w:style w:type="paragraph" w:customStyle="1" w:styleId="ListNote">
    <w:name w:val="List Note"/>
    <w:basedOn w:val="List"/>
    <w:rsid w:val="00C600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00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00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0012"/>
    <w:rPr>
      <w:rFonts w:ascii="Courier New" w:hAnsi="Courier New"/>
    </w:rPr>
  </w:style>
  <w:style w:type="paragraph" w:customStyle="1" w:styleId="NoteBullet">
    <w:name w:val="Note Bullet"/>
    <w:basedOn w:val="Note"/>
    <w:rsid w:val="00C600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00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00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00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00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600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00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0012"/>
    <w:rPr>
      <w:b/>
      <w:smallCaps/>
    </w:rPr>
  </w:style>
  <w:style w:type="paragraph" w:customStyle="1" w:styleId="TableListNumber">
    <w:name w:val="Table List Number"/>
    <w:basedOn w:val="ListNumber"/>
    <w:rsid w:val="00C600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00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0012"/>
    <w:pPr>
      <w:numPr>
        <w:numId w:val="9"/>
      </w:numPr>
    </w:pPr>
  </w:style>
  <w:style w:type="paragraph" w:customStyle="1" w:styleId="ListAlpha2">
    <w:name w:val="List Alpha 2"/>
    <w:basedOn w:val="List2"/>
    <w:rsid w:val="00C60012"/>
    <w:pPr>
      <w:numPr>
        <w:numId w:val="8"/>
      </w:numPr>
    </w:pPr>
  </w:style>
  <w:style w:type="paragraph" w:styleId="List2">
    <w:name w:val="List 2"/>
    <w:basedOn w:val="BodyText"/>
    <w:rsid w:val="00C600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00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00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00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00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00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60012"/>
    <w:pPr>
      <w:numPr>
        <w:numId w:val="4"/>
      </w:numPr>
    </w:pPr>
  </w:style>
  <w:style w:type="paragraph" w:styleId="ListContinue2">
    <w:name w:val="List Continue 2"/>
    <w:basedOn w:val="List2"/>
    <w:rsid w:val="00C60012"/>
    <w:pPr>
      <w:ind w:firstLine="0"/>
    </w:pPr>
  </w:style>
  <w:style w:type="paragraph" w:styleId="ListContinue3">
    <w:name w:val="List Continue 3"/>
    <w:basedOn w:val="List3"/>
    <w:rsid w:val="00C60012"/>
    <w:pPr>
      <w:ind w:left="1021" w:firstLine="0"/>
    </w:pPr>
  </w:style>
  <w:style w:type="paragraph" w:styleId="ListContinue4">
    <w:name w:val="List Continue 4"/>
    <w:basedOn w:val="List4"/>
    <w:rsid w:val="00C60012"/>
    <w:pPr>
      <w:ind w:firstLine="0"/>
    </w:pPr>
  </w:style>
  <w:style w:type="paragraph" w:styleId="ListContinue5">
    <w:name w:val="List Continue 5"/>
    <w:basedOn w:val="List5"/>
    <w:rsid w:val="00C60012"/>
    <w:pPr>
      <w:ind w:firstLine="0"/>
    </w:pPr>
  </w:style>
  <w:style w:type="paragraph" w:styleId="ListNumber3">
    <w:name w:val="List Number 3"/>
    <w:basedOn w:val="List3"/>
    <w:rsid w:val="00C60012"/>
    <w:pPr>
      <w:numPr>
        <w:numId w:val="5"/>
      </w:numPr>
    </w:pPr>
  </w:style>
  <w:style w:type="paragraph" w:styleId="ListNumber4">
    <w:name w:val="List Number 4"/>
    <w:basedOn w:val="List4"/>
    <w:rsid w:val="00C60012"/>
    <w:pPr>
      <w:numPr>
        <w:numId w:val="6"/>
      </w:numPr>
    </w:pPr>
  </w:style>
  <w:style w:type="paragraph" w:styleId="ListNumber5">
    <w:name w:val="List Number 5"/>
    <w:basedOn w:val="List5"/>
    <w:rsid w:val="00C60012"/>
    <w:pPr>
      <w:numPr>
        <w:numId w:val="7"/>
      </w:numPr>
    </w:pPr>
  </w:style>
  <w:style w:type="paragraph" w:styleId="BlockText">
    <w:name w:val="Block Text"/>
    <w:basedOn w:val="Normal"/>
    <w:rsid w:val="00C600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00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0012"/>
    <w:rPr>
      <w:sz w:val="16"/>
      <w:vertAlign w:val="superscript"/>
    </w:rPr>
  </w:style>
  <w:style w:type="character" w:customStyle="1" w:styleId="Symbols">
    <w:name w:val="Symbols"/>
    <w:basedOn w:val="DefaultParagraphFont"/>
    <w:rsid w:val="00C60012"/>
    <w:rPr>
      <w:rFonts w:ascii="Symbol" w:hAnsi="Symbol"/>
    </w:rPr>
  </w:style>
  <w:style w:type="character" w:customStyle="1" w:styleId="MenuOptions">
    <w:name w:val="Menu Options"/>
    <w:basedOn w:val="DefaultParagraphFont"/>
    <w:rsid w:val="00C600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0012"/>
    <w:rPr>
      <w:b/>
    </w:rPr>
  </w:style>
  <w:style w:type="character" w:customStyle="1" w:styleId="Underlined">
    <w:name w:val="Underlined"/>
    <w:basedOn w:val="DefaultParagraphFont"/>
    <w:rsid w:val="00C60012"/>
    <w:rPr>
      <w:u w:val="single"/>
    </w:rPr>
  </w:style>
  <w:style w:type="paragraph" w:customStyle="1" w:styleId="TableBodyTextRight">
    <w:name w:val="Table Body Text Right"/>
    <w:basedOn w:val="TableBodyText"/>
    <w:rsid w:val="00C600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0012"/>
    <w:rPr>
      <w:sz w:val="18"/>
    </w:rPr>
  </w:style>
  <w:style w:type="paragraph" w:customStyle="1" w:styleId="BodySmallRight">
    <w:name w:val="Body Small Right"/>
    <w:basedOn w:val="BodyTextRight"/>
    <w:rsid w:val="00C60012"/>
    <w:rPr>
      <w:sz w:val="18"/>
      <w:szCs w:val="18"/>
    </w:rPr>
  </w:style>
  <w:style w:type="paragraph" w:customStyle="1" w:styleId="MarginEdition">
    <w:name w:val="Margin Edition"/>
    <w:basedOn w:val="MarginNote"/>
    <w:rsid w:val="00C600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0012"/>
    <w:rPr>
      <w:sz w:val="2"/>
      <w:szCs w:val="2"/>
    </w:rPr>
  </w:style>
  <w:style w:type="character" w:customStyle="1" w:styleId="Small">
    <w:name w:val="Small"/>
    <w:basedOn w:val="DefaultParagraphFont"/>
    <w:rsid w:val="00C60012"/>
    <w:rPr>
      <w:sz w:val="16"/>
    </w:rPr>
  </w:style>
  <w:style w:type="paragraph" w:customStyle="1" w:styleId="WideTable">
    <w:name w:val="Wide Table"/>
    <w:basedOn w:val="Normal"/>
    <w:rsid w:val="00C600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0012"/>
  </w:style>
  <w:style w:type="paragraph" w:styleId="Quote">
    <w:name w:val="Quote"/>
    <w:basedOn w:val="Heading1"/>
    <w:link w:val="QuoteChar"/>
    <w:qFormat/>
    <w:rsid w:val="00C600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00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0012"/>
    <w:pPr>
      <w:pageBreakBefore/>
    </w:pPr>
  </w:style>
  <w:style w:type="paragraph" w:customStyle="1" w:styleId="Border">
    <w:name w:val="Border"/>
    <w:basedOn w:val="Normal"/>
    <w:qFormat/>
    <w:rsid w:val="00C600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00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00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00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00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00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00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00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00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0012"/>
    <w:rPr>
      <w:u w:val="single"/>
    </w:rPr>
  </w:style>
  <w:style w:type="character" w:customStyle="1" w:styleId="BoldandItalics">
    <w:name w:val="Bold and Italics"/>
    <w:qFormat/>
    <w:rsid w:val="00C60012"/>
    <w:rPr>
      <w:b/>
      <w:i/>
      <w:u w:val="none"/>
    </w:rPr>
  </w:style>
  <w:style w:type="paragraph" w:styleId="BalloonText">
    <w:name w:val="Balloon Text"/>
    <w:basedOn w:val="Normal"/>
    <w:link w:val="BalloonTextChar"/>
    <w:rsid w:val="00C600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00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00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00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00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00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0012"/>
    <w:pPr>
      <w:spacing w:before="0" w:after="0"/>
    </w:pPr>
  </w:style>
  <w:style w:type="paragraph" w:customStyle="1" w:styleId="BodyTextBold">
    <w:name w:val="Body Text Bold"/>
    <w:basedOn w:val="BodyText"/>
    <w:qFormat/>
    <w:rsid w:val="00C60012"/>
    <w:rPr>
      <w:b/>
    </w:rPr>
  </w:style>
  <w:style w:type="character" w:styleId="Hyperlink">
    <w:name w:val="Hyperlink"/>
    <w:basedOn w:val="DefaultParagraphFont"/>
    <w:uiPriority w:val="99"/>
    <w:unhideWhenUsed/>
    <w:rsid w:val="00A265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797</Words>
  <Characters>5062</Characters>
  <Application>Microsoft Office Word</Application>
  <DocSecurity>0</DocSecurity>
  <Lines>129</Lines>
  <Paragraphs>81</Paragraphs>
  <ScaleCrop>false</ScaleCrop>
  <Company>Author-it Software Corporation Ltd.</Company>
  <LinksUpToDate>false</LinksUpToDate>
  <CharactersWithSpaces>5778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RIIBLA306D Conduct accretion firing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2021-01-25T11:07:00Z</dcterms:created>
  <dcterms:modified xsi:type="dcterms:W3CDTF">2021-01-25T11:07:00Z</dcterms:modified>
</cp:coreProperties>
</file>