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581" w:rsidP="00CC25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RIIBLA205D Store, handle and transport explosives</w:t>
      </w:r>
      <w:r>
        <w:fldChar w:fldCharType="end"/>
      </w:r>
    </w:p>
    <w:p w:rsidR="00CC2581" w:rsidP="00CC2581">
      <w:pPr>
        <w:pStyle w:val="Version"/>
        <w:sectPr w:rsidSect="00852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2FE8" w:rsidP="00852FE8">
      <w:pPr>
        <w:pStyle w:val="SuperHeading"/>
      </w:pPr>
      <w:r w:rsidRPr="00852FE8">
        <w:t>Assessment Requirements for RIIBLA205D Store, handle and transport explosives</w:t>
      </w:r>
    </w:p>
    <w:p w:rsidR="00000000" w:rsidRPr="00852FE8" w:rsidP="00852FE8">
      <w:pPr>
        <w:pStyle w:val="Heading1"/>
      </w:pPr>
      <w:bookmarkStart w:id="1" w:name="O_673906"/>
      <w:bookmarkEnd w:id="1"/>
      <w:r w:rsidRPr="00852F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C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FE8">
            <w:pPr>
              <w:pStyle w:val="Heading4"/>
              <w:rPr>
                <w:lang w:val="en-NZ"/>
              </w:rPr>
            </w:pPr>
            <w:r w:rsidRPr="00852FE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FE8">
            <w:pPr>
              <w:pStyle w:val="Heading4"/>
              <w:rPr>
                <w:lang w:val="en-NZ"/>
              </w:rPr>
            </w:pPr>
            <w:r w:rsidRPr="00852FE8">
              <w:t>Comment</w:t>
            </w:r>
          </w:p>
        </w:tc>
      </w:tr>
      <w:tr w:rsidTr="00CC25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This unit replaces RIIBLA205A Store, handle and transport explosives</w:t>
            </w:r>
          </w:p>
        </w:tc>
      </w:tr>
      <w:tr w:rsidTr="00CC25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FE8" w:rsidP="00852FE8">
            <w:pPr>
              <w:pStyle w:val="BodyText"/>
            </w:pPr>
            <w:r w:rsidRPr="00852FE8">
              <w:t>Required frequency and volume of evidence amended in Performance evidence.</w:t>
            </w:r>
          </w:p>
          <w:p w:rsidR="00000000" w:rsidRPr="00852FE8" w:rsidP="00852FE8">
            <w:pPr>
              <w:pStyle w:val="BodyText"/>
            </w:pPr>
            <w:r w:rsidRPr="00852FE8">
              <w:t>Substantial amendments made in Assessment Conditions field, including: references to Industry Sectors, assessor and subject matter expert experience requirements, how assessment sho</w:t>
            </w:r>
            <w:r w:rsidRPr="00852FE8">
              <w:t>uld be conducted and what it should confirm.</w:t>
            </w:r>
          </w:p>
        </w:tc>
      </w:tr>
    </w:tbl>
    <w:p w:rsidR="00000000" w:rsidRPr="00852FE8" w:rsidP="00852FE8">
      <w:pPr>
        <w:pStyle w:val="BodyText"/>
      </w:pPr>
    </w:p>
    <w:p w:rsidR="00000000" w:rsidRPr="00852FE8" w:rsidP="00852FE8">
      <w:pPr>
        <w:pStyle w:val="AllowPageBreak"/>
      </w:pPr>
    </w:p>
    <w:p w:rsidR="00000000" w:rsidRPr="00852FE8" w:rsidP="00852FE8">
      <w:pPr>
        <w:pStyle w:val="Heading1"/>
      </w:pPr>
      <w:bookmarkStart w:id="2" w:name="O_673905"/>
      <w:bookmarkEnd w:id="2"/>
      <w:r w:rsidRPr="00852FE8">
        <w:t>Performance Evidence</w:t>
      </w:r>
    </w:p>
    <w:p w:rsidR="00000000" w:rsidRPr="00852FE8" w:rsidP="00CC2581">
      <w:pPr>
        <w:pStyle w:val="BodyText"/>
      </w:pPr>
      <w:r w:rsidRPr="00852FE8">
        <w:t>Evidence is required to be collected that demonstrates a candidate’s competency in this unit. Evidence must be relevant to the roles within this sector’</w:t>
      </w:r>
      <w:r w:rsidRPr="00852FE8">
        <w:t>s work operations and satisfy all of the requirements of the performance criteria of this unit and include evidence that the candidate:</w:t>
      </w:r>
    </w:p>
    <w:p w:rsidR="00000000" w:rsidRPr="00852FE8" w:rsidP="00852FE8">
      <w:pPr>
        <w:pStyle w:val="ListBullet"/>
      </w:pPr>
      <w:r w:rsidRPr="00852FE8">
        <w:t>locates and applies relevant documentation, policies and procedures</w:t>
      </w:r>
    </w:p>
    <w:p w:rsidR="00000000" w:rsidRPr="00852FE8" w:rsidP="00852FE8">
      <w:pPr>
        <w:pStyle w:val="ListBullet"/>
      </w:pPr>
      <w:r w:rsidRPr="00852FE8">
        <w:t>demonstrates completion of storing, handling and tr</w:t>
      </w:r>
      <w:r w:rsidRPr="00852FE8">
        <w:t>ansporting explosives that safely, effectively and efficiently meets all of the required outcomes on more than one (1) occasion including:</w:t>
      </w:r>
    </w:p>
    <w:p w:rsidR="00000000" w:rsidRPr="00852FE8" w:rsidP="00852FE8">
      <w:pPr>
        <w:pStyle w:val="ListBullet2"/>
      </w:pPr>
      <w:r w:rsidRPr="00852FE8">
        <w:t>planning and preparing to handle and transport explosives</w:t>
      </w:r>
    </w:p>
    <w:p w:rsidR="00000000" w:rsidRPr="00852FE8" w:rsidP="00852FE8">
      <w:pPr>
        <w:pStyle w:val="ListBullet2"/>
      </w:pPr>
      <w:r w:rsidRPr="00852FE8">
        <w:t>receiving and despatching explosives</w:t>
      </w:r>
    </w:p>
    <w:p w:rsidR="00000000" w:rsidRPr="00852FE8" w:rsidP="00852FE8">
      <w:pPr>
        <w:pStyle w:val="ListBullet2"/>
      </w:pPr>
      <w:r w:rsidRPr="00852FE8">
        <w:t>segregating explosives and accessories</w:t>
      </w:r>
    </w:p>
    <w:p w:rsidR="00000000" w:rsidRPr="00852FE8" w:rsidP="00852FE8">
      <w:pPr>
        <w:pStyle w:val="ListBullet2"/>
      </w:pPr>
      <w:r w:rsidRPr="00852FE8">
        <w:t>completing rotation of explosives in magazine</w:t>
      </w:r>
    </w:p>
    <w:p w:rsidR="00000000" w:rsidRPr="00852FE8" w:rsidP="00852FE8">
      <w:pPr>
        <w:pStyle w:val="ListBullet2"/>
      </w:pPr>
      <w:r w:rsidRPr="00852FE8">
        <w:t>maintaining stock records and report discrepancies</w:t>
      </w:r>
    </w:p>
    <w:p w:rsidR="00000000" w:rsidRPr="00852FE8" w:rsidP="00852FE8">
      <w:pPr>
        <w:pStyle w:val="ListBullet2"/>
      </w:pPr>
      <w:r w:rsidRPr="00852FE8">
        <w:t>selecting sufficient quantities of explosives and accessories according to shot plan</w:t>
      </w:r>
    </w:p>
    <w:p w:rsidR="00000000" w:rsidRPr="00852FE8" w:rsidP="00852FE8">
      <w:pPr>
        <w:pStyle w:val="ListBullet2"/>
      </w:pPr>
      <w:r w:rsidRPr="00852FE8">
        <w:t xml:space="preserve">storing; handling and transporting </w:t>
      </w:r>
      <w:r w:rsidRPr="00852FE8">
        <w:t>explosives</w:t>
      </w:r>
    </w:p>
    <w:p w:rsidR="00000000" w:rsidRPr="00852FE8" w:rsidP="00852FE8">
      <w:pPr>
        <w:pStyle w:val="ListBullet2"/>
      </w:pPr>
      <w:r w:rsidRPr="00852FE8">
        <w:t>accessing and managing explosives storage</w:t>
      </w:r>
    </w:p>
    <w:p w:rsidR="00000000" w:rsidRPr="00852FE8" w:rsidP="00852FE8">
      <w:pPr>
        <w:pStyle w:val="ListBullet2"/>
      </w:pPr>
      <w:r w:rsidRPr="00852FE8">
        <w:t>implementing required signage</w:t>
      </w:r>
    </w:p>
    <w:p w:rsidR="00000000" w:rsidRPr="00852FE8" w:rsidP="00852FE8">
      <w:pPr>
        <w:pStyle w:val="AllowPageBreak"/>
      </w:pPr>
    </w:p>
    <w:p w:rsidR="00000000" w:rsidRPr="00852FE8" w:rsidP="00852FE8">
      <w:pPr>
        <w:pStyle w:val="Heading1"/>
      </w:pPr>
      <w:bookmarkStart w:id="3" w:name="O_673904"/>
      <w:bookmarkEnd w:id="3"/>
      <w:r w:rsidRPr="00852FE8">
        <w:t>Knowledge Evidence</w:t>
      </w:r>
    </w:p>
    <w:p w:rsidR="00000000" w:rsidRPr="00852FE8" w:rsidP="00CC2581">
      <w:pPr>
        <w:pStyle w:val="BodyText"/>
      </w:pPr>
      <w:r w:rsidRPr="00852FE8">
        <w:t>The candidate must demonstrate knowledge of storing, handling and transporting explosives through:</w:t>
      </w:r>
    </w:p>
    <w:p w:rsidR="00000000" w:rsidRPr="00852FE8" w:rsidP="00852FE8">
      <w:pPr>
        <w:pStyle w:val="ListBullet"/>
      </w:pPr>
      <w:r w:rsidRPr="00852FE8">
        <w:t>blasting</w:t>
      </w:r>
    </w:p>
    <w:p w:rsidR="00000000" w:rsidRPr="00852FE8" w:rsidP="00852FE8">
      <w:pPr>
        <w:pStyle w:val="ListBullet"/>
      </w:pPr>
      <w:r w:rsidRPr="00852FE8">
        <w:t>hazardous goods requirements</w:t>
      </w:r>
    </w:p>
    <w:p w:rsidR="00000000" w:rsidRPr="00852FE8" w:rsidP="00852FE8">
      <w:pPr>
        <w:pStyle w:val="ListBullet"/>
      </w:pPr>
      <w:r w:rsidRPr="00852FE8">
        <w:t>WHS requirements and procedures</w:t>
      </w:r>
    </w:p>
    <w:p w:rsidR="00000000" w:rsidRPr="00852FE8" w:rsidP="00852FE8">
      <w:pPr>
        <w:pStyle w:val="ListBullet"/>
      </w:pPr>
      <w:r w:rsidRPr="00852FE8">
        <w:t>emergency procedures</w:t>
      </w:r>
    </w:p>
    <w:p w:rsidR="00000000" w:rsidRPr="00852FE8" w:rsidP="00852FE8">
      <w:pPr>
        <w:pStyle w:val="ListBullet"/>
      </w:pPr>
      <w:r w:rsidRPr="00852FE8">
        <w:t>site operational systems, procedures and checks</w:t>
      </w:r>
    </w:p>
    <w:p w:rsidR="00000000" w:rsidRPr="00852FE8" w:rsidP="00852FE8">
      <w:pPr>
        <w:pStyle w:val="ListBullet"/>
      </w:pPr>
      <w:r w:rsidRPr="00852FE8">
        <w:t>manufacturer’s instructions</w:t>
      </w:r>
    </w:p>
    <w:p w:rsidR="00000000" w:rsidRPr="00852FE8" w:rsidP="00852FE8">
      <w:pPr>
        <w:pStyle w:val="ListBullet"/>
      </w:pPr>
      <w:r w:rsidRPr="00852FE8">
        <w:t xml:space="preserve">types, characteristics and applications of explosives and accessories </w:t>
      </w:r>
    </w:p>
    <w:p w:rsidR="00000000" w:rsidRPr="00852FE8" w:rsidP="00852FE8">
      <w:pPr>
        <w:pStyle w:val="ListBullet"/>
      </w:pPr>
      <w:r w:rsidRPr="00852FE8">
        <w:t>equipment operational procedures, technical capability and limitations</w:t>
      </w:r>
    </w:p>
    <w:p w:rsidR="00000000" w:rsidRPr="00852FE8" w:rsidP="00852FE8">
      <w:pPr>
        <w:pStyle w:val="AllowPageBreak"/>
      </w:pPr>
    </w:p>
    <w:p w:rsidR="00000000" w:rsidRPr="00852FE8" w:rsidP="00852FE8">
      <w:pPr>
        <w:pStyle w:val="Heading1"/>
      </w:pPr>
      <w:bookmarkStart w:id="4" w:name="O_673903"/>
      <w:bookmarkEnd w:id="4"/>
      <w:r w:rsidRPr="00852FE8">
        <w:t>Assessment Conditions</w:t>
      </w:r>
    </w:p>
    <w:p w:rsidR="00000000" w:rsidRPr="00852FE8" w:rsidP="00852FE8">
      <w:pPr>
        <w:pStyle w:val="ListBullet"/>
      </w:pPr>
      <w:r w:rsidRPr="00852FE8">
        <w:t>An assessor of this unit must satisfy the requirements of the NVR/AQTF or their successors; and Industry regulations for certification and licens</w:t>
      </w:r>
      <w:r w:rsidRPr="00852FE8">
        <w:t xml:space="preserve">ing; and, </w:t>
      </w:r>
    </w:p>
    <w:p w:rsidR="00000000" w:rsidRPr="00852FE8" w:rsidP="00852FE8">
      <w:pPr>
        <w:pStyle w:val="ListBullet"/>
      </w:pPr>
      <w:r w:rsidRPr="00852FE8">
        <w:t>this unit is best assessed in the context of this sector’s work environment;</w:t>
      </w:r>
    </w:p>
    <w:p w:rsidR="00000000" w:rsidRPr="00852FE8" w:rsidP="00852FE8">
      <w:pPr>
        <w:pStyle w:val="ListBullet"/>
      </w:pPr>
      <w:r w:rsidRPr="00852FE8">
        <w:t>where personal safety or environmental damage are limiting factors, assessment may occur in a simulated environment provided it is realistic and sufficiently rigorous t</w:t>
      </w:r>
      <w:r w:rsidRPr="00852FE8">
        <w:t>o cover all aspects of this sector’s workplace performance, including environment, task skills, task management skills, contingency management skills and job role environment skills; and,</w:t>
      </w:r>
    </w:p>
    <w:p w:rsidR="00000000" w:rsidRPr="00852FE8" w:rsidP="00852FE8">
      <w:pPr>
        <w:pStyle w:val="ListBullet"/>
      </w:pPr>
      <w:r w:rsidRPr="00852FE8">
        <w:t>this unit must be assessed in compliance with relevant legislation/r</w:t>
      </w:r>
      <w:r w:rsidRPr="00852FE8">
        <w:t>egulation and using policies, procedures, processes and operational manuals directly related to the industry sector for which it is being assessed; and,</w:t>
      </w:r>
    </w:p>
    <w:p w:rsidR="00000000" w:rsidRPr="00852FE8" w:rsidP="00852FE8">
      <w:pPr>
        <w:pStyle w:val="ListBullet"/>
      </w:pPr>
      <w:r w:rsidRPr="00852FE8">
        <w:t>assessment may be conducted in conjunction with the assessment of other Units of Competency; and,</w:t>
      </w:r>
    </w:p>
    <w:p w:rsidR="00000000" w:rsidRPr="00852FE8" w:rsidP="00852FE8">
      <w:pPr>
        <w:pStyle w:val="ListBullet"/>
      </w:pPr>
      <w:r w:rsidRPr="00852FE8">
        <w:t>asses</w:t>
      </w:r>
      <w:r w:rsidRPr="00852FE8">
        <w:t>sment must confirm consistent performance can be applied in a range of relevant workplace circumstances; and,</w:t>
      </w:r>
    </w:p>
    <w:p w:rsidR="00000000" w:rsidRPr="00852FE8" w:rsidP="00852FE8">
      <w:pPr>
        <w:pStyle w:val="ListBullet"/>
      </w:pPr>
      <w:r w:rsidRPr="00852FE8">
        <w:t xml:space="preserve">assessors must demonstrate the performance evidence, and knowledge evidence as outlined in this Unit of Competency, and through the minimum years </w:t>
      </w:r>
      <w:r w:rsidRPr="00852FE8">
        <w:t>of current* work experience specified below in an Industry sector relevant to the outcomes of the unit; or,</w:t>
      </w:r>
    </w:p>
    <w:p w:rsidR="00000000" w:rsidRPr="00852FE8" w:rsidP="00852FE8">
      <w:pPr>
        <w:pStyle w:val="ListBullet"/>
      </w:pPr>
      <w:r w:rsidRPr="00852FE8">
        <w:t>where the assessor does not meet experience requirements a co-assessment or partnership arrangement must exist between the qualified assessor and an</w:t>
      </w:r>
      <w:r w:rsidRPr="00852FE8">
        <w:t xml:space="preserve"> Industry subject matter expert. The Industry subject matter expert should hold the unit being assessed (or an equivalent unit) and/or demonstrate equivalence of skills and knowledge at the unit level. An Industry technical expert must also demonstrate ski</w:t>
      </w:r>
      <w:r w:rsidRPr="00852FE8">
        <w:t>lls and knowledge from the minimum years of current work experience specified below in the Industry sector, including time spent in roles related to the unit being assessed; and,</w:t>
      </w:r>
    </w:p>
    <w:p w:rsidR="00000000" w:rsidRPr="00852FE8" w:rsidP="00852FE8">
      <w:pPr>
        <w:pStyle w:val="ListBullet"/>
      </w:pPr>
      <w:r w:rsidRPr="00852FE8">
        <w:t xml:space="preserve">assessor and Industry subject matter expert requirements differ depending on </w:t>
      </w:r>
      <w:r w:rsidRPr="00852FE8">
        <w:t>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852F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Heading4"/>
              <w:rPr>
                <w:lang w:val="en-NZ"/>
              </w:rPr>
            </w:pPr>
            <w:r w:rsidRPr="00852FE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Heading4"/>
              <w:rPr>
                <w:lang w:val="en-NZ"/>
              </w:rPr>
            </w:pPr>
            <w:r w:rsidRPr="00852FE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Heading4"/>
              <w:rPr>
                <w:lang w:val="en-NZ"/>
              </w:rPr>
            </w:pPr>
            <w:r w:rsidRPr="00852FE8">
              <w:t>Required assessor or Industry subject matter expert experience</w:t>
            </w:r>
          </w:p>
        </w:tc>
      </w:tr>
      <w:tr w:rsidTr="00852F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1 Year</w:t>
            </w:r>
          </w:p>
        </w:tc>
      </w:tr>
      <w:tr w:rsidTr="00852F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2 Years</w:t>
            </w:r>
          </w:p>
        </w:tc>
      </w:tr>
      <w:tr w:rsidTr="00852F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 xml:space="preserve">Drilling, Coal Mining and Extractive </w:t>
            </w:r>
            <w:r w:rsidRPr="00852FE8">
              <w:t xml:space="preserve">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3 Years</w:t>
            </w:r>
          </w:p>
        </w:tc>
      </w:tr>
      <w:tr w:rsidTr="00852F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5 Years</w:t>
            </w:r>
          </w:p>
        </w:tc>
      </w:tr>
      <w:tr w:rsidTr="00852FE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52FE8">
            <w:pPr>
              <w:pStyle w:val="BodyText"/>
              <w:rPr>
                <w:lang w:val="en-NZ"/>
              </w:rPr>
            </w:pPr>
            <w:r w:rsidRPr="00852FE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52FE8" w:rsidP="00852FE8">
            <w:pPr>
              <w:pStyle w:val="BodyText"/>
            </w:pPr>
            <w:r w:rsidRPr="00852FE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852FE8">
              <w:t>ndard is specified should comply with any relevant regulation.</w:t>
            </w:r>
          </w:p>
        </w:tc>
      </w:tr>
    </w:tbl>
    <w:p w:rsidR="00000000" w:rsidRPr="00852FE8" w:rsidP="00CC2581">
      <w:pPr>
        <w:pStyle w:val="BodyText"/>
      </w:pPr>
      <w:r w:rsidRPr="00852FE8">
        <w:t>*Assessors can demonstrate current work experience through employment within Industry in a role relevant to the outcomes of the Unit; or, for external assessors this can be demonstrated throu</w:t>
      </w:r>
      <w:r w:rsidRPr="00852FE8">
        <w:t>gh exposure to Industry by conducting frequent site assessments across various locations.</w:t>
      </w:r>
    </w:p>
    <w:p w:rsidR="00000000" w:rsidRPr="00852FE8" w:rsidP="00CC2581">
      <w:pPr>
        <w:pStyle w:val="BodyText"/>
      </w:pPr>
      <w:r w:rsidRPr="00852FE8">
        <w:t>**Where a unit is being delivered outside of a Qualification the first numeric character in the Unit code should be considered to indicate the AQF level</w:t>
      </w:r>
    </w:p>
    <w:p w:rsidR="00000000" w:rsidRPr="00852FE8" w:rsidP="00852FE8">
      <w:pPr>
        <w:pStyle w:val="Heading1"/>
      </w:pPr>
      <w:bookmarkStart w:id="5" w:name="O_673914"/>
      <w:bookmarkEnd w:id="5"/>
      <w:r w:rsidRPr="00852FE8">
        <w:t>Links</w:t>
      </w:r>
    </w:p>
    <w:p w:rsidR="00000000" w:rsidRPr="00852FE8" w:rsidP="00CC2581">
      <w:pPr>
        <w:pStyle w:val="BodyText"/>
      </w:pPr>
      <w:r w:rsidRPr="00852F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138C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2FE8" w:rsidP="00852FE8"/>
    <w:sectPr w:rsidSect="00852F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E8" w:rsidRPr="00CC2581" w:rsidP="00CC25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81" w:rsidP="00852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2581" w:rsidP="00852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2581" w:rsidP="00852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FE8" w:rsidRPr="00CC2581" w:rsidP="00CC25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581" w:rsidRPr="002D2AF8" w:rsidP="00852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RIIBLA205D Store, handle and transport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C2581" w:rsidP="00852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B06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784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167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FE8"/>
  </w:style>
  <w:style w:type="character" w:customStyle="1" w:styleId="Heading1Char">
    <w:name w:val="Heading 1 Char"/>
    <w:basedOn w:val="DefaultParagraphFont"/>
    <w:link w:val="Heading1"/>
    <w:rsid w:val="00852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F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52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F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2F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2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FE8"/>
    <w:rPr>
      <w:b/>
      <w:spacing w:val="0"/>
    </w:rPr>
  </w:style>
  <w:style w:type="paragraph" w:customStyle="1" w:styleId="SuperTitle">
    <w:name w:val="SuperTitle"/>
    <w:basedOn w:val="Title"/>
    <w:rsid w:val="00852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2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F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FE8"/>
    <w:rPr>
      <w:i/>
    </w:rPr>
  </w:style>
  <w:style w:type="paragraph" w:styleId="Caption">
    <w:name w:val="caption"/>
    <w:basedOn w:val="BodyText"/>
    <w:next w:val="Normal"/>
    <w:qFormat/>
    <w:rsid w:val="00852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FE8"/>
  </w:style>
  <w:style w:type="paragraph" w:styleId="TableofFigures">
    <w:name w:val="table of figures"/>
    <w:basedOn w:val="Normal"/>
    <w:next w:val="Normal"/>
    <w:semiHidden/>
    <w:rsid w:val="00852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F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2FE8"/>
    <w:rPr>
      <w:rFonts w:ascii="Wingdings" w:hAnsi="Wingdings"/>
    </w:rPr>
  </w:style>
  <w:style w:type="paragraph" w:customStyle="1" w:styleId="TableHeading">
    <w:name w:val="Table Heading"/>
    <w:basedOn w:val="HeadingBase"/>
    <w:rsid w:val="00852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FE8"/>
    <w:rPr>
      <w:color w:val="0033CC"/>
      <w:u w:val="none"/>
    </w:rPr>
  </w:style>
  <w:style w:type="paragraph" w:customStyle="1" w:styleId="BodyTextRight">
    <w:name w:val="Body Text Right"/>
    <w:basedOn w:val="BodyText"/>
    <w:rsid w:val="00852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F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FE8"/>
    <w:rPr>
      <w:sz w:val="32"/>
    </w:rPr>
  </w:style>
  <w:style w:type="paragraph" w:customStyle="1" w:styleId="HeadingProcedure">
    <w:name w:val="Heading Procedure"/>
    <w:basedOn w:val="HeadingBase"/>
    <w:next w:val="Normal"/>
    <w:rsid w:val="00852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FE8"/>
    <w:pPr>
      <w:spacing w:before="60" w:after="60"/>
    </w:pPr>
  </w:style>
  <w:style w:type="paragraph" w:styleId="ListContinue">
    <w:name w:val="List Continue"/>
    <w:basedOn w:val="List"/>
    <w:rsid w:val="00852FE8"/>
    <w:pPr>
      <w:ind w:firstLine="0"/>
    </w:pPr>
  </w:style>
  <w:style w:type="paragraph" w:customStyle="1" w:styleId="ListNote">
    <w:name w:val="List Note"/>
    <w:basedOn w:val="List"/>
    <w:rsid w:val="00852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FE8"/>
    <w:rPr>
      <w:rFonts w:ascii="Courier New" w:hAnsi="Courier New"/>
    </w:rPr>
  </w:style>
  <w:style w:type="paragraph" w:customStyle="1" w:styleId="NoteBullet">
    <w:name w:val="Note Bullet"/>
    <w:basedOn w:val="Note"/>
    <w:rsid w:val="00852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F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2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FE8"/>
    <w:rPr>
      <w:b/>
      <w:smallCaps/>
    </w:rPr>
  </w:style>
  <w:style w:type="paragraph" w:customStyle="1" w:styleId="TableListNumber">
    <w:name w:val="Table List Number"/>
    <w:basedOn w:val="ListNumber"/>
    <w:rsid w:val="00852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FE8"/>
    <w:pPr>
      <w:numPr>
        <w:numId w:val="9"/>
      </w:numPr>
    </w:pPr>
  </w:style>
  <w:style w:type="paragraph" w:customStyle="1" w:styleId="ListAlpha2">
    <w:name w:val="List Alpha 2"/>
    <w:basedOn w:val="List2"/>
    <w:rsid w:val="00852FE8"/>
    <w:pPr>
      <w:numPr>
        <w:numId w:val="8"/>
      </w:numPr>
    </w:pPr>
  </w:style>
  <w:style w:type="paragraph" w:styleId="List2">
    <w:name w:val="List 2"/>
    <w:basedOn w:val="BodyText"/>
    <w:rsid w:val="00852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F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F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2FE8"/>
    <w:pPr>
      <w:numPr>
        <w:numId w:val="4"/>
      </w:numPr>
    </w:pPr>
  </w:style>
  <w:style w:type="paragraph" w:styleId="ListContinue2">
    <w:name w:val="List Continue 2"/>
    <w:basedOn w:val="List2"/>
    <w:rsid w:val="00852FE8"/>
    <w:pPr>
      <w:ind w:firstLine="0"/>
    </w:pPr>
  </w:style>
  <w:style w:type="paragraph" w:styleId="ListContinue3">
    <w:name w:val="List Continue 3"/>
    <w:basedOn w:val="List3"/>
    <w:rsid w:val="00852FE8"/>
    <w:pPr>
      <w:ind w:left="1021" w:firstLine="0"/>
    </w:pPr>
  </w:style>
  <w:style w:type="paragraph" w:styleId="ListContinue4">
    <w:name w:val="List Continue 4"/>
    <w:basedOn w:val="List4"/>
    <w:rsid w:val="00852FE8"/>
    <w:pPr>
      <w:ind w:firstLine="0"/>
    </w:pPr>
  </w:style>
  <w:style w:type="paragraph" w:styleId="ListContinue5">
    <w:name w:val="List Continue 5"/>
    <w:basedOn w:val="List5"/>
    <w:rsid w:val="00852FE8"/>
    <w:pPr>
      <w:ind w:firstLine="0"/>
    </w:pPr>
  </w:style>
  <w:style w:type="paragraph" w:styleId="ListNumber3">
    <w:name w:val="List Number 3"/>
    <w:basedOn w:val="List3"/>
    <w:rsid w:val="00852FE8"/>
    <w:pPr>
      <w:numPr>
        <w:numId w:val="5"/>
      </w:numPr>
    </w:pPr>
  </w:style>
  <w:style w:type="paragraph" w:styleId="ListNumber4">
    <w:name w:val="List Number 4"/>
    <w:basedOn w:val="List4"/>
    <w:rsid w:val="00852FE8"/>
    <w:pPr>
      <w:numPr>
        <w:numId w:val="6"/>
      </w:numPr>
    </w:pPr>
  </w:style>
  <w:style w:type="paragraph" w:styleId="ListNumber5">
    <w:name w:val="List Number 5"/>
    <w:basedOn w:val="List5"/>
    <w:rsid w:val="00852FE8"/>
    <w:pPr>
      <w:numPr>
        <w:numId w:val="7"/>
      </w:numPr>
    </w:pPr>
  </w:style>
  <w:style w:type="paragraph" w:styleId="BlockText">
    <w:name w:val="Block Text"/>
    <w:basedOn w:val="Normal"/>
    <w:rsid w:val="00852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FE8"/>
    <w:rPr>
      <w:sz w:val="16"/>
      <w:vertAlign w:val="superscript"/>
    </w:rPr>
  </w:style>
  <w:style w:type="character" w:customStyle="1" w:styleId="Symbols">
    <w:name w:val="Symbols"/>
    <w:basedOn w:val="DefaultParagraphFont"/>
    <w:rsid w:val="00852FE8"/>
    <w:rPr>
      <w:rFonts w:ascii="Symbol" w:hAnsi="Symbol"/>
    </w:rPr>
  </w:style>
  <w:style w:type="character" w:customStyle="1" w:styleId="MenuOptions">
    <w:name w:val="Menu Options"/>
    <w:basedOn w:val="DefaultParagraphFont"/>
    <w:rsid w:val="00852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FE8"/>
    <w:rPr>
      <w:b/>
    </w:rPr>
  </w:style>
  <w:style w:type="character" w:customStyle="1" w:styleId="Underlined">
    <w:name w:val="Underlined"/>
    <w:basedOn w:val="DefaultParagraphFont"/>
    <w:rsid w:val="00852FE8"/>
    <w:rPr>
      <w:u w:val="single"/>
    </w:rPr>
  </w:style>
  <w:style w:type="paragraph" w:customStyle="1" w:styleId="TableBodyTextRight">
    <w:name w:val="Table Body Text Right"/>
    <w:basedOn w:val="TableBodyText"/>
    <w:rsid w:val="00852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FE8"/>
    <w:rPr>
      <w:sz w:val="18"/>
    </w:rPr>
  </w:style>
  <w:style w:type="paragraph" w:customStyle="1" w:styleId="BodySmallRight">
    <w:name w:val="Body Small Right"/>
    <w:basedOn w:val="BodyTextRight"/>
    <w:rsid w:val="00852FE8"/>
    <w:rPr>
      <w:sz w:val="18"/>
      <w:szCs w:val="18"/>
    </w:rPr>
  </w:style>
  <w:style w:type="paragraph" w:customStyle="1" w:styleId="MarginEdition">
    <w:name w:val="Margin Edition"/>
    <w:basedOn w:val="MarginNote"/>
    <w:rsid w:val="00852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FE8"/>
    <w:rPr>
      <w:sz w:val="2"/>
      <w:szCs w:val="2"/>
    </w:rPr>
  </w:style>
  <w:style w:type="character" w:customStyle="1" w:styleId="Small">
    <w:name w:val="Small"/>
    <w:basedOn w:val="DefaultParagraphFont"/>
    <w:rsid w:val="00852FE8"/>
    <w:rPr>
      <w:sz w:val="16"/>
    </w:rPr>
  </w:style>
  <w:style w:type="paragraph" w:customStyle="1" w:styleId="WideTable">
    <w:name w:val="Wide Table"/>
    <w:basedOn w:val="Normal"/>
    <w:rsid w:val="00852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FE8"/>
  </w:style>
  <w:style w:type="paragraph" w:styleId="Quote">
    <w:name w:val="Quote"/>
    <w:basedOn w:val="Heading1"/>
    <w:link w:val="QuoteChar"/>
    <w:qFormat/>
    <w:rsid w:val="00852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FE8"/>
    <w:pPr>
      <w:pageBreakBefore/>
    </w:pPr>
  </w:style>
  <w:style w:type="paragraph" w:customStyle="1" w:styleId="Border">
    <w:name w:val="Border"/>
    <w:basedOn w:val="Normal"/>
    <w:qFormat/>
    <w:rsid w:val="00852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FE8"/>
    <w:rPr>
      <w:u w:val="single"/>
    </w:rPr>
  </w:style>
  <w:style w:type="character" w:customStyle="1" w:styleId="BoldandItalics">
    <w:name w:val="Bold and Italics"/>
    <w:qFormat/>
    <w:rsid w:val="00852FE8"/>
    <w:rPr>
      <w:b/>
      <w:i/>
      <w:u w:val="none"/>
    </w:rPr>
  </w:style>
  <w:style w:type="paragraph" w:styleId="BalloonText">
    <w:name w:val="Balloon Text"/>
    <w:basedOn w:val="Normal"/>
    <w:link w:val="BalloonTextChar"/>
    <w:rsid w:val="00852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FE8"/>
    <w:pPr>
      <w:spacing w:before="0" w:after="0"/>
    </w:pPr>
  </w:style>
  <w:style w:type="paragraph" w:customStyle="1" w:styleId="BodyTextBold">
    <w:name w:val="Body Text Bold"/>
    <w:basedOn w:val="BodyText"/>
    <w:qFormat/>
    <w:rsid w:val="00852FE8"/>
    <w:rPr>
      <w:b/>
    </w:rPr>
  </w:style>
  <w:style w:type="character" w:styleId="Hyperlink">
    <w:name w:val="Hyperlink"/>
    <w:basedOn w:val="DefaultParagraphFont"/>
    <w:uiPriority w:val="99"/>
    <w:unhideWhenUsed/>
    <w:rsid w:val="00CC2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4764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RIIBLA205D Store, handle and transport explosives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