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6FE" w:rsidP="00B606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RIIBLA203E Conduct mobile mixing of explosives</w:t>
      </w:r>
      <w:r>
        <w:fldChar w:fldCharType="end"/>
      </w:r>
    </w:p>
    <w:p w:rsidR="00B606FE" w:rsidP="00B606FE">
      <w:pPr>
        <w:pStyle w:val="Version"/>
        <w:sectPr w:rsidSect="00AE4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262" w:rsidP="00AE4262">
      <w:pPr>
        <w:pStyle w:val="SuperHeading"/>
      </w:pPr>
      <w:r w:rsidRPr="00AE4262">
        <w:t>RIIBLA203E Conduct mobile mixing of explosives</w:t>
      </w:r>
    </w:p>
    <w:p w:rsidR="00000000" w:rsidRPr="00AE4262" w:rsidP="00AE4262">
      <w:pPr>
        <w:pStyle w:val="Heading1"/>
      </w:pPr>
      <w:bookmarkStart w:id="1" w:name="O_1012265"/>
      <w:bookmarkEnd w:id="1"/>
      <w:r w:rsidRPr="00AE42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262" w:rsidP="00AE4262">
            <w:pPr>
              <w:pStyle w:val="BodyText"/>
            </w:pPr>
            <w:r w:rsidRPr="00AE42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rPr>
                <w:rStyle w:val="SpecialBold"/>
              </w:rPr>
              <w:t>Comments</w:t>
            </w:r>
          </w:p>
        </w:tc>
      </w:tr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262" w:rsidP="00AE4262">
            <w:pPr>
              <w:pStyle w:val="BodyText"/>
            </w:pPr>
            <w:r w:rsidRPr="00AE4262">
              <w:t>This version first released with RII Resources and Infrastructure Industry Training Package Version 3.0.</w:t>
            </w:r>
          </w:p>
        </w:tc>
      </w:tr>
    </w:tbl>
    <w:p w:rsidR="00B606FE" w:rsidP="00AE4262">
      <w:pPr>
        <w:pStyle w:val="BodyText"/>
      </w:pPr>
    </w:p>
    <w:p w:rsidR="00B606FE" w:rsidP="00AE4262">
      <w:pPr>
        <w:pStyle w:val="BodyText"/>
      </w:pPr>
    </w:p>
    <w:p w:rsidR="00000000" w:rsidRPr="00AE4262" w:rsidP="00AE4262">
      <w:pPr>
        <w:pStyle w:val="Heading1"/>
      </w:pPr>
      <w:bookmarkStart w:id="2" w:name="O_1012269"/>
      <w:bookmarkEnd w:id="2"/>
      <w:r w:rsidRPr="00AE4262">
        <w:t>Application</w:t>
      </w:r>
    </w:p>
    <w:p w:rsidR="00000000" w:rsidRPr="00AE4262" w:rsidP="00B606FE">
      <w:pPr>
        <w:pStyle w:val="BodyText"/>
      </w:pPr>
      <w:r w:rsidRPr="00AE4262">
        <w:t>This unit describes the skills and knowledge required to l</w:t>
      </w:r>
      <w:r w:rsidRPr="00AE4262">
        <w:t>oad and mix explosives using mobile processing units at blast holes. It applies for both above ground and underground mobile processing units.</w:t>
      </w:r>
    </w:p>
    <w:p w:rsidR="00000000" w:rsidRPr="00AE4262" w:rsidP="00B606FE">
      <w:pPr>
        <w:pStyle w:val="BodyText"/>
      </w:pPr>
      <w:r w:rsidRPr="00AE4262">
        <w:t>This unit applies to those working in site-based roles on mine sites and quarries in the coal mining, metallifero</w:t>
      </w:r>
      <w:r w:rsidRPr="00AE4262">
        <w:t>us mining, drilling, extractive, and civil infrastructure environments.</w:t>
      </w:r>
    </w:p>
    <w:p w:rsidR="00B606FE" w:rsidP="00B606FE">
      <w:pPr>
        <w:pStyle w:val="BodyText"/>
      </w:pPr>
      <w:r w:rsidRPr="00AE4262">
        <w:t>Licensing, legislation, regulatory and certification requirements that apply to this unit can vary between States, Territories and industry sectors, and must be sourced from state juri</w:t>
      </w:r>
      <w:r w:rsidRPr="00AE4262">
        <w:t>sdictions prior to applying the unit.</w:t>
      </w:r>
    </w:p>
    <w:p w:rsidR="00000000" w:rsidRPr="00AE4262" w:rsidP="00AE4262">
      <w:pPr>
        <w:pStyle w:val="Heading1"/>
      </w:pPr>
      <w:bookmarkStart w:id="3" w:name="O_1012270"/>
      <w:bookmarkEnd w:id="3"/>
      <w:r w:rsidRPr="00AE4262">
        <w:t>Unit Sector</w:t>
      </w:r>
    </w:p>
    <w:p w:rsidR="00000000" w:rsidRPr="00AE4262" w:rsidP="00B606FE">
      <w:pPr>
        <w:pStyle w:val="List"/>
      </w:pPr>
      <w:r w:rsidRPr="00AE4262">
        <w:t>Civil infrastructure</w:t>
      </w:r>
    </w:p>
    <w:p w:rsidR="00000000" w:rsidRPr="00AE4262" w:rsidP="00B606FE">
      <w:pPr>
        <w:pStyle w:val="List"/>
      </w:pPr>
      <w:r w:rsidRPr="00AE4262">
        <w:t>Coal mining</w:t>
      </w:r>
    </w:p>
    <w:p w:rsidR="00000000" w:rsidRPr="00AE4262" w:rsidP="00B606FE">
      <w:pPr>
        <w:pStyle w:val="List"/>
      </w:pPr>
      <w:r w:rsidRPr="00AE4262">
        <w:t>Drilling</w:t>
      </w:r>
    </w:p>
    <w:p w:rsidR="00000000" w:rsidRPr="00AE4262" w:rsidP="00B606FE">
      <w:pPr>
        <w:pStyle w:val="List"/>
      </w:pPr>
      <w:r w:rsidRPr="00AE4262">
        <w:t>Extractive</w:t>
      </w:r>
    </w:p>
    <w:p w:rsidR="00000000" w:rsidRPr="00AE4262" w:rsidP="00B606FE">
      <w:pPr>
        <w:pStyle w:val="List"/>
      </w:pPr>
      <w:r w:rsidRPr="00AE4262">
        <w:t>Metalliferous mining</w:t>
      </w:r>
    </w:p>
    <w:p w:rsidR="00000000" w:rsidRPr="00AE4262" w:rsidP="00AE4262">
      <w:pPr>
        <w:pStyle w:val="AllowPageBreak"/>
      </w:pPr>
    </w:p>
    <w:p w:rsidR="00000000" w:rsidRPr="00AE4262" w:rsidP="00AE4262">
      <w:pPr>
        <w:pStyle w:val="Heading1"/>
      </w:pPr>
      <w:bookmarkStart w:id="4" w:name="O_1012271"/>
      <w:bookmarkEnd w:id="4"/>
      <w:r w:rsidRPr="00AE42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6657"/>
      </w:tblGrid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262" w:rsidP="00AE4262">
            <w:pPr>
              <w:pStyle w:val="BodyText"/>
            </w:pPr>
            <w:r w:rsidRPr="00AE4262">
              <w:rPr>
                <w:rStyle w:val="SpecialBold"/>
              </w:rPr>
              <w:t>ELEMENT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rPr>
                <w:rStyle w:val="SpecialBold"/>
              </w:rPr>
              <w:t>PERFORMANCE CRITERIA</w:t>
            </w:r>
          </w:p>
        </w:tc>
      </w:tr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262" w:rsidP="00AE4262">
            <w:pPr>
              <w:pStyle w:val="BodyText"/>
            </w:pPr>
            <w:r w:rsidRPr="00AE4262">
              <w:rPr>
                <w:rStyle w:val="Emphasis"/>
              </w:rPr>
              <w:t>Elements describe the essential outcomes.</w:t>
            </w:r>
          </w:p>
        </w:tc>
        <w:tc>
          <w:tcPr>
            <w:tcW w:w="665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 xml:space="preserve">1. Prepare to mix explosives using a </w:t>
            </w:r>
            <w:r w:rsidRPr="00AE4262">
              <w:t>mobile processing unit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262" w:rsidP="00AE4262">
            <w:pPr>
              <w:pStyle w:val="BodyText"/>
            </w:pPr>
            <w:r w:rsidRPr="00AE4262">
              <w:t xml:space="preserve">1.1 Access, interpret and apply explosives documentation </w:t>
            </w:r>
            <w:r w:rsidRPr="00AE4262">
              <w:t xml:space="preserve">and </w:t>
            </w:r>
            <w:r w:rsidRPr="00AE4262">
              <w:t>ensure work activity is compliant</w:t>
            </w:r>
          </w:p>
          <w:p w:rsidR="00000000" w:rsidRPr="00AE4262" w:rsidP="00AE4262">
            <w:pPr>
              <w:pStyle w:val="BodyText"/>
            </w:pPr>
            <w:r w:rsidRPr="00AE4262">
              <w:t>1.2 Locate, select and wear personal protective equipment appropriate for work activity</w:t>
            </w:r>
          </w:p>
          <w:p w:rsidR="00000000" w:rsidRPr="00AE4262" w:rsidP="00AE4262">
            <w:pPr>
              <w:pStyle w:val="BodyText"/>
            </w:pPr>
            <w:r w:rsidRPr="00AE4262">
              <w:t>1.3 Inspect work area and establish, barricade, and signpost loading area</w:t>
            </w:r>
          </w:p>
          <w:p w:rsidR="00000000" w:rsidRPr="00AE4262" w:rsidP="00AE4262">
            <w:pPr>
              <w:pStyle w:val="BodyText"/>
            </w:pPr>
            <w:r w:rsidRPr="00AE4262">
              <w:t>1.4 Identify and address potential health, safety and en</w:t>
            </w:r>
            <w:r w:rsidRPr="00AE4262">
              <w:t>vironmental hazards and implement control measures in line with workplace procedures</w:t>
            </w:r>
          </w:p>
          <w:p w:rsidR="00000000" w:rsidRPr="00AE4262" w:rsidP="00AE4262">
            <w:pPr>
              <w:pStyle w:val="BodyText"/>
            </w:pPr>
            <w:r w:rsidRPr="00AE4262">
              <w:t>1.5 Obtain and interpret emergency procedures in preparation for emergencies and incidents</w:t>
            </w:r>
          </w:p>
          <w:p w:rsidR="00000000" w:rsidRPr="00AE4262" w:rsidP="00AE4262">
            <w:pPr>
              <w:pStyle w:val="BodyText"/>
            </w:pPr>
            <w:r w:rsidRPr="00AE4262">
              <w:t>1.6 Confirm safe and secure access to explosives precursors in line with workplace procedures and legislative requirements</w:t>
            </w:r>
          </w:p>
          <w:p w:rsidR="00000000" w:rsidRPr="00AE4262" w:rsidP="00AE4262">
            <w:pPr>
              <w:pStyle w:val="BodyText"/>
            </w:pPr>
            <w:r w:rsidRPr="00AE4262">
              <w:t>1.7 Segregate incompatible goods prior to loading the mobile processing unit according to legislation and codes of practice</w:t>
            </w:r>
          </w:p>
          <w:p w:rsidR="00000000" w:rsidRPr="00AE4262" w:rsidP="00AE4262">
            <w:pPr>
              <w:pStyle w:val="BodyText"/>
            </w:pPr>
            <w:r w:rsidRPr="00AE4262">
              <w:t>1.8 Inspe</w:t>
            </w:r>
            <w:r w:rsidRPr="00AE4262">
              <w:t>ct mobile processing unit for faults, and record faults in line with workplace procedures</w:t>
            </w:r>
          </w:p>
          <w:p w:rsidR="00000000" w:rsidRPr="00AE4262" w:rsidP="00AE4262">
            <w:pPr>
              <w:pStyle w:val="BodyText"/>
            </w:pPr>
            <w:r w:rsidRPr="00AE4262">
              <w:t>1.9 Ensure attachments comply with standards and licensing requirements</w:t>
            </w:r>
          </w:p>
          <w:p w:rsidR="00000000" w:rsidRPr="00AE4262" w:rsidP="00AE4262">
            <w:pPr>
              <w:pStyle w:val="BodyText"/>
            </w:pPr>
            <w:r w:rsidRPr="00AE4262">
              <w:t>1.10 Placard mobile processing unit and attachments to show the goods carried, hazardous chemi</w:t>
            </w:r>
            <w:r w:rsidRPr="00AE4262">
              <w:t>cals identification, and emergency information in line with workplace procedures and legislative requirements</w:t>
            </w:r>
          </w:p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>1.11 Check that safety equipment is fitted and ready for use in line with workplace procedures and legislative requirements</w:t>
            </w:r>
          </w:p>
        </w:tc>
      </w:tr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>2. Load and mix explo</w:t>
            </w:r>
            <w:r w:rsidRPr="00AE4262">
              <w:t>sives precursors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262" w:rsidP="00AE4262">
            <w:pPr>
              <w:pStyle w:val="BodyText"/>
            </w:pPr>
            <w:r w:rsidRPr="00AE4262">
              <w:t>2.1 Carry out pre-start checks of vehicle or unit in line with workplace procedures</w:t>
            </w:r>
          </w:p>
          <w:p w:rsidR="00000000" w:rsidRPr="00AE4262" w:rsidP="00AE4262">
            <w:pPr>
              <w:pStyle w:val="BodyText"/>
            </w:pPr>
            <w:r w:rsidRPr="00AE4262">
              <w:t>2.2 Identify faults and defects, and rectify or report them within scope of own responsibility and according to workplace procedures</w:t>
            </w:r>
          </w:p>
          <w:p w:rsidR="00000000" w:rsidRPr="00AE4262" w:rsidP="00AE4262">
            <w:pPr>
              <w:pStyle w:val="BodyText"/>
            </w:pPr>
            <w:r w:rsidRPr="00AE4262">
              <w:t>2.3 Check availability</w:t>
            </w:r>
            <w:r w:rsidRPr="00AE4262">
              <w:t xml:space="preserve"> of and calculate batch quantities for precursors to manufacture explosives</w:t>
            </w:r>
          </w:p>
          <w:p w:rsidR="00000000" w:rsidRPr="00AE4262" w:rsidP="00AE4262">
            <w:pPr>
              <w:pStyle w:val="BodyText"/>
            </w:pPr>
            <w:r w:rsidRPr="00AE4262">
              <w:t>2.4 Inspect vehicle or unit and confirm that it is safe for loading explosives and free from unnecessary products and items</w:t>
            </w:r>
          </w:p>
          <w:p w:rsidR="00000000" w:rsidRPr="00AE4262" w:rsidP="00AE4262">
            <w:pPr>
              <w:pStyle w:val="BodyText"/>
            </w:pPr>
            <w:r w:rsidRPr="00AE4262">
              <w:t>2.5 Position vehicle for loading and apply parking brake</w:t>
            </w:r>
            <w:r w:rsidRPr="00AE4262">
              <w:t xml:space="preserve"> throughout precursor loading operation</w:t>
            </w:r>
          </w:p>
          <w:p w:rsidR="00000000" w:rsidRPr="00AE4262" w:rsidP="00AE4262">
            <w:pPr>
              <w:pStyle w:val="BodyText"/>
            </w:pPr>
            <w:r w:rsidRPr="00AE4262">
              <w:t xml:space="preserve">2.6 Operate loading equipment to load specified amounts of </w:t>
            </w:r>
            <w:r w:rsidRPr="00AE4262">
              <w:t>precursors in line with workplace procedures</w:t>
            </w:r>
          </w:p>
          <w:p w:rsidR="00000000" w:rsidRPr="00AE4262" w:rsidP="00AE4262">
            <w:pPr>
              <w:pStyle w:val="BodyText"/>
            </w:pPr>
            <w:r w:rsidRPr="00AE4262">
              <w:t>2.7 Load precursors in a safe manner to prevent spillage and injury to personnel, and use emergency procedures w</w:t>
            </w:r>
            <w:r w:rsidRPr="00AE4262">
              <w:t>hen required</w:t>
            </w:r>
          </w:p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>2.8 Record details of loaded precursors</w:t>
            </w:r>
          </w:p>
        </w:tc>
      </w:tr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>3. Transport explosives precursors to delivery point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262" w:rsidP="00AE4262">
            <w:pPr>
              <w:pStyle w:val="BodyText"/>
            </w:pPr>
            <w:r w:rsidRPr="00AE4262">
              <w:t>3.1 Confirm and follow pre-planned transport route</w:t>
            </w:r>
          </w:p>
          <w:p w:rsidR="00000000" w:rsidRPr="00AE4262" w:rsidP="00AE4262">
            <w:pPr>
              <w:pStyle w:val="BodyText"/>
            </w:pPr>
            <w:r w:rsidRPr="00AE4262">
              <w:t>3.2 Drive vehicle or unit according to road conditions, established mine traffic rules, and public</w:t>
            </w:r>
            <w:r w:rsidRPr="00AE4262">
              <w:t xml:space="preserve"> traffic rules</w:t>
            </w:r>
          </w:p>
          <w:p w:rsidR="00000000" w:rsidRPr="00AE4262" w:rsidP="00AE4262">
            <w:pPr>
              <w:pStyle w:val="BodyText"/>
            </w:pPr>
            <w:r w:rsidRPr="00AE4262">
              <w:t>3.3 Operate vehicle or unit in line with licences and regulations in the relevant jurisdiction, and workplace procedures</w:t>
            </w:r>
          </w:p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>3.4 Identify and report potential emergency situations</w:t>
            </w:r>
          </w:p>
        </w:tc>
      </w:tr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>4. Deliver explosives in blast hole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262" w:rsidP="00AE4262">
            <w:pPr>
              <w:pStyle w:val="BodyText"/>
            </w:pPr>
            <w:r w:rsidRPr="00AE4262">
              <w:t>4.1 Assess ground conditions and confirm their suitability prior to commencing delivery of explosives</w:t>
            </w:r>
          </w:p>
          <w:p w:rsidR="00000000" w:rsidRPr="00AE4262" w:rsidP="00AE4262">
            <w:pPr>
              <w:pStyle w:val="BodyText"/>
            </w:pPr>
            <w:r w:rsidRPr="00AE4262">
              <w:t>4.2 Select most appropriate hole discharge point and locate delivery point over blast hole</w:t>
            </w:r>
          </w:p>
          <w:p w:rsidR="00000000" w:rsidRPr="00AE4262" w:rsidP="00AE4262">
            <w:pPr>
              <w:pStyle w:val="BodyText"/>
            </w:pPr>
            <w:r w:rsidRPr="00AE4262">
              <w:t>4.3 Confirm identity of blast hole and explosive loading requir</w:t>
            </w:r>
            <w:r w:rsidRPr="00AE4262">
              <w:t>ements with relevant personnel</w:t>
            </w:r>
          </w:p>
          <w:p w:rsidR="00000000" w:rsidRPr="00AE4262" w:rsidP="00AE4262">
            <w:pPr>
              <w:pStyle w:val="BodyText"/>
            </w:pPr>
            <w:r w:rsidRPr="00AE4262">
              <w:t>4.4 Regulate discharge of explosives to blast hole to achieve specified weight or stemming height</w:t>
            </w:r>
          </w:p>
          <w:p w:rsidR="00000000" w:rsidRPr="00AE4262" w:rsidP="00AE4262">
            <w:pPr>
              <w:pStyle w:val="BodyText"/>
            </w:pPr>
            <w:r w:rsidRPr="00AE4262">
              <w:t>4.5 Complete loading hole and prepare vehicle or unit for next blast hole</w:t>
            </w:r>
          </w:p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>4.6 Check area is clear and safe to move vehicle</w:t>
            </w:r>
          </w:p>
        </w:tc>
      </w:tr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 xml:space="preserve">5. </w:t>
            </w:r>
            <w:r w:rsidRPr="00AE4262">
              <w:t>Complete activity and store equipment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262" w:rsidP="00AE4262">
            <w:pPr>
              <w:pStyle w:val="BodyText"/>
            </w:pPr>
            <w:r w:rsidRPr="00AE4262">
              <w:t>5.1 Complete delivery of required product</w:t>
            </w:r>
          </w:p>
          <w:p w:rsidR="00000000" w:rsidRPr="00AE4262" w:rsidP="00AE4262">
            <w:pPr>
              <w:pStyle w:val="BodyText"/>
            </w:pPr>
            <w:r w:rsidRPr="00AE4262">
              <w:t>5.2 Flush delivery system according to workplace procedures</w:t>
            </w:r>
          </w:p>
          <w:p w:rsidR="00000000" w:rsidRPr="00AE4262" w:rsidP="00AE4262">
            <w:pPr>
              <w:pStyle w:val="BodyText"/>
            </w:pPr>
            <w:r w:rsidRPr="00AE4262">
              <w:t>5.3 Safely exit blast site</w:t>
            </w:r>
          </w:p>
          <w:p w:rsidR="00000000" w:rsidRPr="00AE4262" w:rsidP="00AE4262">
            <w:pPr>
              <w:pStyle w:val="BodyText"/>
            </w:pPr>
            <w:r w:rsidRPr="00AE4262">
              <w:t>5.4 Store vehicle or unit safely and securely in accordance with workplace procedures and</w:t>
            </w:r>
            <w:r w:rsidRPr="00AE4262">
              <w:t xml:space="preserve"> legislative requirements</w:t>
            </w:r>
          </w:p>
          <w:p w:rsidR="00000000" w:rsidRPr="00AE4262" w:rsidP="00AE4262">
            <w:pPr>
              <w:pStyle w:val="BodyText"/>
            </w:pPr>
            <w:r w:rsidRPr="00AE4262">
              <w:t>5.5 Complete and file documentation, and distribute according to workplace requirements</w:t>
            </w:r>
          </w:p>
        </w:tc>
      </w:tr>
    </w:tbl>
    <w:p w:rsidR="00B606FE" w:rsidP="00AE4262">
      <w:pPr>
        <w:pStyle w:val="BodyText"/>
      </w:pPr>
    </w:p>
    <w:p w:rsidR="00B606FE" w:rsidP="00AE4262">
      <w:pPr>
        <w:pStyle w:val="BodyText"/>
      </w:pPr>
    </w:p>
    <w:p w:rsidR="00000000" w:rsidRPr="00AE4262" w:rsidP="00AE4262">
      <w:pPr>
        <w:pStyle w:val="Heading1"/>
      </w:pPr>
      <w:bookmarkStart w:id="5" w:name="O_1012267"/>
      <w:bookmarkEnd w:id="5"/>
      <w:r w:rsidRPr="00AE4262">
        <w:t>Foundation Skills</w:t>
      </w:r>
    </w:p>
    <w:p w:rsidR="00000000" w:rsidRPr="00B606FE" w:rsidP="00B606FE">
      <w:pPr>
        <w:pStyle w:val="BodyText"/>
        <w:rPr>
          <w:i/>
        </w:rPr>
      </w:pPr>
      <w:r w:rsidRPr="00B606FE">
        <w:rPr>
          <w:rStyle w:val="Emphasis"/>
        </w:rPr>
        <w:t xml:space="preserve">This section describes those language, literacy, numeracy and employment skills that are essential to </w:t>
      </w:r>
      <w:r w:rsidRPr="00B606FE">
        <w:rPr>
          <w:rStyle w:val="Emphasis"/>
        </w:rPr>
        <w:t>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4"/>
        <w:gridCol w:w="7416"/>
      </w:tblGrid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262" w:rsidP="00AE4262">
            <w:pPr>
              <w:pStyle w:val="BodyText"/>
            </w:pPr>
            <w:r w:rsidRPr="00AE4262">
              <w:rPr>
                <w:rStyle w:val="SpecialBold"/>
              </w:rPr>
              <w:t>Skill</w:t>
            </w:r>
          </w:p>
        </w:tc>
        <w:tc>
          <w:tcPr>
            <w:tcW w:w="7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rPr>
                <w:rStyle w:val="SpecialBold"/>
              </w:rPr>
              <w:t>Description</w:t>
            </w:r>
          </w:p>
        </w:tc>
      </w:tr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>Reading</w:t>
            </w:r>
          </w:p>
        </w:tc>
        <w:tc>
          <w:tcPr>
            <w:tcW w:w="7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ListBullet"/>
              <w:rPr>
                <w:lang w:val="en-NZ"/>
              </w:rPr>
            </w:pPr>
            <w:r w:rsidRPr="00AE4262">
              <w:t>Identifies and interprets relevant information and ideas from workplace procedures, documentation, legislation, and regulations</w:t>
            </w:r>
          </w:p>
        </w:tc>
      </w:tr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>Numeracy</w:t>
            </w:r>
          </w:p>
        </w:tc>
        <w:tc>
          <w:tcPr>
            <w:tcW w:w="7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262" w:rsidP="00AE4262">
            <w:pPr>
              <w:pStyle w:val="ListBullet"/>
            </w:pPr>
            <w:r w:rsidRPr="00AE4262">
              <w:t>Identifies and comprehends mathematical information required to load, mix, and deliver explosives precursors</w:t>
            </w:r>
          </w:p>
        </w:tc>
      </w:tr>
    </w:tbl>
    <w:p w:rsidR="00000000" w:rsidRPr="00AE4262" w:rsidP="00AE4262">
      <w:pPr>
        <w:pStyle w:val="BodyText"/>
      </w:pPr>
    </w:p>
    <w:p w:rsidR="00000000" w:rsidRPr="00AE4262" w:rsidP="00AE4262">
      <w:pPr>
        <w:pStyle w:val="AllowPageBreak"/>
      </w:pPr>
    </w:p>
    <w:p w:rsidR="00000000" w:rsidRPr="00AE4262" w:rsidP="00AE4262">
      <w:pPr>
        <w:pStyle w:val="Heading1"/>
      </w:pPr>
      <w:bookmarkStart w:id="6" w:name="O_1012266"/>
      <w:bookmarkEnd w:id="6"/>
      <w:r w:rsidRPr="00AE42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0"/>
        <w:gridCol w:w="2202"/>
        <w:gridCol w:w="2821"/>
        <w:gridCol w:w="1801"/>
      </w:tblGrid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Heading4"/>
              <w:rPr>
                <w:lang w:val="en-NZ"/>
              </w:rPr>
            </w:pPr>
            <w:r w:rsidRPr="00AE4262">
              <w:t>Code and title current version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Heading4"/>
              <w:rPr>
                <w:lang w:val="en-NZ"/>
              </w:rPr>
            </w:pPr>
            <w:r w:rsidRPr="00AE4262">
              <w:t>Code and title previous version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Heading4"/>
              <w:rPr>
                <w:lang w:val="en-NZ"/>
              </w:rPr>
            </w:pPr>
            <w:r w:rsidRPr="00AE4262">
              <w:t>Comments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Heading4"/>
              <w:rPr>
                <w:lang w:val="en-NZ"/>
              </w:rPr>
            </w:pPr>
            <w:r w:rsidRPr="00AE4262">
              <w:t>Equivalence status</w:t>
            </w:r>
          </w:p>
        </w:tc>
      </w:tr>
      <w:tr w:rsidTr="00AE4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>RIIBLA203E Conduct mobile mixing of explosives (Release 1)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>RIIBLA203D Conduct mobile mixing of explosives (Release 2)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262">
            <w:pPr>
              <w:pStyle w:val="BodyText"/>
              <w:rPr>
                <w:lang w:val="en-NZ"/>
              </w:rPr>
            </w:pPr>
            <w:r w:rsidRPr="00AE4262">
              <w:t>Minor updates to all sections to reflect operator’s role.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262" w:rsidP="00AE4262">
            <w:pPr>
              <w:pStyle w:val="BodyText"/>
            </w:pPr>
            <w:r w:rsidRPr="00AE4262">
              <w:t>Equivalent</w:t>
            </w:r>
          </w:p>
        </w:tc>
      </w:tr>
    </w:tbl>
    <w:p w:rsidR="00B606FE" w:rsidP="00AE4262">
      <w:pPr>
        <w:pStyle w:val="BodyText"/>
      </w:pPr>
    </w:p>
    <w:p w:rsidR="00B606FE" w:rsidP="00AE4262">
      <w:pPr>
        <w:pStyle w:val="BodyText"/>
      </w:pPr>
    </w:p>
    <w:p w:rsidR="00000000" w:rsidRPr="00AE4262" w:rsidP="00AE4262">
      <w:pPr>
        <w:pStyle w:val="Heading1"/>
      </w:pPr>
      <w:bookmarkStart w:id="7" w:name="O_1012259"/>
      <w:bookmarkEnd w:id="7"/>
      <w:r w:rsidRPr="00AE4262">
        <w:t>Links</w:t>
      </w:r>
    </w:p>
    <w:p w:rsidR="00000000" w:rsidRPr="00AE4262" w:rsidP="00B606FE">
      <w:pPr>
        <w:pStyle w:val="BodyText"/>
      </w:pPr>
      <w:r w:rsidRPr="00AE4262">
        <w:t>Companion Volume implementation guides a</w:t>
      </w:r>
      <w:r w:rsidRPr="00AE4262">
        <w:t xml:space="preserve">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F766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E4262" w:rsidP="00AE4262"/>
    <w:sectPr w:rsidSect="00AE4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262" w:rsidRPr="00B606FE" w:rsidP="00B606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FE" w:rsidP="00AE4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06FE" w:rsidP="00AE4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06FE" w:rsidP="00AE4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262" w:rsidRPr="00B606FE" w:rsidP="00B606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FE" w:rsidRPr="002D2AF8" w:rsidP="00AE4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RIIBLA203E Conduct mobile mixing of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606FE" w:rsidP="00AE4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869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AAB9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262"/>
  </w:style>
  <w:style w:type="character" w:customStyle="1" w:styleId="Heading1Char">
    <w:name w:val="Heading 1 Char"/>
    <w:basedOn w:val="DefaultParagraphFont"/>
    <w:link w:val="Heading1"/>
    <w:rsid w:val="00AE4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26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E4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2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2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4262"/>
    <w:rPr>
      <w:b/>
      <w:spacing w:val="0"/>
    </w:rPr>
  </w:style>
  <w:style w:type="character" w:styleId="Emphasis">
    <w:name w:val="Emphasis"/>
    <w:basedOn w:val="DefaultParagraphFont"/>
    <w:qFormat/>
    <w:rsid w:val="00AE4262"/>
    <w:rPr>
      <w:i/>
    </w:rPr>
  </w:style>
  <w:style w:type="paragraph" w:customStyle="1" w:styleId="SuperHeading">
    <w:name w:val="SuperHeading"/>
    <w:basedOn w:val="Normal"/>
    <w:rsid w:val="00AE4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4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2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2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4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2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2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4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262"/>
  </w:style>
  <w:style w:type="paragraph" w:styleId="TableofFigures">
    <w:name w:val="table of figures"/>
    <w:basedOn w:val="Normal"/>
    <w:next w:val="Normal"/>
    <w:semiHidden/>
    <w:rsid w:val="00AE4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2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4262"/>
    <w:rPr>
      <w:rFonts w:ascii="Wingdings" w:hAnsi="Wingdings"/>
    </w:rPr>
  </w:style>
  <w:style w:type="paragraph" w:customStyle="1" w:styleId="TableHeading">
    <w:name w:val="Table Heading"/>
    <w:basedOn w:val="HeadingBase"/>
    <w:rsid w:val="00AE4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262"/>
    <w:rPr>
      <w:color w:val="0033CC"/>
      <w:u w:val="none"/>
    </w:rPr>
  </w:style>
  <w:style w:type="paragraph" w:customStyle="1" w:styleId="BodyTextRight">
    <w:name w:val="Body Text Right"/>
    <w:basedOn w:val="BodyText"/>
    <w:rsid w:val="00AE4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2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262"/>
    <w:rPr>
      <w:sz w:val="32"/>
    </w:rPr>
  </w:style>
  <w:style w:type="paragraph" w:customStyle="1" w:styleId="HeadingProcedure">
    <w:name w:val="Heading Procedure"/>
    <w:basedOn w:val="HeadingBase"/>
    <w:next w:val="Normal"/>
    <w:rsid w:val="00AE4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262"/>
    <w:pPr>
      <w:spacing w:before="60" w:after="60"/>
    </w:pPr>
  </w:style>
  <w:style w:type="paragraph" w:styleId="ListContinue">
    <w:name w:val="List Continue"/>
    <w:basedOn w:val="List"/>
    <w:rsid w:val="00AE4262"/>
    <w:pPr>
      <w:ind w:firstLine="0"/>
    </w:pPr>
  </w:style>
  <w:style w:type="paragraph" w:customStyle="1" w:styleId="ListNote">
    <w:name w:val="List Note"/>
    <w:basedOn w:val="List"/>
    <w:rsid w:val="00AE4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262"/>
    <w:rPr>
      <w:rFonts w:ascii="Courier New" w:hAnsi="Courier New"/>
    </w:rPr>
  </w:style>
  <w:style w:type="paragraph" w:customStyle="1" w:styleId="NoteBullet">
    <w:name w:val="Note Bullet"/>
    <w:basedOn w:val="Note"/>
    <w:rsid w:val="00AE4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2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4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262"/>
    <w:rPr>
      <w:b/>
      <w:smallCaps/>
    </w:rPr>
  </w:style>
  <w:style w:type="paragraph" w:customStyle="1" w:styleId="TableListNumber">
    <w:name w:val="Table List Number"/>
    <w:basedOn w:val="ListNumber"/>
    <w:rsid w:val="00AE4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262"/>
    <w:pPr>
      <w:numPr>
        <w:numId w:val="8"/>
      </w:numPr>
    </w:pPr>
  </w:style>
  <w:style w:type="paragraph" w:customStyle="1" w:styleId="ListAlpha2">
    <w:name w:val="List Alpha 2"/>
    <w:basedOn w:val="List2"/>
    <w:rsid w:val="00AE4262"/>
    <w:pPr>
      <w:numPr>
        <w:numId w:val="7"/>
      </w:numPr>
    </w:pPr>
  </w:style>
  <w:style w:type="paragraph" w:styleId="List2">
    <w:name w:val="List 2"/>
    <w:basedOn w:val="BodyText"/>
    <w:rsid w:val="00AE4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2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2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4262"/>
    <w:pPr>
      <w:numPr>
        <w:numId w:val="3"/>
      </w:numPr>
    </w:pPr>
  </w:style>
  <w:style w:type="paragraph" w:styleId="ListContinue2">
    <w:name w:val="List Continue 2"/>
    <w:basedOn w:val="List2"/>
    <w:rsid w:val="00AE4262"/>
    <w:pPr>
      <w:ind w:firstLine="0"/>
    </w:pPr>
  </w:style>
  <w:style w:type="paragraph" w:styleId="ListContinue3">
    <w:name w:val="List Continue 3"/>
    <w:basedOn w:val="List3"/>
    <w:rsid w:val="00AE4262"/>
    <w:pPr>
      <w:ind w:left="1021" w:firstLine="0"/>
    </w:pPr>
  </w:style>
  <w:style w:type="paragraph" w:styleId="ListContinue4">
    <w:name w:val="List Continue 4"/>
    <w:basedOn w:val="List4"/>
    <w:rsid w:val="00AE4262"/>
    <w:pPr>
      <w:ind w:firstLine="0"/>
    </w:pPr>
  </w:style>
  <w:style w:type="paragraph" w:styleId="ListContinue5">
    <w:name w:val="List Continue 5"/>
    <w:basedOn w:val="List5"/>
    <w:rsid w:val="00AE4262"/>
    <w:pPr>
      <w:ind w:firstLine="0"/>
    </w:pPr>
  </w:style>
  <w:style w:type="paragraph" w:styleId="ListNumber3">
    <w:name w:val="List Number 3"/>
    <w:basedOn w:val="List3"/>
    <w:rsid w:val="00AE4262"/>
    <w:pPr>
      <w:numPr>
        <w:numId w:val="4"/>
      </w:numPr>
    </w:pPr>
  </w:style>
  <w:style w:type="paragraph" w:styleId="ListNumber4">
    <w:name w:val="List Number 4"/>
    <w:basedOn w:val="List4"/>
    <w:rsid w:val="00AE4262"/>
    <w:pPr>
      <w:numPr>
        <w:numId w:val="5"/>
      </w:numPr>
    </w:pPr>
  </w:style>
  <w:style w:type="paragraph" w:styleId="ListNumber5">
    <w:name w:val="List Number 5"/>
    <w:basedOn w:val="List5"/>
    <w:rsid w:val="00AE4262"/>
    <w:pPr>
      <w:numPr>
        <w:numId w:val="6"/>
      </w:numPr>
    </w:pPr>
  </w:style>
  <w:style w:type="paragraph" w:styleId="BlockText">
    <w:name w:val="Block Text"/>
    <w:basedOn w:val="Normal"/>
    <w:rsid w:val="00AE4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262"/>
    <w:rPr>
      <w:sz w:val="16"/>
      <w:vertAlign w:val="superscript"/>
    </w:rPr>
  </w:style>
  <w:style w:type="character" w:customStyle="1" w:styleId="Symbols">
    <w:name w:val="Symbols"/>
    <w:basedOn w:val="DefaultParagraphFont"/>
    <w:rsid w:val="00AE4262"/>
    <w:rPr>
      <w:rFonts w:ascii="Symbol" w:hAnsi="Symbol"/>
    </w:rPr>
  </w:style>
  <w:style w:type="character" w:customStyle="1" w:styleId="MenuOptions">
    <w:name w:val="Menu Options"/>
    <w:basedOn w:val="DefaultParagraphFont"/>
    <w:rsid w:val="00AE4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262"/>
    <w:rPr>
      <w:b/>
    </w:rPr>
  </w:style>
  <w:style w:type="character" w:customStyle="1" w:styleId="Underlined">
    <w:name w:val="Underlined"/>
    <w:basedOn w:val="DefaultParagraphFont"/>
    <w:rsid w:val="00AE4262"/>
    <w:rPr>
      <w:u w:val="single"/>
    </w:rPr>
  </w:style>
  <w:style w:type="paragraph" w:customStyle="1" w:styleId="TableBodyTextRight">
    <w:name w:val="Table Body Text Right"/>
    <w:basedOn w:val="TableBodyText"/>
    <w:rsid w:val="00AE4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262"/>
    <w:rPr>
      <w:sz w:val="18"/>
    </w:rPr>
  </w:style>
  <w:style w:type="paragraph" w:customStyle="1" w:styleId="BodySmallRight">
    <w:name w:val="Body Small Right"/>
    <w:basedOn w:val="BodyTextRight"/>
    <w:rsid w:val="00AE4262"/>
    <w:rPr>
      <w:sz w:val="18"/>
      <w:szCs w:val="18"/>
    </w:rPr>
  </w:style>
  <w:style w:type="paragraph" w:customStyle="1" w:styleId="MarginEdition">
    <w:name w:val="Margin Edition"/>
    <w:basedOn w:val="MarginNote"/>
    <w:rsid w:val="00AE4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262"/>
    <w:rPr>
      <w:sz w:val="2"/>
      <w:szCs w:val="2"/>
    </w:rPr>
  </w:style>
  <w:style w:type="character" w:customStyle="1" w:styleId="Small">
    <w:name w:val="Small"/>
    <w:basedOn w:val="DefaultParagraphFont"/>
    <w:rsid w:val="00AE4262"/>
    <w:rPr>
      <w:sz w:val="16"/>
    </w:rPr>
  </w:style>
  <w:style w:type="paragraph" w:customStyle="1" w:styleId="WideTable">
    <w:name w:val="Wide Table"/>
    <w:basedOn w:val="Normal"/>
    <w:rsid w:val="00AE4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262"/>
  </w:style>
  <w:style w:type="paragraph" w:styleId="Quote">
    <w:name w:val="Quote"/>
    <w:basedOn w:val="Heading1"/>
    <w:link w:val="QuoteChar"/>
    <w:qFormat/>
    <w:rsid w:val="00AE4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262"/>
    <w:pPr>
      <w:pageBreakBefore/>
    </w:pPr>
  </w:style>
  <w:style w:type="paragraph" w:customStyle="1" w:styleId="Border">
    <w:name w:val="Border"/>
    <w:basedOn w:val="Normal"/>
    <w:qFormat/>
    <w:rsid w:val="00AE4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262"/>
    <w:rPr>
      <w:u w:val="single"/>
    </w:rPr>
  </w:style>
  <w:style w:type="character" w:customStyle="1" w:styleId="BoldandItalics">
    <w:name w:val="Bold and Italics"/>
    <w:qFormat/>
    <w:rsid w:val="00AE4262"/>
    <w:rPr>
      <w:b/>
      <w:i/>
      <w:u w:val="none"/>
    </w:rPr>
  </w:style>
  <w:style w:type="paragraph" w:styleId="BalloonText">
    <w:name w:val="Balloon Text"/>
    <w:basedOn w:val="Normal"/>
    <w:link w:val="BalloonTextChar"/>
    <w:rsid w:val="00AE4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262"/>
    <w:pPr>
      <w:spacing w:before="0" w:after="0"/>
    </w:pPr>
  </w:style>
  <w:style w:type="paragraph" w:customStyle="1" w:styleId="BodyTextBold">
    <w:name w:val="Body Text Bold"/>
    <w:basedOn w:val="BodyText"/>
    <w:qFormat/>
    <w:rsid w:val="00AE4262"/>
    <w:rPr>
      <w:b/>
    </w:rPr>
  </w:style>
  <w:style w:type="character" w:styleId="Hyperlink">
    <w:name w:val="Hyperlink"/>
    <w:basedOn w:val="DefaultParagraphFont"/>
    <w:uiPriority w:val="99"/>
    <w:unhideWhenUsed/>
    <w:rsid w:val="00B60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4880</Characters>
  <Application>Microsoft Office Word</Application>
  <DocSecurity>0</DocSecurity>
  <Lines>162</Lines>
  <Paragraphs>96</Paragraphs>
  <ScaleCrop>false</ScaleCrop>
  <Company>Author-it Software Corporation Ltd.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RIIBLA203E Conduct mobile mixing of explosives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2022-10-18T13:54:00Z</dcterms:created>
  <dcterms:modified xsi:type="dcterms:W3CDTF">2022-10-18T13:54:00Z</dcterms:modified>
</cp:coreProperties>
</file>