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69F" w:rsidP="0028469F">
      <w:pPr>
        <w:pStyle w:val="Title"/>
      </w:pPr>
      <w:r>
        <w:fldChar w:fldCharType="begin"/>
      </w:r>
      <w:r>
        <w:instrText xml:space="preserve"> TITLE   \* MERGEFORMAT </w:instrText>
      </w:r>
      <w:r>
        <w:fldChar w:fldCharType="separate"/>
      </w:r>
      <w:r>
        <w:t>Assessment Requirements for RIIBLA203E Conduct mobile mixing of explosives</w:t>
      </w:r>
      <w:r>
        <w:fldChar w:fldCharType="end"/>
      </w:r>
    </w:p>
    <w:p w:rsidR="0028469F" w:rsidP="0028469F">
      <w:pPr>
        <w:pStyle w:val="Version"/>
        <w:sectPr w:rsidSect="00916D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DF2" w:rsidP="00916DF2">
      <w:pPr>
        <w:pStyle w:val="SuperHeading"/>
      </w:pPr>
      <w:r w:rsidRPr="00916DF2">
        <w:t>Assessment Requirements for RIIBLA203E Conduct mobile mixing of explosives</w:t>
      </w:r>
    </w:p>
    <w:p w:rsidR="00000000" w:rsidRPr="00916DF2" w:rsidP="00916DF2">
      <w:pPr>
        <w:pStyle w:val="Heading1"/>
      </w:pPr>
      <w:bookmarkStart w:id="1" w:name="O_1012261"/>
      <w:bookmarkEnd w:id="1"/>
      <w:r w:rsidRPr="00916DF2">
        <w:t>Modification History</w:t>
      </w:r>
    </w:p>
    <w:tbl>
      <w:tblPr>
        <w:tblW w:w="0" w:type="auto"/>
        <w:tblLayout w:type="fixed"/>
        <w:tblCellMar>
          <w:left w:w="62" w:type="dxa"/>
          <w:right w:w="62" w:type="dxa"/>
        </w:tblCellMar>
        <w:tblLook w:val="0000"/>
      </w:tblPr>
      <w:tblGrid>
        <w:gridCol w:w="2560"/>
        <w:gridCol w:w="6337"/>
      </w:tblGrid>
      <w:tr w:rsidTr="00916DF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DF2" w:rsidP="00916DF2">
            <w:pPr>
              <w:pStyle w:val="BodyText"/>
            </w:pPr>
            <w:r w:rsidRPr="00916D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DF2">
            <w:pPr>
              <w:pStyle w:val="BodyText"/>
              <w:rPr>
                <w:lang w:val="en-NZ"/>
              </w:rPr>
            </w:pPr>
            <w:r w:rsidRPr="00916DF2">
              <w:rPr>
                <w:rStyle w:val="SpecialBold"/>
              </w:rPr>
              <w:t>Comments</w:t>
            </w:r>
          </w:p>
        </w:tc>
      </w:tr>
      <w:tr w:rsidTr="00916DF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DF2">
            <w:pPr>
              <w:pStyle w:val="BodyText"/>
              <w:rPr>
                <w:lang w:val="en-NZ"/>
              </w:rPr>
            </w:pPr>
            <w:r w:rsidRPr="00916D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DF2" w:rsidP="00916DF2">
            <w:pPr>
              <w:pStyle w:val="BodyText"/>
            </w:pPr>
            <w:r w:rsidRPr="00916DF2">
              <w:t>This version first released with RII Resources and Infrastructure Industry Training Package Version 3.0.</w:t>
            </w:r>
          </w:p>
        </w:tc>
      </w:tr>
    </w:tbl>
    <w:p w:rsidR="0028469F" w:rsidP="00916DF2">
      <w:pPr>
        <w:pStyle w:val="BodyText"/>
      </w:pPr>
    </w:p>
    <w:p w:rsidR="0028469F" w:rsidP="00916DF2">
      <w:pPr>
        <w:pStyle w:val="BodyText"/>
      </w:pPr>
    </w:p>
    <w:p w:rsidR="00000000" w:rsidRPr="00916DF2" w:rsidP="00916DF2">
      <w:pPr>
        <w:pStyle w:val="Heading1"/>
      </w:pPr>
      <w:bookmarkStart w:id="2" w:name="O_1012264"/>
      <w:bookmarkEnd w:id="2"/>
      <w:r w:rsidRPr="00916DF2">
        <w:t>Performance Evidence</w:t>
      </w:r>
    </w:p>
    <w:p w:rsidR="00000000" w:rsidRPr="00916DF2" w:rsidP="0028469F">
      <w:pPr>
        <w:pStyle w:val="BodyText"/>
      </w:pPr>
      <w:r w:rsidRPr="00916DF2">
        <w:t>The candidate must demonstrate the ability to complete the tasks outlined in the elements and performance criteria of this unit.</w:t>
      </w:r>
    </w:p>
    <w:p w:rsidR="00000000" w:rsidRPr="00916DF2" w:rsidP="0028469F">
      <w:pPr>
        <w:pStyle w:val="BodyText"/>
      </w:pPr>
      <w:r w:rsidRPr="00916DF2">
        <w:t>The candidate must demonstrate completion of mobile mixing of explosives that safely, ef</w:t>
      </w:r>
      <w:r w:rsidRPr="00916DF2">
        <w:t>fectively and efficiently follows legislative requirements and workplace procedures to meet required outcomes on at least two occasions. This includes:</w:t>
      </w:r>
    </w:p>
    <w:p w:rsidR="00000000" w:rsidRPr="00916DF2" w:rsidP="00916DF2">
      <w:pPr>
        <w:pStyle w:val="ListBullet"/>
      </w:pPr>
      <w:r w:rsidRPr="00916DF2">
        <w:t>preparing for blasting operations</w:t>
      </w:r>
    </w:p>
    <w:p w:rsidR="00000000" w:rsidRPr="00916DF2" w:rsidP="00916DF2">
      <w:pPr>
        <w:pStyle w:val="ListBullet"/>
      </w:pPr>
      <w:r w:rsidRPr="00916DF2">
        <w:t>performing pre-start and shutdown checks</w:t>
      </w:r>
    </w:p>
    <w:p w:rsidR="00000000" w:rsidRPr="00916DF2" w:rsidP="00916DF2">
      <w:pPr>
        <w:pStyle w:val="ListBullet"/>
      </w:pPr>
      <w:r w:rsidRPr="00916DF2">
        <w:t>handling, loading and transporting explosives precursors and explosives</w:t>
      </w:r>
    </w:p>
    <w:p w:rsidR="00000000" w:rsidRPr="00916DF2" w:rsidP="00916DF2">
      <w:pPr>
        <w:pStyle w:val="ListBullet"/>
      </w:pPr>
      <w:r w:rsidRPr="00916DF2">
        <w:t>mixing explosives</w:t>
      </w:r>
    </w:p>
    <w:p w:rsidR="00000000" w:rsidRPr="00916DF2" w:rsidP="00916DF2">
      <w:pPr>
        <w:pStyle w:val="ListBullet"/>
      </w:pPr>
      <w:r w:rsidRPr="00916DF2">
        <w:t>delivering explosives into blast hole</w:t>
      </w:r>
    </w:p>
    <w:p w:rsidR="00000000" w:rsidRPr="00916DF2" w:rsidP="00916DF2">
      <w:pPr>
        <w:pStyle w:val="ListBullet"/>
      </w:pPr>
      <w:r w:rsidRPr="00916DF2">
        <w:t>performing cup weight density checks and confirming that measurements are to specification.</w:t>
      </w:r>
    </w:p>
    <w:p w:rsidR="00000000" w:rsidRPr="00916DF2" w:rsidP="0028469F">
      <w:pPr>
        <w:pStyle w:val="BodyText"/>
      </w:pPr>
      <w:r w:rsidRPr="00916DF2">
        <w:t>In the course of the above work, the</w:t>
      </w:r>
      <w:r w:rsidRPr="00916DF2">
        <w:t xml:space="preserve"> candidate must also:</w:t>
      </w:r>
    </w:p>
    <w:p w:rsidR="00000000" w:rsidRPr="00916DF2" w:rsidP="00916DF2">
      <w:pPr>
        <w:pStyle w:val="ListBullet"/>
      </w:pPr>
      <w:r w:rsidRPr="00916DF2">
        <w:t>locate and apply required documentation, policies and procedures</w:t>
      </w:r>
    </w:p>
    <w:p w:rsidR="00000000" w:rsidRPr="00916DF2" w:rsidP="00916DF2">
      <w:pPr>
        <w:pStyle w:val="ListBullet"/>
      </w:pPr>
      <w:r w:rsidRPr="00916DF2">
        <w:t>drive and operate mobile processing units in line with site conditions</w:t>
      </w:r>
    </w:p>
    <w:p w:rsidR="00000000" w:rsidRPr="00916DF2" w:rsidP="00916DF2">
      <w:pPr>
        <w:pStyle w:val="ListBullet"/>
      </w:pPr>
      <w:r w:rsidRPr="00916DF2">
        <w:t>identify common equipment faults</w:t>
      </w:r>
    </w:p>
    <w:p w:rsidR="00000000" w:rsidRPr="00916DF2" w:rsidP="00916DF2">
      <w:pPr>
        <w:pStyle w:val="ListBullet"/>
      </w:pPr>
      <w:r w:rsidRPr="00916DF2">
        <w:t>calibrate vehicle or unit where applicable</w:t>
      </w:r>
    </w:p>
    <w:p w:rsidR="00000000" w:rsidRPr="00916DF2" w:rsidP="00916DF2">
      <w:pPr>
        <w:pStyle w:val="ListBullet"/>
      </w:pPr>
      <w:r w:rsidRPr="00916DF2">
        <w:t xml:space="preserve">maintain security of </w:t>
      </w:r>
      <w:r w:rsidRPr="00916DF2">
        <w:t>explosives precursors</w:t>
      </w:r>
    </w:p>
    <w:p w:rsidR="00000000" w:rsidRPr="00916DF2" w:rsidP="00916DF2">
      <w:pPr>
        <w:pStyle w:val="ListBullet"/>
      </w:pPr>
      <w:r w:rsidRPr="00916DF2">
        <w:t>operate emergency shutdown systems</w:t>
      </w:r>
    </w:p>
    <w:p w:rsidR="00000000" w:rsidRPr="00916DF2" w:rsidP="00916DF2">
      <w:pPr>
        <w:pStyle w:val="ListBullet"/>
      </w:pPr>
      <w:r w:rsidRPr="00916DF2">
        <w:t>select and wear personal protective equipment required by work activities</w:t>
      </w:r>
    </w:p>
    <w:p w:rsidR="00000000" w:rsidRPr="00916DF2" w:rsidP="00916DF2">
      <w:pPr>
        <w:pStyle w:val="ListBullet"/>
      </w:pPr>
      <w:r w:rsidRPr="00916DF2">
        <w:t>use a spill kit</w:t>
      </w:r>
    </w:p>
    <w:p w:rsidR="00000000" w:rsidRPr="00916DF2" w:rsidP="00916DF2">
      <w:pPr>
        <w:pStyle w:val="ListBullet"/>
      </w:pPr>
      <w:r w:rsidRPr="00916DF2">
        <w:t>apply safe work practices.</w:t>
      </w:r>
    </w:p>
    <w:p w:rsidR="00000000" w:rsidRPr="00916DF2" w:rsidP="00916DF2">
      <w:pPr>
        <w:pStyle w:val="AllowPageBreak"/>
      </w:pPr>
    </w:p>
    <w:p w:rsidR="00000000" w:rsidRPr="00916DF2" w:rsidP="00916DF2">
      <w:pPr>
        <w:pStyle w:val="Heading1"/>
      </w:pPr>
      <w:bookmarkStart w:id="3" w:name="O_1012263"/>
      <w:bookmarkEnd w:id="3"/>
      <w:r w:rsidRPr="00916DF2">
        <w:t>Knowledge Evidence</w:t>
      </w:r>
    </w:p>
    <w:p w:rsidR="00000000" w:rsidRPr="00916DF2" w:rsidP="0028469F">
      <w:pPr>
        <w:pStyle w:val="BodyText"/>
      </w:pPr>
      <w:r w:rsidRPr="00916DF2">
        <w:t>The candidate must demonstrate the following</w:t>
      </w:r>
      <w:r w:rsidRPr="00916DF2">
        <w:t xml:space="preserve"> knowledge to effectively complete the tasks outlined in the elements and performance criteria of this unit.</w:t>
      </w:r>
    </w:p>
    <w:p w:rsidR="00000000" w:rsidRPr="00916DF2" w:rsidP="0028469F">
      <w:pPr>
        <w:pStyle w:val="BodyText"/>
      </w:pPr>
      <w:r w:rsidRPr="00916DF2">
        <w:t>Key policies and procedures, state and territory legislation, codes of practice, and requirements when conducting the mobile mixing described in th</w:t>
      </w:r>
      <w:r w:rsidRPr="00916DF2">
        <w:t>e performance evidence above, including those relating to:</w:t>
      </w:r>
    </w:p>
    <w:p w:rsidR="00000000" w:rsidRPr="00916DF2" w:rsidP="00916DF2">
      <w:pPr>
        <w:pStyle w:val="ListBullet"/>
      </w:pPr>
      <w:r w:rsidRPr="00916DF2">
        <w:t>fires, accidents and emergencies</w:t>
      </w:r>
    </w:p>
    <w:p w:rsidR="00000000" w:rsidRPr="00916DF2" w:rsidP="00916DF2">
      <w:pPr>
        <w:pStyle w:val="ListBullet"/>
      </w:pPr>
      <w:r w:rsidRPr="00916DF2">
        <w:t>personal protective equipment and safety equipment</w:t>
      </w:r>
    </w:p>
    <w:p w:rsidR="00000000" w:rsidRPr="00916DF2" w:rsidP="00916DF2">
      <w:pPr>
        <w:pStyle w:val="ListBullet"/>
      </w:pPr>
      <w:r w:rsidRPr="00916DF2">
        <w:t>separation of incompatible goods prior to loading mobile processing unit (MPU)</w:t>
      </w:r>
    </w:p>
    <w:p w:rsidR="00000000" w:rsidRPr="00916DF2" w:rsidP="00916DF2">
      <w:pPr>
        <w:pStyle w:val="ListBullet"/>
      </w:pPr>
      <w:r w:rsidRPr="00916DF2">
        <w:t>decontamination of units</w:t>
      </w:r>
    </w:p>
    <w:p w:rsidR="00000000" w:rsidRPr="00916DF2" w:rsidP="00916DF2">
      <w:pPr>
        <w:pStyle w:val="ListBullet"/>
      </w:pPr>
      <w:r w:rsidRPr="00916DF2">
        <w:t>security of explosives precursors</w:t>
      </w:r>
    </w:p>
    <w:p w:rsidR="00000000" w:rsidRPr="00916DF2" w:rsidP="00916DF2">
      <w:pPr>
        <w:pStyle w:val="ListBullet"/>
      </w:pPr>
      <w:r w:rsidRPr="00916DF2">
        <w:t>safety data sheets</w:t>
      </w:r>
    </w:p>
    <w:p w:rsidR="00000000" w:rsidRPr="00916DF2" w:rsidP="00916DF2">
      <w:pPr>
        <w:pStyle w:val="ListBullet"/>
      </w:pPr>
      <w:r w:rsidRPr="00916DF2">
        <w:t>authorities to operate an MPU.</w:t>
      </w:r>
    </w:p>
    <w:p w:rsidR="00000000" w:rsidRPr="00916DF2" w:rsidP="0028469F">
      <w:pPr>
        <w:pStyle w:val="BodyText"/>
      </w:pPr>
      <w:r w:rsidRPr="00916DF2">
        <w:t>Key factors affecting work activities described in performance evidence above, including:</w:t>
      </w:r>
    </w:p>
    <w:p w:rsidR="00000000" w:rsidRPr="00916DF2" w:rsidP="00916DF2">
      <w:pPr>
        <w:pStyle w:val="ListBullet"/>
      </w:pPr>
      <w:r w:rsidRPr="00916DF2">
        <w:t>differences between above and underground mobile mixing units</w:t>
      </w:r>
    </w:p>
    <w:p w:rsidR="00000000" w:rsidRPr="00916DF2" w:rsidP="00916DF2">
      <w:pPr>
        <w:pStyle w:val="ListBullet"/>
      </w:pPr>
      <w:r w:rsidRPr="00916DF2">
        <w:t xml:space="preserve">types, properties, </w:t>
      </w:r>
      <w:r w:rsidRPr="00916DF2">
        <w:t>and hazards of explosives precursors and products manufactured</w:t>
      </w:r>
    </w:p>
    <w:p w:rsidR="00000000" w:rsidRPr="00916DF2" w:rsidP="00916DF2">
      <w:pPr>
        <w:pStyle w:val="ListBullet"/>
      </w:pPr>
      <w:r w:rsidRPr="00916DF2">
        <w:t>purpose of density checks and outcomes of manufacturing out-of-specification explosives</w:t>
      </w:r>
    </w:p>
    <w:p w:rsidR="00000000" w:rsidRPr="00916DF2" w:rsidP="00916DF2">
      <w:pPr>
        <w:pStyle w:val="ListBullet"/>
      </w:pPr>
      <w:r w:rsidRPr="00916DF2">
        <w:t>carrying capacity of MPUs being used in the performance evidence above</w:t>
      </w:r>
    </w:p>
    <w:p w:rsidR="00000000" w:rsidRPr="00916DF2" w:rsidP="00916DF2">
      <w:pPr>
        <w:pStyle w:val="ListBullet"/>
      </w:pPr>
      <w:r w:rsidRPr="00916DF2">
        <w:t>mixing parameters and ratios of ex</w:t>
      </w:r>
      <w:r w:rsidRPr="00916DF2">
        <w:t>plosives precursors</w:t>
      </w:r>
    </w:p>
    <w:p w:rsidR="00000000" w:rsidRPr="00916DF2" w:rsidP="00916DF2">
      <w:pPr>
        <w:pStyle w:val="ListBullet"/>
      </w:pPr>
      <w:r w:rsidRPr="00916DF2">
        <w:t>incompatible precursors and methods of segregation</w:t>
      </w:r>
    </w:p>
    <w:p w:rsidR="00000000" w:rsidRPr="00916DF2" w:rsidP="00916DF2">
      <w:pPr>
        <w:pStyle w:val="ListBullet"/>
      </w:pPr>
      <w:r w:rsidRPr="00916DF2">
        <w:t>configuration, accessories and working parts of MPUs</w:t>
      </w:r>
    </w:p>
    <w:p w:rsidR="0028469F" w:rsidP="00916DF2">
      <w:pPr>
        <w:pStyle w:val="ListBullet"/>
      </w:pPr>
      <w:r w:rsidRPr="00916DF2">
        <w:t>MPU loading equipment and methods.</w:t>
      </w:r>
    </w:p>
    <w:p w:rsidR="0028469F" w:rsidP="00916DF2">
      <w:pPr>
        <w:pStyle w:val="ListBullet"/>
      </w:pPr>
    </w:p>
    <w:p w:rsidR="00000000" w:rsidRPr="00916DF2" w:rsidP="00916DF2">
      <w:pPr>
        <w:pStyle w:val="Heading1"/>
      </w:pPr>
      <w:bookmarkStart w:id="4" w:name="O_1012262"/>
      <w:bookmarkEnd w:id="4"/>
      <w:r w:rsidRPr="00916DF2">
        <w:t>Assessment Conditions</w:t>
      </w:r>
    </w:p>
    <w:p w:rsidR="00000000" w:rsidRPr="00916DF2" w:rsidP="0028469F">
      <w:pPr>
        <w:pStyle w:val="BodyText"/>
      </w:pPr>
      <w:r w:rsidRPr="00916DF2">
        <w:t>Mandatory conditions for assessment of this unit are st</w:t>
      </w:r>
      <w:r w:rsidRPr="00916DF2">
        <w:t>ipulated below.</w:t>
      </w:r>
    </w:p>
    <w:p w:rsidR="00000000" w:rsidRPr="00916DF2" w:rsidP="0028469F">
      <w:pPr>
        <w:pStyle w:val="BodyText"/>
      </w:pPr>
      <w:r w:rsidRPr="00916DF2">
        <w:t>The assessment must:</w:t>
      </w:r>
    </w:p>
    <w:p w:rsidR="00000000" w:rsidRPr="00916DF2" w:rsidP="00916DF2">
      <w:pPr>
        <w:pStyle w:val="ListBullet"/>
      </w:pPr>
      <w:r w:rsidRPr="00916DF2">
        <w:t>include access to:</w:t>
      </w:r>
    </w:p>
    <w:p w:rsidR="00000000" w:rsidRPr="00916DF2" w:rsidP="00916DF2">
      <w:pPr>
        <w:pStyle w:val="ListBullet2"/>
      </w:pPr>
      <w:r w:rsidRPr="00916DF2">
        <w:t>mobile mixing vehicle or unit</w:t>
      </w:r>
    </w:p>
    <w:p w:rsidR="00000000" w:rsidRPr="00916DF2" w:rsidP="00916DF2">
      <w:pPr>
        <w:pStyle w:val="ListBullet2"/>
      </w:pPr>
      <w:r w:rsidRPr="00916DF2">
        <w:t>explosives precursors</w:t>
      </w:r>
    </w:p>
    <w:p w:rsidR="00000000" w:rsidRPr="00916DF2" w:rsidP="00916DF2">
      <w:pPr>
        <w:pStyle w:val="ListBullet2"/>
      </w:pPr>
      <w:r w:rsidRPr="00916DF2">
        <w:t>personal protective equipment required for the activities described in the performance evidence</w:t>
      </w:r>
    </w:p>
    <w:p w:rsidR="00000000" w:rsidRPr="00916DF2" w:rsidP="00916DF2">
      <w:pPr>
        <w:pStyle w:val="ListBullet"/>
      </w:pPr>
      <w:r w:rsidRPr="00916DF2">
        <w:t>be conducted in a safe environment</w:t>
      </w:r>
    </w:p>
    <w:p w:rsidR="00000000" w:rsidRPr="00916DF2" w:rsidP="00916DF2">
      <w:pPr>
        <w:pStyle w:val="ListBullet"/>
      </w:pPr>
      <w:r w:rsidRPr="00916DF2">
        <w:t>be assessed in the context of this sector’s work environment</w:t>
      </w:r>
    </w:p>
    <w:p w:rsidR="00000000" w:rsidRPr="00916DF2" w:rsidP="00916DF2">
      <w:pPr>
        <w:pStyle w:val="ListBullet"/>
      </w:pPr>
      <w:r w:rsidRPr="00916DF2">
        <w:t>be assessed in compliance with relevant legislation and regulations; and using policies, procedures, processes and operational manuals directly related to the industry sector for which it is bein</w:t>
      </w:r>
      <w:r w:rsidRPr="00916DF2">
        <w:t>g assessed</w:t>
      </w:r>
    </w:p>
    <w:p w:rsidR="00000000" w:rsidRPr="00916DF2" w:rsidP="00916DF2">
      <w:pPr>
        <w:pStyle w:val="ListBullet"/>
      </w:pPr>
      <w:r w:rsidRPr="00916DF2">
        <w:t>confirm consistent performance can be applied in a range of relevant workplace circumstances.</w:t>
      </w:r>
    </w:p>
    <w:p w:rsidR="00000000" w:rsidRPr="00916DF2" w:rsidP="0028469F">
      <w:pPr>
        <w:pStyle w:val="Heading3"/>
      </w:pPr>
      <w:r w:rsidRPr="00916DF2">
        <w:rPr>
          <w:rStyle w:val="SpecialBold"/>
        </w:rPr>
        <w:t>Assessor requirements</w:t>
      </w:r>
    </w:p>
    <w:p w:rsidR="00000000" w:rsidRPr="00916DF2" w:rsidP="0028469F">
      <w:pPr>
        <w:pStyle w:val="BodyText"/>
      </w:pPr>
      <w:r w:rsidRPr="00916DF2">
        <w:t>Assessors must be able to clearly demonstrate current and relevant industry knowledge and experience to satisfy the mandatory com</w:t>
      </w:r>
      <w:r w:rsidRPr="00916DF2">
        <w:t>petency standards as set out in the Standards for Registered Training Organisations (RTOs) current at the time of assessment. This includes:</w:t>
      </w:r>
    </w:p>
    <w:p w:rsidR="00000000" w:rsidRPr="00916DF2" w:rsidP="00916DF2">
      <w:pPr>
        <w:pStyle w:val="ListBullet"/>
      </w:pPr>
      <w:r w:rsidRPr="00916DF2">
        <w:t>having knowledge of and/or experience using the latest techniques and processes</w:t>
      </w:r>
    </w:p>
    <w:p w:rsidR="00000000" w:rsidRPr="00916DF2" w:rsidP="00916DF2">
      <w:pPr>
        <w:pStyle w:val="ListBullet"/>
      </w:pPr>
      <w:r w:rsidRPr="00916DF2">
        <w:t>possessing a high level of RII tra</w:t>
      </w:r>
      <w:r w:rsidRPr="00916DF2">
        <w:t>ining product knowledge</w:t>
      </w:r>
    </w:p>
    <w:p w:rsidR="00000000" w:rsidRPr="00916DF2" w:rsidP="00916DF2">
      <w:pPr>
        <w:pStyle w:val="ListBullet"/>
      </w:pPr>
      <w:r w:rsidRPr="00916DF2">
        <w:t>having understanding and knowledge of legislation and regulations relevant to the industry and to employment and workplaces</w:t>
      </w:r>
    </w:p>
    <w:p w:rsidR="00000000" w:rsidRPr="00916DF2" w:rsidP="00916DF2">
      <w:pPr>
        <w:pStyle w:val="ListBullet"/>
      </w:pPr>
      <w:r w:rsidRPr="00916DF2">
        <w:t>possessing formal industry and training qualifications to the level being assessed</w:t>
      </w:r>
    </w:p>
    <w:p w:rsidR="00000000" w:rsidRPr="00916DF2" w:rsidP="00916DF2">
      <w:pPr>
        <w:pStyle w:val="ListBullet"/>
      </w:pPr>
      <w:r w:rsidRPr="00916DF2">
        <w:t>demonstrating the perform</w:t>
      </w:r>
      <w:r w:rsidRPr="00916DF2">
        <w:t>ance evidence and knowledge evidence outlined in this unit of competency, and through the minimum years of current* work experience specified below in an industry sector relevant to the outcomes of the unit.</w:t>
      </w:r>
    </w:p>
    <w:p w:rsidR="00000000" w:rsidRPr="00916DF2" w:rsidP="0028469F">
      <w:pPr>
        <w:pStyle w:val="BodyText"/>
      </w:pPr>
      <w:r w:rsidRPr="00916DF2">
        <w:t>Where the assessor does not meet experience requ</w:t>
      </w:r>
      <w:r w:rsidRPr="00916DF2">
        <w:t xml:space="preserve">irements, a co-assessment or partnership arrangement must exist between the qualified assessor and an industry subject matter expert. The industry subject matter expert should hold the unit being assessed (or an equivalent unit), and must also demonstrate </w:t>
      </w:r>
      <w:r w:rsidRPr="00916DF2">
        <w:t>skills and knowledge from the minimum years of current work experience specified below, including time spent in roles related to the unit being assessed.</w:t>
      </w:r>
    </w:p>
    <w:tbl>
      <w:tblPr>
        <w:tblW w:w="0" w:type="auto"/>
        <w:tblLayout w:type="fixed"/>
        <w:tblCellMar>
          <w:left w:w="62" w:type="dxa"/>
          <w:right w:w="62" w:type="dxa"/>
        </w:tblCellMar>
        <w:tblLook w:val="0000"/>
      </w:tblPr>
      <w:tblGrid>
        <w:gridCol w:w="1933"/>
        <w:gridCol w:w="1303"/>
        <w:gridCol w:w="1764"/>
      </w:tblGrid>
      <w:tr w:rsidTr="00916DF2">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Heading4"/>
              <w:rPr>
                <w:lang w:val="en-NZ"/>
              </w:rPr>
            </w:pPr>
            <w:r w:rsidRPr="00916DF2">
              <w:t>Industry sector</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Heading4"/>
              <w:rPr>
                <w:lang w:val="en-NZ"/>
              </w:rPr>
            </w:pPr>
            <w:r w:rsidRPr="00916DF2">
              <w:t>AQF** level</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Heading4"/>
              <w:rPr>
                <w:lang w:val="en-NZ"/>
              </w:rPr>
            </w:pPr>
            <w:r w:rsidRPr="00916DF2">
              <w:t>Required assessor or industry subject matter expert experience</w:t>
            </w:r>
          </w:p>
        </w:tc>
      </w:tr>
      <w:tr w:rsidTr="00916DF2">
        <w:tblPrEx>
          <w:tblW w:w="0" w:type="auto"/>
          <w:tblLayout w:type="fixed"/>
          <w:tblCellMar>
            <w:left w:w="62" w:type="dxa"/>
            <w:right w:w="62" w:type="dxa"/>
          </w:tblCellMar>
          <w:tblLook w:val="0000"/>
        </w:tblPrEx>
        <w:tc>
          <w:tcPr>
            <w:tcW w:w="193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Drilling, Metalliferous Mining, Coal Mining, Extractive (Quarrying)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1</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1 Year</w:t>
            </w:r>
          </w:p>
        </w:tc>
      </w:tr>
      <w:tr w:rsidTr="00916DF2">
        <w:tblPrEx>
          <w:tblW w:w="0" w:type="auto"/>
          <w:tblLayout w:type="fixed"/>
          <w:tblCellMar>
            <w:left w:w="62" w:type="dxa"/>
            <w:right w:w="62" w:type="dxa"/>
          </w:tblCellMar>
          <w:tblLook w:val="0000"/>
        </w:tblPrEx>
        <w:tc>
          <w:tcPr>
            <w:tcW w:w="193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2</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2 Years</w:t>
            </w:r>
          </w:p>
        </w:tc>
      </w:tr>
      <w:tr w:rsidTr="00916DF2">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 xml:space="preserve">Drilling, Coal Mining and Extractive (Quarrying) </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3 Years</w:t>
            </w:r>
          </w:p>
        </w:tc>
      </w:tr>
      <w:tr w:rsidTr="00916DF2">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Metalliferous Mining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5 Years</w:t>
            </w:r>
          </w:p>
        </w:tc>
      </w:tr>
      <w:tr w:rsidTr="00916DF2">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DF2">
            <w:pPr>
              <w:pStyle w:val="BodyText"/>
              <w:rPr>
                <w:lang w:val="en-NZ"/>
              </w:rPr>
            </w:pPr>
            <w:r w:rsidRPr="00916DF2">
              <w:t>Other sectors</w:t>
            </w:r>
          </w:p>
        </w:tc>
        <w:tc>
          <w:tcPr>
            <w:tcW w:w="30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DF2" w:rsidP="00916DF2">
            <w:pPr>
              <w:pStyle w:val="BodyText"/>
            </w:pPr>
            <w:r w:rsidRPr="00916DF2">
              <w:t>Where this unit is being assessed outside of the resources and infrastructure sectors, assessor and/or industry subject matter expert experience should be in line with industry standards for the sector in which it is being assessed and, where no industry s</w:t>
            </w:r>
            <w:r w:rsidRPr="00916DF2">
              <w:t>tandard is specified, should comply with any relevant regulation.</w:t>
            </w:r>
          </w:p>
        </w:tc>
      </w:tr>
    </w:tbl>
    <w:p w:rsidR="00000000" w:rsidRPr="00916DF2" w:rsidP="0028469F">
      <w:pPr>
        <w:pStyle w:val="BodyText"/>
      </w:pPr>
      <w:r w:rsidRPr="00916DF2">
        <w:t xml:space="preserve">*Assessors can demonstrate current work experience through employment within industry in a role relevant to the outcomes of the unit; or, for external </w:t>
      </w:r>
      <w:r w:rsidRPr="00916DF2">
        <w:t>assessors this can be demonstrated through exposure to industry by conducting frequent site assessments across various locations.</w:t>
      </w:r>
    </w:p>
    <w:p w:rsidR="00000000" w:rsidRPr="00916DF2" w:rsidP="0028469F">
      <w:pPr>
        <w:pStyle w:val="BodyText"/>
      </w:pPr>
      <w:r w:rsidRPr="00916DF2">
        <w:t>**Where a unit is being delivered outside of a qualification, the first numeric character in the unit code should be considere</w:t>
      </w:r>
      <w:r w:rsidRPr="00916DF2">
        <w:t>d to indicate the AQF level.</w:t>
      </w:r>
    </w:p>
    <w:p w:rsidR="00000000" w:rsidRPr="00916DF2" w:rsidP="00916DF2">
      <w:pPr>
        <w:pStyle w:val="Heading1"/>
      </w:pPr>
      <w:bookmarkStart w:id="5" w:name="O_1012260"/>
      <w:bookmarkEnd w:id="5"/>
      <w:r w:rsidRPr="00916DF2">
        <w:t>Links</w:t>
      </w:r>
    </w:p>
    <w:p w:rsidR="00000000" w:rsidRPr="00916DF2" w:rsidP="0028469F">
      <w:pPr>
        <w:pStyle w:val="BodyText"/>
      </w:pPr>
      <w:r w:rsidRPr="00916D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F2894">
        <w:rPr>
          <w:rStyle w:val="Hyperlink"/>
        </w:rPr>
        <w:t>https://vetnet.gov.au/Pages/TrainingDocs.aspx?q=88a61002-9a21-4386-aaf8-69c76e675272</w:t>
      </w:r>
      <w:r>
        <w:fldChar w:fldCharType="end"/>
      </w:r>
    </w:p>
    <w:p w:rsidR="00000000" w:rsidRPr="00916DF2" w:rsidP="00916DF2"/>
    <w:sectPr w:rsidSect="00916D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2" w:rsidRPr="0028469F" w:rsidP="00284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9F" w:rsidP="00916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69F" w:rsidP="00916D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469F" w:rsidP="00916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DF2" w:rsidRPr="0028469F" w:rsidP="00284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9F" w:rsidRPr="002D2AF8" w:rsidP="00916DF2">
    <w:pPr>
      <w:pStyle w:val="Header"/>
      <w:framePr w:wrap="around"/>
    </w:pPr>
    <w:r>
      <w:fldChar w:fldCharType="begin"/>
    </w:r>
    <w:r>
      <w:instrText xml:space="preserve"> TITLE   \* MERGEFORMAT </w:instrText>
    </w:r>
    <w:r>
      <w:fldChar w:fldCharType="separate"/>
    </w:r>
    <w:r>
      <w:t>Assessment Requirements for RIIBLA203E Conduct mobile mixing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8469F" w:rsidP="00916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63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E2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A0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DF2"/>
    <w:pPr>
      <w:spacing w:before="360" w:after="60"/>
      <w:outlineLvl w:val="0"/>
    </w:pPr>
    <w:rPr>
      <w:sz w:val="32"/>
    </w:rPr>
  </w:style>
  <w:style w:type="paragraph" w:styleId="Heading2">
    <w:name w:val="heading 2"/>
    <w:basedOn w:val="HeadingBase"/>
    <w:next w:val="BodyText"/>
    <w:link w:val="Heading2Char"/>
    <w:qFormat/>
    <w:rsid w:val="00916DF2"/>
    <w:pPr>
      <w:keepLines/>
      <w:spacing w:before="240" w:after="120"/>
      <w:outlineLvl w:val="1"/>
    </w:pPr>
    <w:rPr>
      <w:sz w:val="28"/>
      <w:szCs w:val="40"/>
    </w:rPr>
  </w:style>
  <w:style w:type="paragraph" w:styleId="Heading3">
    <w:name w:val="heading 3"/>
    <w:basedOn w:val="HeadingBase"/>
    <w:next w:val="BodyText"/>
    <w:link w:val="Heading3Char"/>
    <w:qFormat/>
    <w:rsid w:val="00916DF2"/>
    <w:pPr>
      <w:spacing w:before="180" w:after="120"/>
      <w:outlineLvl w:val="2"/>
    </w:pPr>
    <w:rPr>
      <w:spacing w:val="-10"/>
      <w:kern w:val="32"/>
    </w:rPr>
  </w:style>
  <w:style w:type="paragraph" w:styleId="Heading4">
    <w:name w:val="heading 4"/>
    <w:basedOn w:val="HeadingBase"/>
    <w:next w:val="BodyText"/>
    <w:link w:val="Heading4Char"/>
    <w:qFormat/>
    <w:rsid w:val="00916DF2"/>
    <w:pPr>
      <w:spacing w:before="160" w:after="120"/>
      <w:outlineLvl w:val="3"/>
    </w:pPr>
    <w:rPr>
      <w:sz w:val="22"/>
    </w:rPr>
  </w:style>
  <w:style w:type="paragraph" w:styleId="Heading5">
    <w:name w:val="heading 5"/>
    <w:basedOn w:val="HeadingBase"/>
    <w:next w:val="Normal"/>
    <w:link w:val="Heading5Char"/>
    <w:qFormat/>
    <w:rsid w:val="00916DF2"/>
    <w:pPr>
      <w:spacing w:before="80"/>
      <w:outlineLvl w:val="4"/>
    </w:pPr>
    <w:rPr>
      <w:color w:val="918585"/>
      <w:sz w:val="20"/>
    </w:rPr>
  </w:style>
  <w:style w:type="paragraph" w:styleId="Heading6">
    <w:name w:val="heading 6"/>
    <w:basedOn w:val="HeadingBase"/>
    <w:next w:val="Normal"/>
    <w:link w:val="Heading6Char"/>
    <w:qFormat/>
    <w:rsid w:val="00916DF2"/>
    <w:pPr>
      <w:spacing w:before="60"/>
      <w:outlineLvl w:val="5"/>
    </w:pPr>
    <w:rPr>
      <w:color w:val="918585"/>
      <w:sz w:val="20"/>
    </w:rPr>
  </w:style>
  <w:style w:type="paragraph" w:styleId="Heading7">
    <w:name w:val="heading 7"/>
    <w:basedOn w:val="Normal"/>
    <w:next w:val="Normal"/>
    <w:link w:val="Heading7Char"/>
    <w:qFormat/>
    <w:rsid w:val="00916DF2"/>
    <w:pPr>
      <w:ind w:left="720"/>
      <w:outlineLvl w:val="6"/>
    </w:pPr>
    <w:rPr>
      <w:i/>
    </w:rPr>
  </w:style>
  <w:style w:type="paragraph" w:styleId="Heading8">
    <w:name w:val="heading 8"/>
    <w:basedOn w:val="Normal"/>
    <w:next w:val="Normal"/>
    <w:link w:val="Heading8Char"/>
    <w:qFormat/>
    <w:rsid w:val="00916DF2"/>
    <w:pPr>
      <w:ind w:left="720"/>
      <w:outlineLvl w:val="7"/>
    </w:pPr>
    <w:rPr>
      <w:i/>
    </w:rPr>
  </w:style>
  <w:style w:type="paragraph" w:styleId="Heading9">
    <w:name w:val="heading 9"/>
    <w:basedOn w:val="Normal"/>
    <w:next w:val="Normal"/>
    <w:link w:val="Heading9Char"/>
    <w:qFormat/>
    <w:rsid w:val="00916DF2"/>
    <w:pPr>
      <w:ind w:left="720"/>
      <w:outlineLvl w:val="8"/>
    </w:pPr>
    <w:rPr>
      <w:i/>
    </w:rPr>
  </w:style>
  <w:style w:type="character" w:default="1" w:styleId="DefaultParagraphFont">
    <w:name w:val="Default Paragraph Font"/>
    <w:uiPriority w:val="1"/>
    <w:unhideWhenUsed/>
    <w:rsid w:val="00916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DF2"/>
  </w:style>
  <w:style w:type="character" w:customStyle="1" w:styleId="Heading1Char">
    <w:name w:val="Heading 1 Char"/>
    <w:basedOn w:val="DefaultParagraphFont"/>
    <w:link w:val="Heading1"/>
    <w:rsid w:val="00916D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6DF2"/>
    <w:rPr>
      <w:rFonts w:ascii="Times New Roman" w:eastAsia="Times New Roman" w:hAnsi="Times New Roman" w:cs="Times New Roman"/>
      <w:b/>
      <w:szCs w:val="20"/>
      <w:lang w:eastAsia="en-US"/>
    </w:rPr>
  </w:style>
  <w:style w:type="paragraph" w:styleId="BodyText">
    <w:name w:val="Body Text"/>
    <w:basedOn w:val="Normal"/>
    <w:link w:val="BodyTextChar"/>
    <w:rsid w:val="00916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DF2"/>
    <w:rPr>
      <w:rFonts w:ascii="Times New Roman" w:eastAsia="Times New Roman" w:hAnsi="Times New Roman" w:cs="Times New Roman"/>
      <w:sz w:val="24"/>
      <w:lang w:eastAsia="en-US"/>
    </w:rPr>
  </w:style>
  <w:style w:type="paragraph" w:styleId="ListBullet">
    <w:name w:val="List Bullet"/>
    <w:basedOn w:val="List"/>
    <w:rsid w:val="00916DF2"/>
    <w:pPr>
      <w:numPr>
        <w:numId w:val="12"/>
      </w:numPr>
      <w:tabs>
        <w:tab w:val="clear" w:pos="340"/>
      </w:tabs>
      <w:spacing w:before="40" w:after="40"/>
    </w:pPr>
  </w:style>
  <w:style w:type="character" w:customStyle="1" w:styleId="SpecialBold">
    <w:name w:val="Special Bold"/>
    <w:basedOn w:val="DefaultParagraphFont"/>
    <w:rsid w:val="00916DF2"/>
    <w:rPr>
      <w:b/>
      <w:spacing w:val="0"/>
    </w:rPr>
  </w:style>
  <w:style w:type="paragraph" w:styleId="ListBullet2">
    <w:name w:val="List Bullet 2"/>
    <w:basedOn w:val="List2"/>
    <w:rsid w:val="00916DF2"/>
    <w:pPr>
      <w:numPr>
        <w:numId w:val="13"/>
      </w:numPr>
      <w:tabs>
        <w:tab w:val="clear" w:pos="680"/>
      </w:tabs>
    </w:pPr>
  </w:style>
  <w:style w:type="paragraph" w:customStyle="1" w:styleId="SuperHeading">
    <w:name w:val="SuperHeading"/>
    <w:basedOn w:val="Normal"/>
    <w:rsid w:val="00916DF2"/>
    <w:pPr>
      <w:spacing w:before="240" w:after="120"/>
      <w:outlineLvl w:val="0"/>
    </w:pPr>
    <w:rPr>
      <w:rFonts w:ascii="Times New Roman" w:hAnsi="Times New Roman"/>
      <w:b/>
      <w:sz w:val="32"/>
    </w:rPr>
  </w:style>
  <w:style w:type="paragraph" w:customStyle="1" w:styleId="AllowPageBreak">
    <w:name w:val="AllowPageBreak"/>
    <w:rsid w:val="00916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D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6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DF2"/>
    <w:rPr>
      <w:rFonts w:ascii="Courier New" w:eastAsia="Times New Roman" w:hAnsi="Courier New" w:cs="Times New Roman"/>
      <w:i/>
      <w:szCs w:val="20"/>
      <w:lang w:eastAsia="en-US"/>
    </w:rPr>
  </w:style>
  <w:style w:type="paragraph" w:customStyle="1" w:styleId="HeadingBase">
    <w:name w:val="Heading Base"/>
    <w:rsid w:val="00916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DF2"/>
    <w:pPr>
      <w:tabs>
        <w:tab w:val="right" w:leader="dot" w:pos="9072"/>
      </w:tabs>
      <w:ind w:left="567"/>
    </w:pPr>
    <w:rPr>
      <w:szCs w:val="22"/>
    </w:rPr>
  </w:style>
  <w:style w:type="paragraph" w:customStyle="1" w:styleId="TOCBase">
    <w:name w:val="TOC Base"/>
    <w:rsid w:val="00916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DF2"/>
    <w:pPr>
      <w:tabs>
        <w:tab w:val="right" w:leader="dot" w:pos="9072"/>
      </w:tabs>
      <w:spacing w:before="40" w:after="40"/>
      <w:ind w:left="284"/>
    </w:pPr>
    <w:rPr>
      <w:rFonts w:ascii="Times New Roman" w:hAnsi="Times New Roman"/>
    </w:rPr>
  </w:style>
  <w:style w:type="paragraph" w:styleId="TOC1">
    <w:name w:val="toc 1"/>
    <w:basedOn w:val="TOCBase"/>
    <w:next w:val="Normal"/>
    <w:rsid w:val="00916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DF2"/>
    <w:rPr>
      <w:rFonts w:ascii="Times New Roman" w:eastAsia="Times New Roman" w:hAnsi="Times New Roman" w:cs="Times New Roman"/>
      <w:sz w:val="16"/>
      <w:lang w:eastAsia="en-US"/>
    </w:rPr>
  </w:style>
  <w:style w:type="paragraph" w:styleId="Title">
    <w:name w:val="Title"/>
    <w:basedOn w:val="HeadingBase"/>
    <w:link w:val="TitleChar"/>
    <w:qFormat/>
    <w:rsid w:val="00916DF2"/>
    <w:pPr>
      <w:spacing w:before="5040"/>
      <w:jc w:val="center"/>
    </w:pPr>
    <w:rPr>
      <w:sz w:val="48"/>
      <w:szCs w:val="72"/>
      <w:lang w:val="en-US"/>
    </w:rPr>
  </w:style>
  <w:style w:type="character" w:customStyle="1" w:styleId="TitleChar">
    <w:name w:val="Title Char"/>
    <w:basedOn w:val="DefaultParagraphFont"/>
    <w:link w:val="Title"/>
    <w:rsid w:val="00916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DF2"/>
    <w:pPr>
      <w:tabs>
        <w:tab w:val="left" w:pos="3600"/>
        <w:tab w:val="left" w:pos="3958"/>
      </w:tabs>
    </w:pPr>
  </w:style>
  <w:style w:type="paragraph" w:styleId="List">
    <w:name w:val="List"/>
    <w:basedOn w:val="BodyText"/>
    <w:next w:val="BodyText"/>
    <w:rsid w:val="00916DF2"/>
    <w:pPr>
      <w:tabs>
        <w:tab w:val="left" w:pos="340"/>
      </w:tabs>
      <w:spacing w:before="60" w:after="60"/>
      <w:ind w:left="340" w:hanging="340"/>
    </w:pPr>
  </w:style>
  <w:style w:type="paragraph" w:customStyle="1" w:styleId="Note">
    <w:name w:val="Note"/>
    <w:basedOn w:val="BodyText"/>
    <w:rsid w:val="00916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DF2"/>
    <w:pPr>
      <w:framePr w:wrap="auto" w:hAnchor="text" w:y="6049"/>
    </w:pPr>
    <w:rPr>
      <w:color w:val="000000"/>
      <w:sz w:val="40"/>
    </w:rPr>
  </w:style>
  <w:style w:type="paragraph" w:customStyle="1" w:styleId="TOCTitle">
    <w:name w:val="TOCTitle"/>
    <w:basedOn w:val="Heading1"/>
    <w:rsid w:val="00916DF2"/>
    <w:pPr>
      <w:spacing w:after="240"/>
      <w:jc w:val="center"/>
      <w:outlineLvl w:val="9"/>
    </w:pPr>
    <w:rPr>
      <w:caps/>
    </w:rPr>
  </w:style>
  <w:style w:type="paragraph" w:customStyle="1" w:styleId="Version">
    <w:name w:val="Version"/>
    <w:rsid w:val="00916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DF2"/>
    <w:pPr>
      <w:keepNext w:val="0"/>
      <w:tabs>
        <w:tab w:val="right" w:pos="4176"/>
      </w:tabs>
      <w:ind w:left="198" w:hanging="198"/>
    </w:pPr>
    <w:rPr>
      <w:rFonts w:ascii="Garamond" w:hAnsi="Garamond"/>
    </w:rPr>
  </w:style>
  <w:style w:type="paragraph" w:styleId="IndexHeading">
    <w:name w:val="index heading"/>
    <w:basedOn w:val="Normal"/>
    <w:next w:val="Index1"/>
    <w:semiHidden/>
    <w:rsid w:val="00916DF2"/>
    <w:pPr>
      <w:spacing w:before="120" w:after="120"/>
    </w:pPr>
    <w:rPr>
      <w:rFonts w:ascii="Arial" w:hAnsi="Arial"/>
      <w:b/>
      <w:color w:val="918585"/>
      <w:sz w:val="24"/>
    </w:rPr>
  </w:style>
  <w:style w:type="paragraph" w:styleId="Header">
    <w:name w:val="header"/>
    <w:basedOn w:val="Normal"/>
    <w:link w:val="HeaderChar"/>
    <w:rsid w:val="00916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DF2"/>
    <w:rPr>
      <w:rFonts w:ascii="Times New Roman" w:eastAsia="Times New Roman" w:hAnsi="Times New Roman" w:cs="Times New Roman"/>
      <w:sz w:val="16"/>
      <w:szCs w:val="20"/>
      <w:lang w:val="en-GB" w:eastAsia="en-US"/>
    </w:rPr>
  </w:style>
  <w:style w:type="paragraph" w:customStyle="1" w:styleId="Chapter">
    <w:name w:val="Chapter"/>
    <w:basedOn w:val="Normal"/>
    <w:rsid w:val="00916DF2"/>
    <w:pPr>
      <w:spacing w:before="240"/>
    </w:pPr>
    <w:rPr>
      <w:rFonts w:ascii="Times New Roman" w:hAnsi="Times New Roman"/>
      <w:smallCaps/>
      <w:spacing w:val="80"/>
      <w:sz w:val="28"/>
    </w:rPr>
  </w:style>
  <w:style w:type="paragraph" w:customStyle="1" w:styleId="InChapter">
    <w:name w:val="InChapter"/>
    <w:basedOn w:val="Heading3"/>
    <w:rsid w:val="00916DF2"/>
    <w:pPr>
      <w:spacing w:after="240"/>
      <w:outlineLvl w:val="9"/>
    </w:pPr>
    <w:rPr>
      <w:noProof/>
    </w:rPr>
  </w:style>
  <w:style w:type="paragraph" w:styleId="Index2">
    <w:name w:val="index 2"/>
    <w:basedOn w:val="Normal"/>
    <w:next w:val="Normal"/>
    <w:semiHidden/>
    <w:rsid w:val="00916DF2"/>
    <w:pPr>
      <w:tabs>
        <w:tab w:val="right" w:pos="4176"/>
      </w:tabs>
      <w:ind w:left="568" w:hanging="284"/>
    </w:pPr>
    <w:rPr>
      <w:rFonts w:ascii="Garamond" w:hAnsi="Garamond"/>
    </w:rPr>
  </w:style>
  <w:style w:type="paragraph" w:customStyle="1" w:styleId="Byline">
    <w:name w:val="Byline"/>
    <w:rsid w:val="00916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DF2"/>
    <w:pPr>
      <w:tabs>
        <w:tab w:val="clear" w:pos="3600"/>
        <w:tab w:val="clear" w:pos="3958"/>
      </w:tabs>
      <w:jc w:val="right"/>
    </w:pPr>
  </w:style>
  <w:style w:type="character" w:styleId="Emphasis">
    <w:name w:val="Emphasis"/>
    <w:basedOn w:val="DefaultParagraphFont"/>
    <w:qFormat/>
    <w:rsid w:val="00916DF2"/>
    <w:rPr>
      <w:i/>
    </w:rPr>
  </w:style>
  <w:style w:type="paragraph" w:styleId="Caption">
    <w:name w:val="caption"/>
    <w:basedOn w:val="BodyText"/>
    <w:next w:val="Normal"/>
    <w:qFormat/>
    <w:rsid w:val="00916DF2"/>
    <w:pPr>
      <w:framePr w:w="2268" w:hSpace="181" w:vSpace="181" w:wrap="around" w:vAnchor="text" w:hAnchor="page" w:x="1135" w:y="285" w:anchorLock="1"/>
    </w:pPr>
    <w:rPr>
      <w:i/>
    </w:rPr>
  </w:style>
  <w:style w:type="paragraph" w:customStyle="1" w:styleId="MiniTOCTitle">
    <w:name w:val="MiniTOCTitle"/>
    <w:basedOn w:val="Heading4"/>
    <w:rsid w:val="00916DF2"/>
    <w:pPr>
      <w:spacing w:before="240"/>
      <w:outlineLvl w:val="9"/>
    </w:pPr>
    <w:rPr>
      <w:noProof/>
      <w:sz w:val="24"/>
    </w:rPr>
  </w:style>
  <w:style w:type="paragraph" w:customStyle="1" w:styleId="MiniTOCItem">
    <w:name w:val="MiniTOCItem"/>
    <w:basedOn w:val="ListBullet"/>
    <w:rsid w:val="00916DF2"/>
    <w:pPr>
      <w:numPr>
        <w:numId w:val="0"/>
      </w:numPr>
      <w:tabs>
        <w:tab w:val="right" w:leader="dot" w:pos="6521"/>
      </w:tabs>
      <w:spacing w:before="0" w:after="0"/>
    </w:pPr>
  </w:style>
  <w:style w:type="paragraph" w:customStyle="1" w:styleId="TOFTitle">
    <w:name w:val="TOFTitle"/>
    <w:basedOn w:val="TOCTitle"/>
    <w:rsid w:val="00916DF2"/>
  </w:style>
  <w:style w:type="paragraph" w:styleId="TableofFigures">
    <w:name w:val="table of figures"/>
    <w:basedOn w:val="Normal"/>
    <w:next w:val="Normal"/>
    <w:semiHidden/>
    <w:rsid w:val="00916DF2"/>
    <w:pPr>
      <w:tabs>
        <w:tab w:val="right" w:leader="dot" w:pos="9072"/>
      </w:tabs>
      <w:ind w:left="970" w:hanging="403"/>
    </w:pPr>
    <w:rPr>
      <w:rFonts w:ascii="Times New Roman" w:hAnsi="Times New Roman"/>
      <w:b/>
    </w:rPr>
  </w:style>
  <w:style w:type="paragraph" w:styleId="ListNumber">
    <w:name w:val="List Number"/>
    <w:basedOn w:val="List"/>
    <w:rsid w:val="00916DF2"/>
    <w:pPr>
      <w:numPr>
        <w:numId w:val="15"/>
      </w:numPr>
      <w:tabs>
        <w:tab w:val="clear" w:pos="340"/>
      </w:tabs>
    </w:pPr>
  </w:style>
  <w:style w:type="character" w:customStyle="1" w:styleId="WingdingSymbols">
    <w:name w:val="Wingding Symbols"/>
    <w:rsid w:val="00916DF2"/>
    <w:rPr>
      <w:rFonts w:ascii="Wingdings" w:hAnsi="Wingdings"/>
    </w:rPr>
  </w:style>
  <w:style w:type="paragraph" w:customStyle="1" w:styleId="TableHeading">
    <w:name w:val="Table Heading"/>
    <w:basedOn w:val="HeadingBase"/>
    <w:rsid w:val="00916DF2"/>
    <w:pPr>
      <w:keepLines/>
      <w:pBdr>
        <w:bottom w:val="single" w:sz="6" w:space="1" w:color="918585"/>
      </w:pBdr>
      <w:spacing w:before="240"/>
    </w:pPr>
  </w:style>
  <w:style w:type="character" w:customStyle="1" w:styleId="HotSpot">
    <w:name w:val="HotSpot"/>
    <w:rsid w:val="00916DF2"/>
    <w:rPr>
      <w:color w:val="0033CC"/>
      <w:u w:val="none"/>
    </w:rPr>
  </w:style>
  <w:style w:type="paragraph" w:customStyle="1" w:styleId="BodyTextRight">
    <w:name w:val="Body Text Right"/>
    <w:basedOn w:val="BodyText"/>
    <w:rsid w:val="00916DF2"/>
    <w:pPr>
      <w:spacing w:before="0" w:after="0"/>
      <w:jc w:val="right"/>
    </w:pPr>
  </w:style>
  <w:style w:type="paragraph" w:styleId="Index3">
    <w:name w:val="index 3"/>
    <w:basedOn w:val="ListNumber2"/>
    <w:next w:val="Normal"/>
    <w:semiHidden/>
    <w:rsid w:val="00916DF2"/>
    <w:pPr>
      <w:numPr>
        <w:numId w:val="0"/>
      </w:numPr>
      <w:tabs>
        <w:tab w:val="right" w:leader="dot" w:pos="4176"/>
      </w:tabs>
    </w:pPr>
  </w:style>
  <w:style w:type="paragraph" w:styleId="ListNumber2">
    <w:name w:val="List Number 2"/>
    <w:basedOn w:val="List2"/>
    <w:rsid w:val="00916DF2"/>
    <w:pPr>
      <w:numPr>
        <w:numId w:val="10"/>
      </w:numPr>
      <w:tabs>
        <w:tab w:val="clear" w:pos="1060"/>
      </w:tabs>
    </w:pPr>
  </w:style>
  <w:style w:type="paragraph" w:customStyle="1" w:styleId="MarginNote">
    <w:name w:val="Margin Note"/>
    <w:basedOn w:val="BodyText"/>
    <w:rsid w:val="00916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DF2"/>
    <w:rPr>
      <w:sz w:val="32"/>
    </w:rPr>
  </w:style>
  <w:style w:type="paragraph" w:customStyle="1" w:styleId="HeadingProcedure">
    <w:name w:val="Heading Procedure"/>
    <w:basedOn w:val="HeadingBase"/>
    <w:next w:val="Normal"/>
    <w:rsid w:val="00916DF2"/>
    <w:pPr>
      <w:tabs>
        <w:tab w:val="left" w:pos="0"/>
      </w:tabs>
      <w:spacing w:before="120" w:after="60"/>
    </w:pPr>
    <w:rPr>
      <w:i/>
      <w:color w:val="918585"/>
      <w:sz w:val="22"/>
    </w:rPr>
  </w:style>
  <w:style w:type="paragraph" w:customStyle="1" w:styleId="TableBodyText">
    <w:name w:val="Table Body Text"/>
    <w:basedOn w:val="BodyText"/>
    <w:rsid w:val="00916DF2"/>
    <w:pPr>
      <w:spacing w:before="60" w:after="60"/>
    </w:pPr>
  </w:style>
  <w:style w:type="paragraph" w:styleId="ListContinue">
    <w:name w:val="List Continue"/>
    <w:basedOn w:val="List"/>
    <w:rsid w:val="00916DF2"/>
    <w:pPr>
      <w:ind w:firstLine="0"/>
    </w:pPr>
  </w:style>
  <w:style w:type="paragraph" w:customStyle="1" w:styleId="ListNote">
    <w:name w:val="List Note"/>
    <w:basedOn w:val="List"/>
    <w:rsid w:val="00916DF2"/>
    <w:pPr>
      <w:pBdr>
        <w:top w:val="single" w:sz="6" w:space="2" w:color="918585"/>
        <w:bottom w:val="single" w:sz="6" w:space="2" w:color="918585"/>
      </w:pBdr>
      <w:tabs>
        <w:tab w:val="left" w:pos="1021"/>
      </w:tabs>
      <w:ind w:firstLine="0"/>
    </w:pPr>
  </w:style>
  <w:style w:type="paragraph" w:customStyle="1" w:styleId="Warning">
    <w:name w:val="Warning"/>
    <w:basedOn w:val="BodyText"/>
    <w:rsid w:val="00916DF2"/>
    <w:pPr>
      <w:shd w:val="clear" w:color="auto" w:fill="D9D9D9"/>
      <w:tabs>
        <w:tab w:val="left" w:pos="992"/>
      </w:tabs>
      <w:ind w:left="119" w:right="119"/>
    </w:pPr>
    <w:rPr>
      <w:sz w:val="20"/>
    </w:rPr>
  </w:style>
  <w:style w:type="paragraph" w:customStyle="1" w:styleId="MarginIcons">
    <w:name w:val="Margin Icons"/>
    <w:basedOn w:val="BodyText"/>
    <w:rsid w:val="00916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DF2"/>
    <w:rPr>
      <w:rFonts w:ascii="Courier New" w:hAnsi="Courier New"/>
    </w:rPr>
  </w:style>
  <w:style w:type="paragraph" w:customStyle="1" w:styleId="NoteBullet">
    <w:name w:val="Note Bullet"/>
    <w:basedOn w:val="Note"/>
    <w:rsid w:val="00916DF2"/>
    <w:pPr>
      <w:tabs>
        <w:tab w:val="clear" w:pos="680"/>
      </w:tabs>
      <w:spacing w:before="60" w:after="60"/>
    </w:pPr>
  </w:style>
  <w:style w:type="paragraph" w:customStyle="1" w:styleId="SubHeading2">
    <w:name w:val="SubHeading2"/>
    <w:basedOn w:val="HeadingBase"/>
    <w:rsid w:val="00916DF2"/>
    <w:pPr>
      <w:spacing w:before="240" w:after="60"/>
    </w:pPr>
    <w:rPr>
      <w:sz w:val="20"/>
    </w:rPr>
  </w:style>
  <w:style w:type="paragraph" w:customStyle="1" w:styleId="SubHeading1">
    <w:name w:val="SubHeading1"/>
    <w:basedOn w:val="HeadingBase"/>
    <w:rsid w:val="00916DF2"/>
    <w:pPr>
      <w:spacing w:before="240" w:after="60"/>
    </w:pPr>
    <w:rPr>
      <w:color w:val="918585"/>
      <w:sz w:val="22"/>
    </w:rPr>
  </w:style>
  <w:style w:type="paragraph" w:customStyle="1" w:styleId="SideHeading">
    <w:name w:val="Side Heading"/>
    <w:basedOn w:val="HeadingBase"/>
    <w:rsid w:val="00916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DF2"/>
    <w:pPr>
      <w:tabs>
        <w:tab w:val="num" w:pos="360"/>
      </w:tabs>
    </w:pPr>
  </w:style>
  <w:style w:type="paragraph" w:styleId="PlainText">
    <w:name w:val="Plain Text"/>
    <w:basedOn w:val="Normal"/>
    <w:link w:val="PlainTextChar"/>
    <w:rsid w:val="00916DF2"/>
    <w:rPr>
      <w:sz w:val="20"/>
    </w:rPr>
  </w:style>
  <w:style w:type="character" w:customStyle="1" w:styleId="PlainTextChar">
    <w:name w:val="Plain Text Char"/>
    <w:basedOn w:val="DefaultParagraphFont"/>
    <w:link w:val="PlainText"/>
    <w:rsid w:val="00916DF2"/>
    <w:rPr>
      <w:rFonts w:ascii="Courier New" w:eastAsia="Times New Roman" w:hAnsi="Courier New" w:cs="Times New Roman"/>
      <w:sz w:val="20"/>
      <w:szCs w:val="20"/>
      <w:lang w:eastAsia="en-US"/>
    </w:rPr>
  </w:style>
  <w:style w:type="character" w:customStyle="1" w:styleId="MenuOption">
    <w:name w:val="Menu Option"/>
    <w:basedOn w:val="DefaultParagraphFont"/>
    <w:rsid w:val="00916DF2"/>
    <w:rPr>
      <w:b/>
      <w:smallCaps/>
    </w:rPr>
  </w:style>
  <w:style w:type="paragraph" w:customStyle="1" w:styleId="TableListNumber">
    <w:name w:val="Table List Number"/>
    <w:basedOn w:val="ListNumber"/>
    <w:rsid w:val="00916DF2"/>
    <w:pPr>
      <w:numPr>
        <w:numId w:val="0"/>
      </w:numPr>
    </w:pPr>
  </w:style>
  <w:style w:type="paragraph" w:styleId="TOC4">
    <w:name w:val="toc 4"/>
    <w:basedOn w:val="TOCBase"/>
    <w:next w:val="Normal"/>
    <w:semiHidden/>
    <w:rsid w:val="00916DF2"/>
    <w:pPr>
      <w:tabs>
        <w:tab w:val="right" w:leader="dot" w:pos="9071"/>
      </w:tabs>
      <w:ind w:left="1701"/>
    </w:pPr>
  </w:style>
  <w:style w:type="paragraph" w:customStyle="1" w:styleId="ListAlpha">
    <w:name w:val="List Alpha"/>
    <w:basedOn w:val="List"/>
    <w:rsid w:val="00916DF2"/>
    <w:pPr>
      <w:numPr>
        <w:numId w:val="9"/>
      </w:numPr>
    </w:pPr>
  </w:style>
  <w:style w:type="paragraph" w:customStyle="1" w:styleId="ListAlpha2">
    <w:name w:val="List Alpha 2"/>
    <w:basedOn w:val="List2"/>
    <w:rsid w:val="00916DF2"/>
    <w:pPr>
      <w:numPr>
        <w:numId w:val="8"/>
      </w:numPr>
    </w:pPr>
  </w:style>
  <w:style w:type="paragraph" w:styleId="List2">
    <w:name w:val="List 2"/>
    <w:basedOn w:val="BodyText"/>
    <w:rsid w:val="00916DF2"/>
    <w:pPr>
      <w:tabs>
        <w:tab w:val="left" w:pos="680"/>
      </w:tabs>
      <w:spacing w:before="60" w:after="60"/>
      <w:ind w:left="680" w:hanging="340"/>
    </w:pPr>
  </w:style>
  <w:style w:type="paragraph" w:styleId="List3">
    <w:name w:val="List 3"/>
    <w:basedOn w:val="BodyText"/>
    <w:rsid w:val="00916DF2"/>
    <w:pPr>
      <w:tabs>
        <w:tab w:val="left" w:pos="1021"/>
      </w:tabs>
      <w:spacing w:before="60" w:after="60"/>
      <w:ind w:left="1020" w:hanging="340"/>
    </w:pPr>
  </w:style>
  <w:style w:type="paragraph" w:styleId="List4">
    <w:name w:val="List 4"/>
    <w:basedOn w:val="BodyText"/>
    <w:rsid w:val="00916DF2"/>
    <w:pPr>
      <w:tabs>
        <w:tab w:val="left" w:pos="1361"/>
      </w:tabs>
      <w:spacing w:before="60" w:after="60"/>
      <w:ind w:left="1361" w:hanging="340"/>
    </w:pPr>
  </w:style>
  <w:style w:type="paragraph" w:styleId="List5">
    <w:name w:val="List 5"/>
    <w:basedOn w:val="BodyText"/>
    <w:rsid w:val="00916DF2"/>
    <w:pPr>
      <w:tabs>
        <w:tab w:val="left" w:pos="1701"/>
      </w:tabs>
      <w:spacing w:before="60" w:after="60"/>
      <w:ind w:left="1701" w:hanging="340"/>
    </w:pPr>
  </w:style>
  <w:style w:type="paragraph" w:styleId="ListBullet3">
    <w:name w:val="List Bullet 3"/>
    <w:basedOn w:val="List3"/>
    <w:rsid w:val="00916DF2"/>
    <w:pPr>
      <w:numPr>
        <w:numId w:val="14"/>
      </w:numPr>
      <w:tabs>
        <w:tab w:val="clear" w:pos="1021"/>
      </w:tabs>
      <w:ind w:left="1037" w:hanging="357"/>
    </w:pPr>
  </w:style>
  <w:style w:type="paragraph" w:styleId="ListBullet4">
    <w:name w:val="List Bullet 4"/>
    <w:basedOn w:val="List4"/>
    <w:rsid w:val="00916DF2"/>
    <w:pPr>
      <w:numPr>
        <w:numId w:val="3"/>
      </w:numPr>
      <w:tabs>
        <w:tab w:val="clear" w:pos="1361"/>
      </w:tabs>
    </w:pPr>
  </w:style>
  <w:style w:type="paragraph" w:styleId="ListBullet5">
    <w:name w:val="List Bullet 5"/>
    <w:basedOn w:val="List5"/>
    <w:rsid w:val="00916DF2"/>
    <w:pPr>
      <w:numPr>
        <w:numId w:val="4"/>
      </w:numPr>
    </w:pPr>
  </w:style>
  <w:style w:type="paragraph" w:styleId="ListContinue2">
    <w:name w:val="List Continue 2"/>
    <w:basedOn w:val="List2"/>
    <w:rsid w:val="00916DF2"/>
    <w:pPr>
      <w:ind w:firstLine="0"/>
    </w:pPr>
  </w:style>
  <w:style w:type="paragraph" w:styleId="ListContinue3">
    <w:name w:val="List Continue 3"/>
    <w:basedOn w:val="List3"/>
    <w:rsid w:val="00916DF2"/>
    <w:pPr>
      <w:ind w:left="1021" w:firstLine="0"/>
    </w:pPr>
  </w:style>
  <w:style w:type="paragraph" w:styleId="ListContinue4">
    <w:name w:val="List Continue 4"/>
    <w:basedOn w:val="List4"/>
    <w:rsid w:val="00916DF2"/>
    <w:pPr>
      <w:ind w:firstLine="0"/>
    </w:pPr>
  </w:style>
  <w:style w:type="paragraph" w:styleId="ListContinue5">
    <w:name w:val="List Continue 5"/>
    <w:basedOn w:val="List5"/>
    <w:rsid w:val="00916DF2"/>
    <w:pPr>
      <w:ind w:firstLine="0"/>
    </w:pPr>
  </w:style>
  <w:style w:type="paragraph" w:styleId="ListNumber3">
    <w:name w:val="List Number 3"/>
    <w:basedOn w:val="List3"/>
    <w:rsid w:val="00916DF2"/>
    <w:pPr>
      <w:numPr>
        <w:numId w:val="5"/>
      </w:numPr>
    </w:pPr>
  </w:style>
  <w:style w:type="paragraph" w:styleId="ListNumber4">
    <w:name w:val="List Number 4"/>
    <w:basedOn w:val="List4"/>
    <w:rsid w:val="00916DF2"/>
    <w:pPr>
      <w:numPr>
        <w:numId w:val="6"/>
      </w:numPr>
    </w:pPr>
  </w:style>
  <w:style w:type="paragraph" w:styleId="ListNumber5">
    <w:name w:val="List Number 5"/>
    <w:basedOn w:val="List5"/>
    <w:rsid w:val="00916DF2"/>
    <w:pPr>
      <w:numPr>
        <w:numId w:val="7"/>
      </w:numPr>
    </w:pPr>
  </w:style>
  <w:style w:type="paragraph" w:styleId="BlockText">
    <w:name w:val="Block Text"/>
    <w:basedOn w:val="Normal"/>
    <w:rsid w:val="00916DF2"/>
    <w:pPr>
      <w:spacing w:after="120"/>
      <w:ind w:left="1440" w:right="1440"/>
    </w:pPr>
  </w:style>
  <w:style w:type="character" w:customStyle="1" w:styleId="Subscript">
    <w:name w:val="Subscript"/>
    <w:basedOn w:val="DefaultParagraphFont"/>
    <w:rsid w:val="00916DF2"/>
    <w:rPr>
      <w:sz w:val="16"/>
      <w:vertAlign w:val="subscript"/>
    </w:rPr>
  </w:style>
  <w:style w:type="character" w:customStyle="1" w:styleId="Superscript">
    <w:name w:val="Superscript"/>
    <w:basedOn w:val="DefaultParagraphFont"/>
    <w:rsid w:val="00916DF2"/>
    <w:rPr>
      <w:sz w:val="16"/>
      <w:vertAlign w:val="superscript"/>
    </w:rPr>
  </w:style>
  <w:style w:type="character" w:customStyle="1" w:styleId="Symbols">
    <w:name w:val="Symbols"/>
    <w:basedOn w:val="DefaultParagraphFont"/>
    <w:rsid w:val="00916DF2"/>
    <w:rPr>
      <w:rFonts w:ascii="Symbol" w:hAnsi="Symbol"/>
    </w:rPr>
  </w:style>
  <w:style w:type="character" w:customStyle="1" w:styleId="MenuOptions">
    <w:name w:val="Menu Options"/>
    <w:basedOn w:val="DefaultParagraphFont"/>
    <w:rsid w:val="00916DF2"/>
    <w:rPr>
      <w:rFonts w:ascii="Arial Narrow" w:hAnsi="Arial Narrow"/>
      <w:smallCaps/>
    </w:rPr>
  </w:style>
  <w:style w:type="character" w:customStyle="1" w:styleId="Buttons">
    <w:name w:val="Buttons"/>
    <w:basedOn w:val="DefaultParagraphFont"/>
    <w:rsid w:val="00916DF2"/>
    <w:rPr>
      <w:b/>
    </w:rPr>
  </w:style>
  <w:style w:type="character" w:customStyle="1" w:styleId="Underlined">
    <w:name w:val="Underlined"/>
    <w:basedOn w:val="DefaultParagraphFont"/>
    <w:rsid w:val="00916DF2"/>
    <w:rPr>
      <w:u w:val="single"/>
    </w:rPr>
  </w:style>
  <w:style w:type="paragraph" w:customStyle="1" w:styleId="TableBodyTextRight">
    <w:name w:val="Table Body Text Right"/>
    <w:basedOn w:val="TableBodyText"/>
    <w:rsid w:val="00916DF2"/>
    <w:pPr>
      <w:widowControl w:val="0"/>
      <w:autoSpaceDE w:val="0"/>
      <w:autoSpaceDN w:val="0"/>
      <w:adjustRightInd w:val="0"/>
      <w:jc w:val="right"/>
    </w:pPr>
    <w:rPr>
      <w:rFonts w:cs="Arial"/>
      <w:szCs w:val="18"/>
    </w:rPr>
  </w:style>
  <w:style w:type="paragraph" w:customStyle="1" w:styleId="CopyrightText">
    <w:name w:val="Copyright Text"/>
    <w:basedOn w:val="BodyText"/>
    <w:rsid w:val="00916DF2"/>
    <w:rPr>
      <w:sz w:val="18"/>
    </w:rPr>
  </w:style>
  <w:style w:type="paragraph" w:customStyle="1" w:styleId="BodySmallRight">
    <w:name w:val="Body Small Right"/>
    <w:basedOn w:val="BodyTextRight"/>
    <w:rsid w:val="00916DF2"/>
    <w:rPr>
      <w:sz w:val="18"/>
      <w:szCs w:val="18"/>
    </w:rPr>
  </w:style>
  <w:style w:type="paragraph" w:customStyle="1" w:styleId="MarginEdition">
    <w:name w:val="Margin Edition"/>
    <w:basedOn w:val="MarginNote"/>
    <w:rsid w:val="00916DF2"/>
    <w:pPr>
      <w:spacing w:before="0" w:after="0"/>
    </w:pPr>
    <w:rPr>
      <w:rFonts w:ascii="Times New Roman" w:hAnsi="Times New Roman"/>
      <w:color w:val="999999"/>
    </w:rPr>
  </w:style>
  <w:style w:type="paragraph" w:customStyle="1" w:styleId="Spacer">
    <w:name w:val="Spacer"/>
    <w:basedOn w:val="Normal"/>
    <w:rsid w:val="00916DF2"/>
    <w:rPr>
      <w:sz w:val="2"/>
      <w:szCs w:val="2"/>
    </w:rPr>
  </w:style>
  <w:style w:type="character" w:customStyle="1" w:styleId="Small">
    <w:name w:val="Small"/>
    <w:basedOn w:val="DefaultParagraphFont"/>
    <w:rsid w:val="00916DF2"/>
    <w:rPr>
      <w:sz w:val="16"/>
    </w:rPr>
  </w:style>
  <w:style w:type="paragraph" w:customStyle="1" w:styleId="WideTable">
    <w:name w:val="Wide Table"/>
    <w:basedOn w:val="Normal"/>
    <w:rsid w:val="00916DF2"/>
    <w:pPr>
      <w:ind w:left="-1418"/>
    </w:pPr>
    <w:rPr>
      <w:sz w:val="2"/>
      <w:szCs w:val="2"/>
    </w:rPr>
  </w:style>
  <w:style w:type="character" w:styleId="PageNumber">
    <w:name w:val="page number"/>
    <w:basedOn w:val="DefaultParagraphFont"/>
    <w:rsid w:val="00916DF2"/>
  </w:style>
  <w:style w:type="paragraph" w:styleId="Quote">
    <w:name w:val="Quote"/>
    <w:basedOn w:val="Heading1"/>
    <w:link w:val="QuoteChar"/>
    <w:qFormat/>
    <w:rsid w:val="00916DF2"/>
    <w:rPr>
      <w:b w:val="0"/>
      <w:sz w:val="72"/>
      <w:szCs w:val="72"/>
      <w:lang w:val="en-NZ"/>
    </w:rPr>
  </w:style>
  <w:style w:type="character" w:customStyle="1" w:styleId="QuoteChar">
    <w:name w:val="Quote Char"/>
    <w:basedOn w:val="DefaultParagraphFont"/>
    <w:link w:val="Quote"/>
    <w:rsid w:val="00916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DF2"/>
    <w:pPr>
      <w:pageBreakBefore/>
    </w:pPr>
  </w:style>
  <w:style w:type="paragraph" w:customStyle="1" w:styleId="Border">
    <w:name w:val="Border"/>
    <w:basedOn w:val="Normal"/>
    <w:qFormat/>
    <w:rsid w:val="00916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DF2"/>
    <w:rPr>
      <w:b/>
      <w:bCs/>
      <w:i/>
      <w:iCs/>
      <w:color w:val="auto"/>
    </w:rPr>
  </w:style>
  <w:style w:type="paragraph" w:styleId="IntenseQuote">
    <w:name w:val="Intense Quote"/>
    <w:basedOn w:val="Normal"/>
    <w:next w:val="Normal"/>
    <w:link w:val="IntenseQuoteChar"/>
    <w:uiPriority w:val="30"/>
    <w:qFormat/>
    <w:rsid w:val="00916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DF2"/>
    <w:rPr>
      <w:smallCaps/>
      <w:color w:val="auto"/>
      <w:u w:val="single"/>
    </w:rPr>
  </w:style>
  <w:style w:type="character" w:styleId="IntenseReference">
    <w:name w:val="Intense Reference"/>
    <w:basedOn w:val="DefaultParagraphFont"/>
    <w:uiPriority w:val="32"/>
    <w:qFormat/>
    <w:rsid w:val="00916DF2"/>
    <w:rPr>
      <w:b/>
      <w:bCs/>
      <w:smallCaps/>
      <w:color w:val="auto"/>
      <w:spacing w:val="5"/>
      <w:u w:val="single"/>
    </w:rPr>
  </w:style>
  <w:style w:type="paragraph" w:customStyle="1" w:styleId="2ColumnHeading">
    <w:name w:val="2Column Heading"/>
    <w:basedOn w:val="BodyText"/>
    <w:qFormat/>
    <w:rsid w:val="00916DF2"/>
    <w:pPr>
      <w:spacing w:after="60"/>
      <w:ind w:left="-2268"/>
    </w:pPr>
    <w:rPr>
      <w:b/>
    </w:rPr>
  </w:style>
  <w:style w:type="paragraph" w:customStyle="1" w:styleId="Heading1TOC">
    <w:name w:val="Heading1 TOC"/>
    <w:basedOn w:val="Normal"/>
    <w:qFormat/>
    <w:rsid w:val="00916DF2"/>
    <w:pPr>
      <w:spacing w:before="240" w:after="120"/>
    </w:pPr>
    <w:rPr>
      <w:rFonts w:ascii="Times New Roman" w:hAnsi="Times New Roman"/>
      <w:b/>
      <w:sz w:val="32"/>
    </w:rPr>
  </w:style>
  <w:style w:type="paragraph" w:customStyle="1" w:styleId="Heading2TOC">
    <w:name w:val="Heading2 TOC"/>
    <w:basedOn w:val="Normal"/>
    <w:qFormat/>
    <w:rsid w:val="00916DF2"/>
    <w:pPr>
      <w:spacing w:before="240" w:after="60"/>
    </w:pPr>
    <w:rPr>
      <w:rFonts w:ascii="Times New Roman" w:hAnsi="Times New Roman"/>
      <w:b/>
      <w:sz w:val="28"/>
    </w:rPr>
  </w:style>
  <w:style w:type="character" w:customStyle="1" w:styleId="Underline">
    <w:name w:val="Underline"/>
    <w:basedOn w:val="DefaultParagraphFont"/>
    <w:qFormat/>
    <w:rsid w:val="00916DF2"/>
    <w:rPr>
      <w:u w:val="single"/>
    </w:rPr>
  </w:style>
  <w:style w:type="character" w:customStyle="1" w:styleId="BoldandItalics">
    <w:name w:val="Bold and Italics"/>
    <w:qFormat/>
    <w:rsid w:val="00916DF2"/>
    <w:rPr>
      <w:b/>
      <w:i/>
      <w:u w:val="none"/>
    </w:rPr>
  </w:style>
  <w:style w:type="paragraph" w:styleId="BalloonText">
    <w:name w:val="Balloon Text"/>
    <w:basedOn w:val="Normal"/>
    <w:link w:val="BalloonTextChar"/>
    <w:rsid w:val="00916DF2"/>
    <w:rPr>
      <w:rFonts w:ascii="Tahoma" w:hAnsi="Tahoma" w:cs="Tahoma"/>
      <w:sz w:val="16"/>
      <w:szCs w:val="16"/>
    </w:rPr>
  </w:style>
  <w:style w:type="character" w:customStyle="1" w:styleId="BalloonTextChar">
    <w:name w:val="Balloon Text Char"/>
    <w:basedOn w:val="DefaultParagraphFont"/>
    <w:link w:val="BalloonText"/>
    <w:rsid w:val="00916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DF2"/>
    <w:rPr>
      <w:b/>
      <w:color w:val="660033"/>
      <w:spacing w:val="0"/>
    </w:rPr>
  </w:style>
  <w:style w:type="paragraph" w:customStyle="1" w:styleId="Nameditemlist">
    <w:name w:val="Named item list"/>
    <w:basedOn w:val="BodyText"/>
    <w:qFormat/>
    <w:rsid w:val="00916DF2"/>
    <w:pPr>
      <w:tabs>
        <w:tab w:val="left" w:pos="2835"/>
      </w:tabs>
      <w:ind w:left="2835" w:hanging="2835"/>
    </w:pPr>
  </w:style>
  <w:style w:type="paragraph" w:customStyle="1" w:styleId="BodyTextnopadding">
    <w:name w:val="Body Text no padding"/>
    <w:basedOn w:val="BodyText"/>
    <w:qFormat/>
    <w:rsid w:val="00916DF2"/>
    <w:pPr>
      <w:spacing w:before="0" w:after="0"/>
    </w:pPr>
  </w:style>
  <w:style w:type="paragraph" w:customStyle="1" w:styleId="BodyTextBold">
    <w:name w:val="Body Text Bold"/>
    <w:basedOn w:val="BodyText"/>
    <w:qFormat/>
    <w:rsid w:val="00916DF2"/>
    <w:rPr>
      <w:b/>
    </w:rPr>
  </w:style>
  <w:style w:type="character" w:styleId="Hyperlink">
    <w:name w:val="Hyperlink"/>
    <w:basedOn w:val="DefaultParagraphFont"/>
    <w:uiPriority w:val="99"/>
    <w:unhideWhenUsed/>
    <w:rsid w:val="00284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5292</Characters>
  <Application>Microsoft Office Word</Application>
  <DocSecurity>0</DocSecurity>
  <Lines>151</Lines>
  <Paragraphs>100</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RIIBLA203E Conduct mobile mixing of explosives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