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2626" w:rsidP="00C526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RIIBLA203D Conduct mobile mixing of explosives</w:t>
      </w:r>
      <w:r>
        <w:fldChar w:fldCharType="end"/>
      </w:r>
    </w:p>
    <w:p w:rsidR="00C52626" w:rsidP="00C52626">
      <w:pPr>
        <w:pStyle w:val="Version"/>
        <w:sectPr w:rsidSect="007B2C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B2C29" w:rsidP="007B2C29">
      <w:pPr>
        <w:pStyle w:val="SuperHeading"/>
      </w:pPr>
      <w:r w:rsidRPr="007B2C29">
        <w:t>RIIBLA203D Conduct mobile mixing of explosives</w:t>
      </w:r>
    </w:p>
    <w:p w:rsidR="00000000" w:rsidRPr="007B2C29" w:rsidP="007B2C29">
      <w:pPr>
        <w:pStyle w:val="Heading1"/>
      </w:pPr>
      <w:bookmarkStart w:id="1" w:name="O_673861"/>
      <w:bookmarkEnd w:id="1"/>
      <w:r w:rsidRPr="007B2C2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526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C29">
            <w:pPr>
              <w:pStyle w:val="Heading4"/>
              <w:rPr>
                <w:lang w:val="en-NZ"/>
              </w:rPr>
            </w:pPr>
            <w:r w:rsidRPr="007B2C2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C29">
            <w:pPr>
              <w:pStyle w:val="Heading4"/>
              <w:rPr>
                <w:lang w:val="en-NZ"/>
              </w:rPr>
            </w:pPr>
            <w:r w:rsidRPr="007B2C29">
              <w:t>Comment</w:t>
            </w:r>
          </w:p>
        </w:tc>
      </w:tr>
      <w:tr w:rsidTr="00C526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C29">
            <w:pPr>
              <w:pStyle w:val="BodyText"/>
              <w:rPr>
                <w:lang w:val="en-NZ"/>
              </w:rPr>
            </w:pPr>
            <w:r w:rsidRPr="007B2C2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C29">
            <w:pPr>
              <w:pStyle w:val="BodyText"/>
              <w:rPr>
                <w:lang w:val="en-NZ"/>
              </w:rPr>
            </w:pPr>
            <w:r w:rsidRPr="007B2C29">
              <w:t>This unit replaces RIIBLA203B Conduct mobile mixing of explosives</w:t>
            </w:r>
          </w:p>
        </w:tc>
      </w:tr>
      <w:tr w:rsidTr="00C526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C29">
            <w:pPr>
              <w:pStyle w:val="BodyText"/>
              <w:rPr>
                <w:lang w:val="en-NZ"/>
              </w:rPr>
            </w:pPr>
            <w:r w:rsidRPr="007B2C2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C29" w:rsidP="007B2C29">
            <w:pPr>
              <w:pStyle w:val="BodyText"/>
            </w:pPr>
            <w:r w:rsidRPr="007B2C29">
              <w:t>Required frequency and volume of evidence amended in Performance evidence.</w:t>
            </w:r>
          </w:p>
          <w:p w:rsidR="00000000" w:rsidRPr="007B2C29" w:rsidP="007B2C29">
            <w:pPr>
              <w:pStyle w:val="BodyText"/>
            </w:pPr>
            <w:r w:rsidRPr="007B2C29">
              <w:t>Substantial amendments made in Assessment Conditions field, incl</w:t>
            </w:r>
            <w:r w:rsidRPr="007B2C29">
              <w:t>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B2C29" w:rsidP="007B2C29">
      <w:pPr>
        <w:pStyle w:val="BodyText"/>
      </w:pPr>
    </w:p>
    <w:p w:rsidR="00000000" w:rsidRPr="007B2C29" w:rsidP="007B2C29">
      <w:pPr>
        <w:pStyle w:val="AllowPageBreak"/>
      </w:pPr>
    </w:p>
    <w:p w:rsidR="00000000" w:rsidRPr="007B2C29" w:rsidP="007B2C29">
      <w:pPr>
        <w:pStyle w:val="Heading1"/>
      </w:pPr>
      <w:bookmarkStart w:id="2" w:name="O_673860"/>
      <w:bookmarkEnd w:id="2"/>
      <w:r w:rsidRPr="007B2C29">
        <w:t>Application</w:t>
      </w:r>
    </w:p>
    <w:p w:rsidR="00000000" w:rsidRPr="007B2C29" w:rsidP="007B2C29">
      <w:pPr>
        <w:pStyle w:val="BodyText"/>
      </w:pPr>
      <w:r w:rsidRPr="007B2C29">
        <w:t>This unit describes a participant’</w:t>
      </w:r>
      <w:r w:rsidRPr="007B2C29">
        <w:t>s skills and knowledge required to conduct mobile mixing of explosives in the Resources and Infrastructure Industries.</w:t>
      </w:r>
    </w:p>
    <w:p w:rsidR="00000000" w:rsidRPr="007B2C29" w:rsidP="007B2C29">
      <w:pPr>
        <w:pStyle w:val="BodyText"/>
      </w:pPr>
      <w:r w:rsidRPr="007B2C29">
        <w:t>This unit is appropriate for those working in operational roles.</w:t>
      </w:r>
    </w:p>
    <w:p w:rsidR="00C52626" w:rsidP="007B2C29">
      <w:pPr>
        <w:pStyle w:val="BodyText"/>
      </w:pPr>
      <w:r w:rsidRPr="007B2C29">
        <w:t>No licensing, legislation or certification requirements apply to this un</w:t>
      </w:r>
      <w:r w:rsidRPr="007B2C29">
        <w:t>it at the time of publication.</w:t>
      </w:r>
    </w:p>
    <w:p w:rsidR="00C52626" w:rsidP="007B2C29">
      <w:pPr>
        <w:pStyle w:val="BodyText"/>
      </w:pPr>
    </w:p>
    <w:p w:rsidR="00000000" w:rsidRPr="007B2C29" w:rsidP="007B2C29">
      <w:pPr>
        <w:pStyle w:val="Heading1"/>
      </w:pPr>
      <w:bookmarkStart w:id="3" w:name="O_673859"/>
      <w:bookmarkEnd w:id="3"/>
      <w:r w:rsidRPr="007B2C2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B2C2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C29">
            <w:pPr>
              <w:pStyle w:val="BodyText"/>
              <w:rPr>
                <w:lang w:val="en-NZ"/>
              </w:rPr>
            </w:pPr>
            <w:r w:rsidRPr="007B2C29">
              <w:t>1 Plan and prepare for mobile mixing of explosives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C29" w:rsidP="007B2C29">
            <w:pPr>
              <w:pStyle w:val="BodyText"/>
            </w:pPr>
            <w:r w:rsidRPr="007B2C29">
              <w:t>1.1</w:t>
            </w:r>
            <w:r w:rsidRPr="007B2C29">
              <w:tab/>
              <w:t>Access, interpret and apply explosives documentation and ensure the work activity is compliant</w:t>
            </w:r>
          </w:p>
          <w:p w:rsidR="00000000" w:rsidRPr="007B2C29" w:rsidP="007B2C29">
            <w:pPr>
              <w:pStyle w:val="BodyText"/>
            </w:pPr>
            <w:r w:rsidRPr="007B2C29">
              <w:t>1.2</w:t>
            </w:r>
            <w:r w:rsidRPr="007B2C29">
              <w:tab/>
              <w:t>Select and wear per</w:t>
            </w:r>
            <w:r w:rsidRPr="007B2C29">
              <w:t>sonal protective equipment appropriate for the work activity</w:t>
            </w:r>
          </w:p>
          <w:p w:rsidR="00000000" w:rsidRPr="007B2C29" w:rsidP="007B2C29">
            <w:pPr>
              <w:pStyle w:val="BodyText"/>
            </w:pPr>
            <w:r w:rsidRPr="007B2C29">
              <w:t>1.3</w:t>
            </w:r>
            <w:r w:rsidRPr="007B2C29">
              <w:tab/>
              <w:t>Inspect work area and establish, barricade and signpost loading area</w:t>
            </w:r>
          </w:p>
          <w:p w:rsidR="00000000" w:rsidRPr="007B2C29" w:rsidP="007B2C29">
            <w:pPr>
              <w:pStyle w:val="BodyText"/>
            </w:pPr>
            <w:r w:rsidRPr="007B2C29">
              <w:t>1.4</w:t>
            </w:r>
            <w:r w:rsidRPr="007B2C29">
              <w:tab/>
              <w:t>Identify, address and report potential hazards, risks and environmental issues</w:t>
            </w:r>
          </w:p>
          <w:p w:rsidR="00000000" w:rsidRPr="007B2C29" w:rsidP="007B2C29">
            <w:pPr>
              <w:pStyle w:val="BodyText"/>
            </w:pPr>
            <w:r w:rsidRPr="007B2C29">
              <w:t>1.5</w:t>
            </w:r>
            <w:r w:rsidRPr="007B2C29">
              <w:tab/>
              <w:t>Obtain and interpret emergency proc</w:t>
            </w:r>
            <w:r w:rsidRPr="007B2C29">
              <w:t>edures and be prepared for fire/accident/emergency</w:t>
            </w:r>
          </w:p>
          <w:p w:rsidR="00000000" w:rsidRPr="007B2C29" w:rsidP="007B2C29">
            <w:pPr>
              <w:pStyle w:val="BodyText"/>
            </w:pPr>
            <w:r w:rsidRPr="007B2C29">
              <w:t>1.6</w:t>
            </w:r>
            <w:r w:rsidRPr="007B2C29">
              <w:tab/>
              <w:t>Segregate incompatible goods prior to loading the mobile processing unit according to legislation and code of practice</w:t>
            </w:r>
          </w:p>
          <w:p w:rsidR="00000000" w:rsidRPr="007B2C29" w:rsidP="007B2C29">
            <w:pPr>
              <w:pStyle w:val="BodyText"/>
            </w:pPr>
            <w:r w:rsidRPr="007B2C29">
              <w:t>1.7</w:t>
            </w:r>
            <w:r w:rsidRPr="007B2C29">
              <w:tab/>
              <w:t>Inspect mobile processing unit for safe loading of explosives materials</w:t>
            </w:r>
          </w:p>
          <w:p w:rsidR="00000000" w:rsidRPr="007B2C29" w:rsidP="007B2C29">
            <w:pPr>
              <w:pStyle w:val="BodyText"/>
            </w:pPr>
            <w:r w:rsidRPr="007B2C29">
              <w:t>1.8</w:t>
            </w:r>
            <w:r w:rsidRPr="007B2C29">
              <w:tab/>
              <w:t>En</w:t>
            </w:r>
            <w:r w:rsidRPr="007B2C29">
              <w:t>sure attachments comply with standards and licensing requirements</w:t>
            </w:r>
          </w:p>
          <w:p w:rsidR="00000000" w:rsidRPr="007B2C29" w:rsidP="007B2C29">
            <w:pPr>
              <w:pStyle w:val="BodyText"/>
            </w:pPr>
            <w:r w:rsidRPr="007B2C29">
              <w:t>1.9</w:t>
            </w:r>
            <w:r w:rsidRPr="007B2C29">
              <w:tab/>
              <w:t xml:space="preserve">Placard mobile processing unit and attachments to show the goods carried, Hazchem identity and emergency information </w:t>
            </w:r>
          </w:p>
          <w:p w:rsidR="00000000" w:rsidP="007B2C29">
            <w:pPr>
              <w:pStyle w:val="BodyText"/>
              <w:rPr>
                <w:lang w:val="en-NZ"/>
              </w:rPr>
            </w:pPr>
            <w:r w:rsidRPr="007B2C29">
              <w:t>1.10</w:t>
            </w:r>
            <w:r w:rsidRPr="007B2C29">
              <w:tab/>
              <w:t>Check that safety equipment is fitted and ready for use</w:t>
            </w:r>
          </w:p>
        </w:tc>
      </w:tr>
      <w:tr w:rsidTr="007B2C2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C29">
            <w:pPr>
              <w:pStyle w:val="BodyText"/>
              <w:rPr>
                <w:lang w:val="en-NZ"/>
              </w:rPr>
            </w:pPr>
            <w:r w:rsidRPr="007B2C29">
              <w:t>2 Load and mix explosives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C29" w:rsidP="007B2C29">
            <w:pPr>
              <w:pStyle w:val="BodyText"/>
            </w:pPr>
            <w:r w:rsidRPr="007B2C29">
              <w:t>2.1</w:t>
            </w:r>
            <w:r w:rsidRPr="007B2C29">
              <w:tab/>
              <w:t>Calculate batch quantities for ingredients to manufacture explosive, and check availability of ingredients</w:t>
            </w:r>
          </w:p>
          <w:p w:rsidR="00000000" w:rsidRPr="007B2C29" w:rsidP="007B2C29">
            <w:pPr>
              <w:pStyle w:val="BodyText"/>
            </w:pPr>
            <w:r w:rsidRPr="007B2C29">
              <w:t>2.2</w:t>
            </w:r>
            <w:r w:rsidRPr="007B2C29">
              <w:tab/>
              <w:t>Ensure truck is empty of product and any water in storage bin removed</w:t>
            </w:r>
          </w:p>
          <w:p w:rsidR="00000000" w:rsidRPr="007B2C29" w:rsidP="007B2C29">
            <w:pPr>
              <w:pStyle w:val="BodyText"/>
            </w:pPr>
            <w:r w:rsidRPr="007B2C29">
              <w:t>2.3</w:t>
            </w:r>
            <w:r w:rsidRPr="007B2C29">
              <w:tab/>
              <w:t xml:space="preserve">Apply parking brake throughout </w:t>
            </w:r>
            <w:r w:rsidRPr="007B2C29">
              <w:t>materials loading operation</w:t>
            </w:r>
          </w:p>
          <w:p w:rsidR="00000000" w:rsidRPr="007B2C29" w:rsidP="007B2C29">
            <w:pPr>
              <w:pStyle w:val="BodyText"/>
            </w:pPr>
            <w:r w:rsidRPr="007B2C29">
              <w:t>2.4</w:t>
            </w:r>
            <w:r w:rsidRPr="007B2C29">
              <w:tab/>
              <w:t xml:space="preserve">Position truck and operate controls to load specified amounts of materials </w:t>
            </w:r>
          </w:p>
          <w:p w:rsidR="00000000" w:rsidRPr="007B2C29" w:rsidP="007B2C29">
            <w:pPr>
              <w:pStyle w:val="BodyText"/>
            </w:pPr>
            <w:r w:rsidRPr="007B2C29">
              <w:t>2.5</w:t>
            </w:r>
            <w:r w:rsidRPr="007B2C29">
              <w:tab/>
              <w:t xml:space="preserve">Set timer and operate controls to mix explosive for specified time </w:t>
            </w:r>
          </w:p>
          <w:p w:rsidR="00000000" w:rsidRPr="007B2C29" w:rsidP="007B2C29">
            <w:pPr>
              <w:pStyle w:val="BodyText"/>
            </w:pPr>
            <w:r w:rsidRPr="007B2C29">
              <w:t>2.6</w:t>
            </w:r>
            <w:r w:rsidRPr="007B2C29">
              <w:tab/>
              <w:t>Load materials in a safe manner to prevent spillage or injury to personn</w:t>
            </w:r>
            <w:r w:rsidRPr="007B2C29">
              <w:t>el and observe emergency procedures</w:t>
            </w:r>
          </w:p>
          <w:p w:rsidR="00000000" w:rsidP="007B2C29">
            <w:pPr>
              <w:pStyle w:val="BodyText"/>
              <w:rPr>
                <w:lang w:val="en-NZ"/>
              </w:rPr>
            </w:pPr>
            <w:r w:rsidRPr="007B2C29">
              <w:t>2.7</w:t>
            </w:r>
            <w:r w:rsidRPr="007B2C29">
              <w:tab/>
              <w:t xml:space="preserve">Record the details of all materials loaded </w:t>
            </w:r>
          </w:p>
        </w:tc>
      </w:tr>
      <w:tr w:rsidTr="007B2C2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C29">
            <w:pPr>
              <w:pStyle w:val="BodyText"/>
              <w:rPr>
                <w:lang w:val="en-NZ"/>
              </w:rPr>
            </w:pPr>
            <w:r w:rsidRPr="007B2C29">
              <w:t>3 Transport explosives to delivery point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C29" w:rsidP="007B2C29">
            <w:pPr>
              <w:pStyle w:val="BodyText"/>
            </w:pPr>
            <w:r w:rsidRPr="007B2C29">
              <w:t>3.1</w:t>
            </w:r>
            <w:r w:rsidRPr="007B2C29">
              <w:tab/>
              <w:t>Carry out vehicle pre-start checks</w:t>
            </w:r>
          </w:p>
          <w:p w:rsidR="00000000" w:rsidRPr="007B2C29" w:rsidP="007B2C29">
            <w:pPr>
              <w:pStyle w:val="BodyText"/>
            </w:pPr>
            <w:r w:rsidRPr="007B2C29">
              <w:t>3.2</w:t>
            </w:r>
            <w:r w:rsidRPr="007B2C29">
              <w:tab/>
              <w:t>Confirm and adhere to pre-planned route</w:t>
            </w:r>
          </w:p>
          <w:p w:rsidR="00000000" w:rsidRPr="007B2C29" w:rsidP="007B2C29">
            <w:pPr>
              <w:pStyle w:val="BodyText"/>
            </w:pPr>
            <w:r w:rsidRPr="007B2C29">
              <w:t>3.3</w:t>
            </w:r>
            <w:r w:rsidRPr="007B2C29">
              <w:tab/>
              <w:t>Operate vehicle according to road condition</w:t>
            </w:r>
            <w:r w:rsidRPr="007B2C29">
              <w:t>s and in compliance with established mine traffic rules</w:t>
            </w:r>
          </w:p>
          <w:p w:rsidR="00000000" w:rsidP="007B2C29">
            <w:pPr>
              <w:pStyle w:val="BodyText"/>
              <w:rPr>
                <w:lang w:val="en-NZ"/>
              </w:rPr>
            </w:pPr>
            <w:r w:rsidRPr="007B2C29">
              <w:t>3.4</w:t>
            </w:r>
            <w:r w:rsidRPr="007B2C29">
              <w:tab/>
              <w:t>Identify emergency procedures for accidents and dangerous situations and report immediately</w:t>
            </w:r>
          </w:p>
        </w:tc>
      </w:tr>
      <w:tr w:rsidTr="007B2C2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C29">
            <w:pPr>
              <w:pStyle w:val="BodyText"/>
              <w:rPr>
                <w:lang w:val="en-NZ"/>
              </w:rPr>
            </w:pPr>
            <w:r w:rsidRPr="007B2C29">
              <w:t>4 Deliver explosives in blast hole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C29" w:rsidP="007B2C29">
            <w:pPr>
              <w:pStyle w:val="BodyText"/>
            </w:pPr>
            <w:r w:rsidRPr="007B2C29">
              <w:t>4.1</w:t>
            </w:r>
            <w:r w:rsidRPr="007B2C29">
              <w:tab/>
              <w:t>Select most appropriate hole discharge point and locate delivery</w:t>
            </w:r>
            <w:r w:rsidRPr="007B2C29">
              <w:t xml:space="preserve"> chute over blast hole</w:t>
            </w:r>
          </w:p>
          <w:p w:rsidR="00000000" w:rsidRPr="007B2C29" w:rsidP="007B2C29">
            <w:pPr>
              <w:pStyle w:val="BodyText"/>
            </w:pPr>
            <w:r w:rsidRPr="007B2C29">
              <w:t>4.2</w:t>
            </w:r>
            <w:r w:rsidRPr="007B2C29">
              <w:tab/>
              <w:t>Confirm the identity of blast hole and explosive loading requirements with relevant personnel</w:t>
            </w:r>
          </w:p>
          <w:p w:rsidR="00000000" w:rsidRPr="007B2C29" w:rsidP="007B2C29">
            <w:pPr>
              <w:pStyle w:val="BodyText"/>
            </w:pPr>
            <w:r w:rsidRPr="007B2C29">
              <w:t>4.3</w:t>
            </w:r>
            <w:r w:rsidRPr="007B2C29">
              <w:tab/>
              <w:t>Regulate the discharge of explosive to the blast hole to achieve specified weight or stemming height</w:t>
            </w:r>
          </w:p>
          <w:p w:rsidR="00000000" w:rsidRPr="007B2C29" w:rsidP="007B2C29">
            <w:pPr>
              <w:pStyle w:val="BodyText"/>
            </w:pPr>
            <w:r w:rsidRPr="007B2C29">
              <w:t>4.4</w:t>
            </w:r>
            <w:r w:rsidRPr="007B2C29">
              <w:tab/>
              <w:t xml:space="preserve">Complete loading hole and </w:t>
            </w:r>
            <w:r w:rsidRPr="007B2C29">
              <w:t>prepare vehicle for next blast hole</w:t>
            </w:r>
          </w:p>
          <w:p w:rsidR="00000000" w:rsidRPr="007B2C29" w:rsidP="007B2C29">
            <w:pPr>
              <w:pStyle w:val="BodyText"/>
            </w:pPr>
            <w:r w:rsidRPr="007B2C29">
              <w:t>4.5</w:t>
            </w:r>
            <w:r w:rsidRPr="007B2C29">
              <w:tab/>
              <w:t>Complete records</w:t>
            </w:r>
          </w:p>
          <w:p w:rsidR="00000000" w:rsidRPr="007B2C29" w:rsidP="007B2C29">
            <w:pPr>
              <w:pStyle w:val="BodyText"/>
            </w:pPr>
            <w:r w:rsidRPr="007B2C29">
              <w:t>4.6</w:t>
            </w:r>
            <w:r w:rsidRPr="007B2C29">
              <w:tab/>
              <w:t>Ensure area is clear and safe to move vehicle</w:t>
            </w:r>
          </w:p>
        </w:tc>
      </w:tr>
    </w:tbl>
    <w:p w:rsidR="00000000" w:rsidRPr="007B2C29" w:rsidP="007B2C29">
      <w:pPr>
        <w:pStyle w:val="BodyText"/>
      </w:pPr>
    </w:p>
    <w:p w:rsidR="00000000" w:rsidRPr="007B2C29" w:rsidP="007B2C29">
      <w:pPr>
        <w:pStyle w:val="AllowPageBreak"/>
      </w:pPr>
    </w:p>
    <w:p w:rsidR="00000000" w:rsidRPr="007B2C29" w:rsidP="007B2C29">
      <w:pPr>
        <w:pStyle w:val="Heading1"/>
      </w:pPr>
      <w:bookmarkStart w:id="4" w:name="O_673858"/>
      <w:bookmarkEnd w:id="4"/>
      <w:r w:rsidRPr="007B2C29">
        <w:t>Foundation Skills</w:t>
      </w:r>
    </w:p>
    <w:p w:rsidR="00000000" w:rsidRPr="007B2C29" w:rsidP="007B2C29">
      <w:pPr>
        <w:pStyle w:val="BodyText"/>
      </w:pPr>
      <w:r w:rsidRPr="007B2C29">
        <w:t>Foundation skills essential to performance are explicit in the performance criteria of this unit. Fur</w:t>
      </w:r>
      <w:r w:rsidRPr="007B2C29">
        <w:t>ther information is available in the Resources and Infrastructure Industry Training Package Companion Volume.</w:t>
      </w:r>
    </w:p>
    <w:p w:rsidR="00000000" w:rsidRPr="007B2C29" w:rsidP="007B2C29">
      <w:pPr>
        <w:pStyle w:val="AllowPageBreak"/>
      </w:pPr>
    </w:p>
    <w:p w:rsidR="00000000" w:rsidRPr="007B2C29" w:rsidP="007B2C29">
      <w:pPr>
        <w:pStyle w:val="Heading1"/>
      </w:pPr>
      <w:bookmarkStart w:id="5" w:name="O_673857"/>
      <w:bookmarkEnd w:id="5"/>
      <w:r w:rsidRPr="007B2C29">
        <w:t>Unit Mapping Information</w:t>
      </w:r>
    </w:p>
    <w:p w:rsidR="00C52626" w:rsidP="007B2C29">
      <w:pPr>
        <w:pStyle w:val="BodyText"/>
      </w:pPr>
      <w:r w:rsidRPr="007B2C29">
        <w:t>RIIBLA203B Conducting mobile mixing of explosives</w:t>
      </w:r>
    </w:p>
    <w:p w:rsidR="00C52626" w:rsidP="007B2C29">
      <w:pPr>
        <w:pStyle w:val="BodyText"/>
      </w:pPr>
    </w:p>
    <w:p w:rsidR="00000000" w:rsidRPr="007B2C29" w:rsidP="007B2C29">
      <w:pPr>
        <w:pStyle w:val="Heading1"/>
      </w:pPr>
      <w:bookmarkStart w:id="6" w:name="O_673862"/>
      <w:bookmarkEnd w:id="6"/>
      <w:r w:rsidRPr="007B2C29">
        <w:t>Links</w:t>
      </w:r>
    </w:p>
    <w:p w:rsidR="00000000" w:rsidRPr="007B2C29" w:rsidP="007B2C29">
      <w:pPr>
        <w:pStyle w:val="BodyText"/>
      </w:pPr>
      <w:r w:rsidRPr="007B2C29">
        <w:t>SkillsDMC RII Companion Volume</w:t>
      </w:r>
      <w:r w:rsidRPr="007B2C29">
        <w:t>s - http://www.skillsdmc.com.au/</w:t>
      </w:r>
    </w:p>
    <w:p w:rsidR="00000000" w:rsidRPr="007B2C29" w:rsidP="007B2C29"/>
    <w:sectPr w:rsidSect="007B2C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C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C29" w:rsidRPr="00C52626" w:rsidP="00C526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C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26" w:rsidP="007B2C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2626" w:rsidP="007B2C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C52626" w:rsidP="007B2C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C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C29" w:rsidRPr="00C52626" w:rsidP="00C5262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C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26" w:rsidRPr="002D2AF8" w:rsidP="007B2C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RIIBLA203D Conduct mobile mixing of explosives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C52626" w:rsidP="007B2C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C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2C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2C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2C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2C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2C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2C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2C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2C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2C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2C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2C29"/>
  </w:style>
  <w:style w:type="character" w:customStyle="1" w:styleId="Heading1Char">
    <w:name w:val="Heading 1 Char"/>
    <w:basedOn w:val="DefaultParagraphFont"/>
    <w:link w:val="Heading1"/>
    <w:rsid w:val="007B2C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2C2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B2C2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2C2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B2C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2C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2C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2C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2C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2C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2C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2C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2C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2C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2C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2C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2C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2C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2C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2C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2C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2C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2C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2C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2C2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2C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2C29"/>
    <w:rPr>
      <w:b/>
      <w:spacing w:val="0"/>
    </w:rPr>
  </w:style>
  <w:style w:type="paragraph" w:customStyle="1" w:styleId="SuperTitle">
    <w:name w:val="SuperTitle"/>
    <w:basedOn w:val="Title"/>
    <w:rsid w:val="007B2C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2C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2C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2C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2C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2C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2C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2C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2C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2C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2C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2C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2C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2C29"/>
    <w:rPr>
      <w:i/>
    </w:rPr>
  </w:style>
  <w:style w:type="paragraph" w:styleId="Caption">
    <w:name w:val="caption"/>
    <w:basedOn w:val="BodyText"/>
    <w:next w:val="Normal"/>
    <w:qFormat/>
    <w:rsid w:val="007B2C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2C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2C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2C29"/>
  </w:style>
  <w:style w:type="paragraph" w:styleId="TableofFigures">
    <w:name w:val="table of figures"/>
    <w:basedOn w:val="Normal"/>
    <w:next w:val="Normal"/>
    <w:semiHidden/>
    <w:rsid w:val="007B2C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2C29"/>
    <w:pPr>
      <w:numPr>
        <w:numId w:val="9"/>
      </w:numPr>
    </w:pPr>
  </w:style>
  <w:style w:type="character" w:customStyle="1" w:styleId="WingdingSymbols">
    <w:name w:val="Wingding Symbols"/>
    <w:rsid w:val="007B2C29"/>
    <w:rPr>
      <w:rFonts w:ascii="Wingdings" w:hAnsi="Wingdings"/>
    </w:rPr>
  </w:style>
  <w:style w:type="paragraph" w:customStyle="1" w:styleId="TableHeading">
    <w:name w:val="Table Heading"/>
    <w:basedOn w:val="HeadingBase"/>
    <w:rsid w:val="007B2C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2C29"/>
    <w:rPr>
      <w:color w:val="0033CC"/>
      <w:u w:val="none"/>
    </w:rPr>
  </w:style>
  <w:style w:type="paragraph" w:customStyle="1" w:styleId="BodyTextRight">
    <w:name w:val="Body Text Right"/>
    <w:basedOn w:val="BodyText"/>
    <w:rsid w:val="007B2C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2C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2C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2C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2C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2C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2C29"/>
    <w:rPr>
      <w:sz w:val="32"/>
    </w:rPr>
  </w:style>
  <w:style w:type="paragraph" w:customStyle="1" w:styleId="HeadingProcedure">
    <w:name w:val="Heading Procedure"/>
    <w:basedOn w:val="HeadingBase"/>
    <w:next w:val="Normal"/>
    <w:rsid w:val="007B2C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2C29"/>
    <w:pPr>
      <w:spacing w:before="60" w:after="60"/>
    </w:pPr>
  </w:style>
  <w:style w:type="paragraph" w:styleId="ListContinue">
    <w:name w:val="List Continue"/>
    <w:basedOn w:val="List"/>
    <w:rsid w:val="007B2C29"/>
    <w:pPr>
      <w:ind w:firstLine="0"/>
    </w:pPr>
  </w:style>
  <w:style w:type="paragraph" w:customStyle="1" w:styleId="ListNote">
    <w:name w:val="List Note"/>
    <w:basedOn w:val="List"/>
    <w:rsid w:val="007B2C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2C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2C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2C29"/>
    <w:rPr>
      <w:rFonts w:ascii="Courier New" w:hAnsi="Courier New"/>
    </w:rPr>
  </w:style>
  <w:style w:type="paragraph" w:customStyle="1" w:styleId="NoteBullet">
    <w:name w:val="Note Bullet"/>
    <w:basedOn w:val="Note"/>
    <w:rsid w:val="007B2C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2C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2C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2C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2C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2C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2C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2C29"/>
    <w:rPr>
      <w:b/>
      <w:smallCaps/>
    </w:rPr>
  </w:style>
  <w:style w:type="paragraph" w:customStyle="1" w:styleId="TableListNumber">
    <w:name w:val="Table List Number"/>
    <w:basedOn w:val="ListNumber"/>
    <w:rsid w:val="007B2C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2C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2C29"/>
    <w:pPr>
      <w:numPr>
        <w:numId w:val="7"/>
      </w:numPr>
    </w:pPr>
  </w:style>
  <w:style w:type="paragraph" w:customStyle="1" w:styleId="ListAlpha2">
    <w:name w:val="List Alpha 2"/>
    <w:basedOn w:val="List2"/>
    <w:rsid w:val="007B2C29"/>
    <w:pPr>
      <w:numPr>
        <w:numId w:val="6"/>
      </w:numPr>
    </w:pPr>
  </w:style>
  <w:style w:type="paragraph" w:styleId="List2">
    <w:name w:val="List 2"/>
    <w:basedOn w:val="BodyText"/>
    <w:rsid w:val="007B2C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2C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2C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2C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2C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2C2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B2C29"/>
    <w:pPr>
      <w:numPr>
        <w:numId w:val="2"/>
      </w:numPr>
    </w:pPr>
  </w:style>
  <w:style w:type="paragraph" w:styleId="ListContinue2">
    <w:name w:val="List Continue 2"/>
    <w:basedOn w:val="List2"/>
    <w:rsid w:val="007B2C29"/>
    <w:pPr>
      <w:ind w:firstLine="0"/>
    </w:pPr>
  </w:style>
  <w:style w:type="paragraph" w:styleId="ListContinue3">
    <w:name w:val="List Continue 3"/>
    <w:basedOn w:val="List3"/>
    <w:rsid w:val="007B2C29"/>
    <w:pPr>
      <w:ind w:left="1021" w:firstLine="0"/>
    </w:pPr>
  </w:style>
  <w:style w:type="paragraph" w:styleId="ListContinue4">
    <w:name w:val="List Continue 4"/>
    <w:basedOn w:val="List4"/>
    <w:rsid w:val="007B2C29"/>
    <w:pPr>
      <w:ind w:firstLine="0"/>
    </w:pPr>
  </w:style>
  <w:style w:type="paragraph" w:styleId="ListContinue5">
    <w:name w:val="List Continue 5"/>
    <w:basedOn w:val="List5"/>
    <w:rsid w:val="007B2C29"/>
    <w:pPr>
      <w:ind w:firstLine="0"/>
    </w:pPr>
  </w:style>
  <w:style w:type="paragraph" w:styleId="ListNumber3">
    <w:name w:val="List Number 3"/>
    <w:basedOn w:val="List3"/>
    <w:rsid w:val="007B2C29"/>
    <w:pPr>
      <w:numPr>
        <w:numId w:val="3"/>
      </w:numPr>
    </w:pPr>
  </w:style>
  <w:style w:type="paragraph" w:styleId="ListNumber4">
    <w:name w:val="List Number 4"/>
    <w:basedOn w:val="List4"/>
    <w:rsid w:val="007B2C29"/>
    <w:pPr>
      <w:numPr>
        <w:numId w:val="4"/>
      </w:numPr>
    </w:pPr>
  </w:style>
  <w:style w:type="paragraph" w:styleId="ListNumber5">
    <w:name w:val="List Number 5"/>
    <w:basedOn w:val="List5"/>
    <w:rsid w:val="007B2C29"/>
    <w:pPr>
      <w:numPr>
        <w:numId w:val="5"/>
      </w:numPr>
    </w:pPr>
  </w:style>
  <w:style w:type="paragraph" w:styleId="BlockText">
    <w:name w:val="Block Text"/>
    <w:basedOn w:val="Normal"/>
    <w:rsid w:val="007B2C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2C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2C29"/>
    <w:rPr>
      <w:sz w:val="16"/>
      <w:vertAlign w:val="superscript"/>
    </w:rPr>
  </w:style>
  <w:style w:type="character" w:customStyle="1" w:styleId="Symbols">
    <w:name w:val="Symbols"/>
    <w:basedOn w:val="DefaultParagraphFont"/>
    <w:rsid w:val="007B2C29"/>
    <w:rPr>
      <w:rFonts w:ascii="Symbol" w:hAnsi="Symbol"/>
    </w:rPr>
  </w:style>
  <w:style w:type="character" w:customStyle="1" w:styleId="MenuOptions">
    <w:name w:val="Menu Options"/>
    <w:basedOn w:val="DefaultParagraphFont"/>
    <w:rsid w:val="007B2C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2C29"/>
    <w:rPr>
      <w:b/>
    </w:rPr>
  </w:style>
  <w:style w:type="character" w:customStyle="1" w:styleId="Underlined">
    <w:name w:val="Underlined"/>
    <w:basedOn w:val="DefaultParagraphFont"/>
    <w:rsid w:val="007B2C29"/>
    <w:rPr>
      <w:u w:val="single"/>
    </w:rPr>
  </w:style>
  <w:style w:type="paragraph" w:customStyle="1" w:styleId="TableBodyTextRight">
    <w:name w:val="Table Body Text Right"/>
    <w:basedOn w:val="TableBodyText"/>
    <w:rsid w:val="007B2C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2C29"/>
    <w:rPr>
      <w:sz w:val="18"/>
    </w:rPr>
  </w:style>
  <w:style w:type="paragraph" w:customStyle="1" w:styleId="BodySmallRight">
    <w:name w:val="Body Small Right"/>
    <w:basedOn w:val="BodyTextRight"/>
    <w:rsid w:val="007B2C29"/>
    <w:rPr>
      <w:sz w:val="18"/>
      <w:szCs w:val="18"/>
    </w:rPr>
  </w:style>
  <w:style w:type="paragraph" w:customStyle="1" w:styleId="MarginEdition">
    <w:name w:val="Margin Edition"/>
    <w:basedOn w:val="MarginNote"/>
    <w:rsid w:val="007B2C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2C29"/>
    <w:rPr>
      <w:sz w:val="2"/>
      <w:szCs w:val="2"/>
    </w:rPr>
  </w:style>
  <w:style w:type="character" w:customStyle="1" w:styleId="Small">
    <w:name w:val="Small"/>
    <w:basedOn w:val="DefaultParagraphFont"/>
    <w:rsid w:val="007B2C29"/>
    <w:rPr>
      <w:sz w:val="16"/>
    </w:rPr>
  </w:style>
  <w:style w:type="paragraph" w:customStyle="1" w:styleId="WideTable">
    <w:name w:val="Wide Table"/>
    <w:basedOn w:val="Normal"/>
    <w:rsid w:val="007B2C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2C29"/>
  </w:style>
  <w:style w:type="paragraph" w:styleId="Quote">
    <w:name w:val="Quote"/>
    <w:basedOn w:val="Heading1"/>
    <w:link w:val="QuoteChar"/>
    <w:qFormat/>
    <w:rsid w:val="007B2C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2C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2C29"/>
    <w:pPr>
      <w:pageBreakBefore/>
    </w:pPr>
  </w:style>
  <w:style w:type="paragraph" w:customStyle="1" w:styleId="Border">
    <w:name w:val="Border"/>
    <w:basedOn w:val="Normal"/>
    <w:qFormat/>
    <w:rsid w:val="007B2C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2C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C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C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2C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2C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2C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2C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2C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2C29"/>
    <w:rPr>
      <w:u w:val="single"/>
    </w:rPr>
  </w:style>
  <w:style w:type="character" w:customStyle="1" w:styleId="BoldandItalics">
    <w:name w:val="Bold and Italics"/>
    <w:qFormat/>
    <w:rsid w:val="007B2C29"/>
    <w:rPr>
      <w:b/>
      <w:i/>
      <w:u w:val="none"/>
    </w:rPr>
  </w:style>
  <w:style w:type="paragraph" w:styleId="BalloonText">
    <w:name w:val="Balloon Text"/>
    <w:basedOn w:val="Normal"/>
    <w:link w:val="BalloonTextChar"/>
    <w:rsid w:val="007B2C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2C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2C2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2C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2C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2C2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512</Words>
  <Characters>3056</Characters>
  <Application>Microsoft Office Word</Application>
  <DocSecurity>0</DocSecurity>
  <Lines>92</Lines>
  <Paragraphs>53</Paragraphs>
  <ScaleCrop>false</ScaleCrop>
  <Company>Author-it Software Corporation Ltd.</Company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RIIBLA203D Conduct mobile mixing of explosives</dc:title>
  <dc:subject>Approved</dc:subject>
  <dc:creator>SkillsDMC</dc:creator>
  <cp:keywords>Release: 2</cp:keywords>
  <dc:description>Review Date: 12 April 2008</dc:description>
  <cp:lastModifiedBy>TPCMS</cp:lastModifiedBy>
  <cp:revision>3</cp:revision>
  <dcterms:created xsi:type="dcterms:W3CDTF">2015-12-14T08:09:00Z</dcterms:created>
  <dcterms:modified xsi:type="dcterms:W3CDTF">2015-12-14T08:09:00Z</dcterms:modified>
</cp:coreProperties>
</file>