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0CD2" w:rsidP="00AE0CD2">
      <w:pPr>
        <w:pStyle w:val="Title"/>
      </w:pPr>
      <w:r>
        <w:fldChar w:fldCharType="begin"/>
      </w:r>
      <w:r>
        <w:instrText xml:space="preserve"> TITLE   \* MERGEFORMAT </w:instrText>
      </w:r>
      <w:r>
        <w:fldChar w:fldCharType="separate"/>
      </w:r>
      <w:r>
        <w:t>RIIBLA203D Conduct mobile mixing of explosives</w:t>
      </w:r>
      <w:r>
        <w:fldChar w:fldCharType="end"/>
      </w:r>
    </w:p>
    <w:p w:rsidR="00AE0CD2" w:rsidP="00AE0CD2">
      <w:pPr>
        <w:pStyle w:val="Version"/>
        <w:sectPr w:rsidSect="00CB3C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3CDE" w:rsidP="00CB3CDE">
      <w:pPr>
        <w:pStyle w:val="SuperHeading"/>
      </w:pPr>
      <w:r w:rsidRPr="00CB3CDE">
        <w:t>RIIBLA203D Conduct mobile mixing of explosives</w:t>
      </w:r>
    </w:p>
    <w:p w:rsidR="00000000" w:rsidRPr="00CB3CDE" w:rsidP="00CB3CDE">
      <w:pPr>
        <w:pStyle w:val="Heading1"/>
      </w:pPr>
      <w:bookmarkStart w:id="1" w:name="O_673861"/>
      <w:bookmarkEnd w:id="1"/>
      <w:r w:rsidRPr="00CB3CDE">
        <w:t>Modification History</w:t>
      </w:r>
    </w:p>
    <w:tbl>
      <w:tblPr>
        <w:tblW w:w="0" w:type="auto"/>
        <w:tblCellMar>
          <w:left w:w="62" w:type="dxa"/>
          <w:right w:w="62" w:type="dxa"/>
        </w:tblCellMar>
        <w:tblLook w:val="0000"/>
      </w:tblPr>
      <w:tblGrid>
        <w:gridCol w:w="1107"/>
        <w:gridCol w:w="8089"/>
      </w:tblGrid>
      <w:tr w:rsidTr="00AE0CD2">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CDE">
            <w:pPr>
              <w:pStyle w:val="Heading4"/>
              <w:rPr>
                <w:lang w:val="en-NZ"/>
              </w:rPr>
            </w:pPr>
            <w:r w:rsidRPr="00CB3CD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CDE">
            <w:pPr>
              <w:pStyle w:val="Heading4"/>
              <w:rPr>
                <w:lang w:val="en-NZ"/>
              </w:rPr>
            </w:pPr>
            <w:r w:rsidRPr="00CB3CDE">
              <w:t>Comment</w:t>
            </w:r>
          </w:p>
        </w:tc>
      </w:tr>
      <w:tr w:rsidTr="00AE0CD2">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CDE">
            <w:pPr>
              <w:pStyle w:val="BodyText"/>
              <w:rPr>
                <w:lang w:val="en-NZ"/>
              </w:rPr>
            </w:pPr>
            <w:r w:rsidRPr="00CB3CD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CDE">
            <w:pPr>
              <w:pStyle w:val="BodyText"/>
              <w:rPr>
                <w:lang w:val="en-NZ"/>
              </w:rPr>
            </w:pPr>
            <w:r w:rsidRPr="00CB3CDE">
              <w:t>This unit replaces RIIBLA203B Conduct mobile mixing of explosives</w:t>
            </w:r>
          </w:p>
        </w:tc>
      </w:tr>
      <w:tr w:rsidTr="00AE0C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CDE">
            <w:pPr>
              <w:pStyle w:val="BodyText"/>
              <w:rPr>
                <w:lang w:val="en-NZ"/>
              </w:rPr>
            </w:pPr>
            <w:r w:rsidRPr="00CB3CD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CDE" w:rsidP="00CB3CDE">
            <w:pPr>
              <w:pStyle w:val="BodyText"/>
            </w:pPr>
            <w:r w:rsidRPr="00CB3CDE">
              <w:t>Required frequency and volume of evidence amended in Performance evidence.</w:t>
            </w:r>
          </w:p>
          <w:p w:rsidR="00000000" w:rsidRPr="00CB3CDE" w:rsidP="00CB3CDE">
            <w:pPr>
              <w:pStyle w:val="BodyText"/>
            </w:pPr>
            <w:r w:rsidRPr="00CB3CDE">
              <w:t>Substantial amendments made in Assessment Conditions field, incl</w:t>
            </w:r>
            <w:r w:rsidRPr="00CB3CDE">
              <w:t>uding: references to Industry Sectors, assessor and subject matter expert experience requirements, how assessment should be conducted and what it should confirm.</w:t>
            </w:r>
          </w:p>
        </w:tc>
      </w:tr>
    </w:tbl>
    <w:p w:rsidR="00000000" w:rsidRPr="00CB3CDE" w:rsidP="00CB3CDE">
      <w:pPr>
        <w:pStyle w:val="BodyText"/>
      </w:pPr>
    </w:p>
    <w:p w:rsidR="00000000" w:rsidRPr="00CB3CDE" w:rsidP="00CB3CDE">
      <w:pPr>
        <w:pStyle w:val="AllowPageBreak"/>
      </w:pPr>
    </w:p>
    <w:p w:rsidR="00000000" w:rsidRPr="00CB3CDE" w:rsidP="00CB3CDE">
      <w:pPr>
        <w:pStyle w:val="Heading1"/>
      </w:pPr>
      <w:bookmarkStart w:id="2" w:name="O_673860"/>
      <w:bookmarkEnd w:id="2"/>
      <w:r w:rsidRPr="00CB3CDE">
        <w:t>Application</w:t>
      </w:r>
    </w:p>
    <w:p w:rsidR="00000000" w:rsidRPr="00CB3CDE" w:rsidP="00AE0CD2">
      <w:pPr>
        <w:pStyle w:val="BodyText"/>
      </w:pPr>
      <w:r w:rsidRPr="00CB3CDE">
        <w:t>This unit describes a participant’</w:t>
      </w:r>
      <w:r w:rsidRPr="00CB3CDE">
        <w:t>s skills and knowledge required to conduct mobile mixing of explosives in the Resources and Infrastructure Industries.</w:t>
      </w:r>
    </w:p>
    <w:p w:rsidR="00000000" w:rsidRPr="00CB3CDE" w:rsidP="00AE0CD2">
      <w:pPr>
        <w:pStyle w:val="BodyText"/>
      </w:pPr>
      <w:r w:rsidRPr="00CB3CDE">
        <w:t>This unit is appropriate for those working in operational roles.</w:t>
      </w:r>
    </w:p>
    <w:p w:rsidR="00AE0CD2" w:rsidP="00AE0CD2">
      <w:pPr>
        <w:pStyle w:val="BodyText"/>
      </w:pPr>
      <w:r w:rsidRPr="00CB3CDE">
        <w:t>No licensing, legislation or certification requirements apply to this un</w:t>
      </w:r>
      <w:r w:rsidRPr="00CB3CDE">
        <w:t>it at the time of publication.</w:t>
      </w:r>
    </w:p>
    <w:p w:rsidR="00000000" w:rsidRPr="00CB3CDE" w:rsidP="00CB3CDE">
      <w:pPr>
        <w:pStyle w:val="Heading1"/>
      </w:pPr>
      <w:bookmarkStart w:id="3" w:name="O_673859"/>
      <w:bookmarkEnd w:id="3"/>
      <w:r w:rsidRPr="00CB3CDE">
        <w:t>Elements and Performance Criteria</w:t>
      </w:r>
    </w:p>
    <w:tbl>
      <w:tblPr>
        <w:tblW w:w="9322" w:type="dxa"/>
        <w:tblLayout w:type="fixed"/>
        <w:tblCellMar>
          <w:left w:w="62" w:type="dxa"/>
          <w:right w:w="62" w:type="dxa"/>
        </w:tblCellMar>
        <w:tblLook w:val="0000"/>
      </w:tblPr>
      <w:tblGrid>
        <w:gridCol w:w="2438"/>
        <w:gridCol w:w="6884"/>
      </w:tblGrid>
      <w:tr w:rsidTr="00CB3CD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CDE">
            <w:pPr>
              <w:pStyle w:val="BodyText"/>
              <w:rPr>
                <w:lang w:val="en-NZ"/>
              </w:rPr>
            </w:pPr>
            <w:r w:rsidRPr="00CB3CDE">
              <w:t>1 Plan and prepare for mobile mixing of explosives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CDE" w:rsidP="00CB3CDE">
            <w:pPr>
              <w:pStyle w:val="BodyText"/>
            </w:pPr>
            <w:r w:rsidRPr="00CB3CDE">
              <w:t>1.1</w:t>
            </w:r>
            <w:r w:rsidRPr="00CB3CDE">
              <w:tab/>
              <w:t>Access, interpret and apply explosives documentation and ensure the work activity is compliant</w:t>
            </w:r>
          </w:p>
          <w:p w:rsidR="00000000" w:rsidRPr="00CB3CDE" w:rsidP="00CB3CDE">
            <w:pPr>
              <w:pStyle w:val="BodyText"/>
            </w:pPr>
            <w:r w:rsidRPr="00CB3CDE">
              <w:t>1.2</w:t>
            </w:r>
            <w:r w:rsidRPr="00CB3CDE">
              <w:tab/>
              <w:t>Select and wear per</w:t>
            </w:r>
            <w:r w:rsidRPr="00CB3CDE">
              <w:t>sonal protective equipment appropriate for the work activity</w:t>
            </w:r>
          </w:p>
          <w:p w:rsidR="00000000" w:rsidRPr="00CB3CDE" w:rsidP="00CB3CDE">
            <w:pPr>
              <w:pStyle w:val="BodyText"/>
            </w:pPr>
            <w:r w:rsidRPr="00CB3CDE">
              <w:t>1.3</w:t>
            </w:r>
            <w:r w:rsidRPr="00CB3CDE">
              <w:tab/>
              <w:t>Inspect work area and establish, barricade and signpost loading area</w:t>
            </w:r>
          </w:p>
          <w:p w:rsidR="00000000" w:rsidRPr="00CB3CDE" w:rsidP="00CB3CDE">
            <w:pPr>
              <w:pStyle w:val="BodyText"/>
            </w:pPr>
            <w:r w:rsidRPr="00CB3CDE">
              <w:t>1.4</w:t>
            </w:r>
            <w:r w:rsidRPr="00CB3CDE">
              <w:tab/>
              <w:t>Identify, address and report potential hazards, risks and environmental issues</w:t>
            </w:r>
          </w:p>
          <w:p w:rsidR="00000000" w:rsidRPr="00CB3CDE" w:rsidP="00CB3CDE">
            <w:pPr>
              <w:pStyle w:val="BodyText"/>
            </w:pPr>
            <w:r w:rsidRPr="00CB3CDE">
              <w:t>1.5</w:t>
            </w:r>
            <w:r w:rsidRPr="00CB3CDE">
              <w:tab/>
              <w:t>Obtain and interpret emergency proc</w:t>
            </w:r>
            <w:r w:rsidRPr="00CB3CDE">
              <w:t>edures and be prepared for fire/accident/emergency</w:t>
            </w:r>
          </w:p>
          <w:p w:rsidR="00000000" w:rsidRPr="00CB3CDE" w:rsidP="00CB3CDE">
            <w:pPr>
              <w:pStyle w:val="BodyText"/>
            </w:pPr>
            <w:r w:rsidRPr="00CB3CDE">
              <w:t>1.6</w:t>
            </w:r>
            <w:r w:rsidRPr="00CB3CDE">
              <w:tab/>
              <w:t>Segregate incompatible goods prior to loading the mobile processing unit according to legislation and code of practice</w:t>
            </w:r>
          </w:p>
          <w:p w:rsidR="00000000" w:rsidRPr="00CB3CDE" w:rsidP="00CB3CDE">
            <w:pPr>
              <w:pStyle w:val="BodyText"/>
            </w:pPr>
            <w:r w:rsidRPr="00CB3CDE">
              <w:t>1.7</w:t>
            </w:r>
            <w:r w:rsidRPr="00CB3CDE">
              <w:tab/>
              <w:t>Inspect mobile processing unit for safe loading of explosives materials</w:t>
            </w:r>
          </w:p>
          <w:p w:rsidR="00000000" w:rsidRPr="00CB3CDE" w:rsidP="00CB3CDE">
            <w:pPr>
              <w:pStyle w:val="BodyText"/>
            </w:pPr>
            <w:r w:rsidRPr="00CB3CDE">
              <w:t>1.8</w:t>
            </w:r>
            <w:r w:rsidRPr="00CB3CDE">
              <w:tab/>
              <w:t>En</w:t>
            </w:r>
            <w:r w:rsidRPr="00CB3CDE">
              <w:t xml:space="preserve">sure attachments comply with standards and licensing </w:t>
            </w:r>
            <w:r w:rsidRPr="00CB3CDE">
              <w:t>requirements</w:t>
            </w:r>
          </w:p>
          <w:p w:rsidR="00000000" w:rsidRPr="00CB3CDE" w:rsidP="00CB3CDE">
            <w:pPr>
              <w:pStyle w:val="BodyText"/>
            </w:pPr>
            <w:r w:rsidRPr="00CB3CDE">
              <w:t>1.9</w:t>
            </w:r>
            <w:r w:rsidRPr="00CB3CDE">
              <w:tab/>
              <w:t xml:space="preserve">Placard mobile processing unit and attachments to show the goods carried, Hazchem identity and emergency information </w:t>
            </w:r>
          </w:p>
          <w:p w:rsidR="00000000" w:rsidP="00CB3CDE">
            <w:pPr>
              <w:pStyle w:val="BodyText"/>
              <w:rPr>
                <w:lang w:val="en-NZ"/>
              </w:rPr>
            </w:pPr>
            <w:r w:rsidRPr="00CB3CDE">
              <w:t>1.10</w:t>
            </w:r>
            <w:r w:rsidRPr="00CB3CDE">
              <w:tab/>
              <w:t>Check that safety equipment is fitted and ready for use</w:t>
            </w:r>
          </w:p>
        </w:tc>
      </w:tr>
      <w:tr w:rsidTr="00CB3CD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CDE">
            <w:pPr>
              <w:pStyle w:val="BodyText"/>
              <w:rPr>
                <w:lang w:val="en-NZ"/>
              </w:rPr>
            </w:pPr>
            <w:r w:rsidRPr="00CB3CDE">
              <w:t>2 Load and mix explosives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CDE" w:rsidP="00CB3CDE">
            <w:pPr>
              <w:pStyle w:val="BodyText"/>
            </w:pPr>
            <w:r w:rsidRPr="00CB3CDE">
              <w:t>2.1</w:t>
            </w:r>
            <w:r w:rsidRPr="00CB3CDE">
              <w:tab/>
              <w:t>Calculate batch quantities for ingredients to manufacture explosive, and check availability of ingredients</w:t>
            </w:r>
          </w:p>
          <w:p w:rsidR="00000000" w:rsidRPr="00CB3CDE" w:rsidP="00CB3CDE">
            <w:pPr>
              <w:pStyle w:val="BodyText"/>
            </w:pPr>
            <w:r w:rsidRPr="00CB3CDE">
              <w:t>2.2</w:t>
            </w:r>
            <w:r w:rsidRPr="00CB3CDE">
              <w:tab/>
              <w:t>Ensure truck is empty of product and any water in storage bin removed</w:t>
            </w:r>
          </w:p>
          <w:p w:rsidR="00000000" w:rsidRPr="00CB3CDE" w:rsidP="00CB3CDE">
            <w:pPr>
              <w:pStyle w:val="BodyText"/>
            </w:pPr>
            <w:r w:rsidRPr="00CB3CDE">
              <w:t>2.3</w:t>
            </w:r>
            <w:r w:rsidRPr="00CB3CDE">
              <w:tab/>
              <w:t xml:space="preserve">Apply parking brake throughout </w:t>
            </w:r>
            <w:r w:rsidRPr="00CB3CDE">
              <w:t>materials loading operation</w:t>
            </w:r>
          </w:p>
          <w:p w:rsidR="00000000" w:rsidRPr="00CB3CDE" w:rsidP="00CB3CDE">
            <w:pPr>
              <w:pStyle w:val="BodyText"/>
            </w:pPr>
            <w:r w:rsidRPr="00CB3CDE">
              <w:t>2.4</w:t>
            </w:r>
            <w:r w:rsidRPr="00CB3CDE">
              <w:tab/>
              <w:t xml:space="preserve">Position truck and operate controls to load specified amounts of materials </w:t>
            </w:r>
          </w:p>
          <w:p w:rsidR="00000000" w:rsidRPr="00CB3CDE" w:rsidP="00CB3CDE">
            <w:pPr>
              <w:pStyle w:val="BodyText"/>
            </w:pPr>
            <w:r w:rsidRPr="00CB3CDE">
              <w:t>2.5</w:t>
            </w:r>
            <w:r w:rsidRPr="00CB3CDE">
              <w:tab/>
              <w:t xml:space="preserve">Set timer and operate controls to mix explosive for specified time </w:t>
            </w:r>
          </w:p>
          <w:p w:rsidR="00000000" w:rsidRPr="00CB3CDE" w:rsidP="00CB3CDE">
            <w:pPr>
              <w:pStyle w:val="BodyText"/>
            </w:pPr>
            <w:r w:rsidRPr="00CB3CDE">
              <w:t>2.6</w:t>
            </w:r>
            <w:r w:rsidRPr="00CB3CDE">
              <w:tab/>
              <w:t>Load materials in a safe manner to prevent spillage or injury to personn</w:t>
            </w:r>
            <w:r w:rsidRPr="00CB3CDE">
              <w:t>el and observe emergency procedures</w:t>
            </w:r>
          </w:p>
          <w:p w:rsidR="00000000" w:rsidP="00CB3CDE">
            <w:pPr>
              <w:pStyle w:val="BodyText"/>
              <w:rPr>
                <w:lang w:val="en-NZ"/>
              </w:rPr>
            </w:pPr>
            <w:r w:rsidRPr="00CB3CDE">
              <w:t>2.7</w:t>
            </w:r>
            <w:r w:rsidRPr="00CB3CDE">
              <w:tab/>
              <w:t xml:space="preserve">Record the details of all materials loaded </w:t>
            </w:r>
          </w:p>
        </w:tc>
      </w:tr>
      <w:tr w:rsidTr="00CB3CD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CDE">
            <w:pPr>
              <w:pStyle w:val="BodyText"/>
              <w:rPr>
                <w:lang w:val="en-NZ"/>
              </w:rPr>
            </w:pPr>
            <w:r w:rsidRPr="00CB3CDE">
              <w:t>3 Transport explosives to delivery point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CDE" w:rsidP="00CB3CDE">
            <w:pPr>
              <w:pStyle w:val="BodyText"/>
            </w:pPr>
            <w:r w:rsidRPr="00CB3CDE">
              <w:t>3.1</w:t>
            </w:r>
            <w:r w:rsidRPr="00CB3CDE">
              <w:tab/>
              <w:t>Carry out vehicle pre-start checks</w:t>
            </w:r>
          </w:p>
          <w:p w:rsidR="00000000" w:rsidRPr="00CB3CDE" w:rsidP="00CB3CDE">
            <w:pPr>
              <w:pStyle w:val="BodyText"/>
            </w:pPr>
            <w:r w:rsidRPr="00CB3CDE">
              <w:t>3.2</w:t>
            </w:r>
            <w:r w:rsidRPr="00CB3CDE">
              <w:tab/>
              <w:t>Confirm and adhere to pre-planned route</w:t>
            </w:r>
          </w:p>
          <w:p w:rsidR="00000000" w:rsidRPr="00CB3CDE" w:rsidP="00CB3CDE">
            <w:pPr>
              <w:pStyle w:val="BodyText"/>
            </w:pPr>
            <w:r w:rsidRPr="00CB3CDE">
              <w:t>3.3</w:t>
            </w:r>
            <w:r w:rsidRPr="00CB3CDE">
              <w:tab/>
              <w:t>Operate vehicle according to road condition</w:t>
            </w:r>
            <w:r w:rsidRPr="00CB3CDE">
              <w:t>s and in compliance with established mine traffic rules</w:t>
            </w:r>
          </w:p>
          <w:p w:rsidR="00000000" w:rsidP="00CB3CDE">
            <w:pPr>
              <w:pStyle w:val="BodyText"/>
              <w:rPr>
                <w:lang w:val="en-NZ"/>
              </w:rPr>
            </w:pPr>
            <w:r w:rsidRPr="00CB3CDE">
              <w:t>3.4</w:t>
            </w:r>
            <w:r w:rsidRPr="00CB3CDE">
              <w:tab/>
              <w:t>Identify emergency procedures for accidents and dangerous situations and report immediately</w:t>
            </w:r>
          </w:p>
        </w:tc>
      </w:tr>
      <w:tr w:rsidTr="00CB3CD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3CDE">
            <w:pPr>
              <w:pStyle w:val="BodyText"/>
              <w:rPr>
                <w:lang w:val="en-NZ"/>
              </w:rPr>
            </w:pPr>
            <w:r w:rsidRPr="00CB3CDE">
              <w:t>4 Deliver explosives in blast hole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3CDE" w:rsidP="00CB3CDE">
            <w:pPr>
              <w:pStyle w:val="BodyText"/>
            </w:pPr>
            <w:r w:rsidRPr="00CB3CDE">
              <w:t>4.1</w:t>
            </w:r>
            <w:r w:rsidRPr="00CB3CDE">
              <w:tab/>
              <w:t>Select most appropriate hole discharge point and locate delivery</w:t>
            </w:r>
            <w:r w:rsidRPr="00CB3CDE">
              <w:t xml:space="preserve"> chute over blast hole</w:t>
            </w:r>
          </w:p>
          <w:p w:rsidR="00000000" w:rsidRPr="00CB3CDE" w:rsidP="00CB3CDE">
            <w:pPr>
              <w:pStyle w:val="BodyText"/>
            </w:pPr>
            <w:r w:rsidRPr="00CB3CDE">
              <w:t>4.2</w:t>
            </w:r>
            <w:r w:rsidRPr="00CB3CDE">
              <w:tab/>
              <w:t>Confirm the identity of blast hole and explosive loading requirements with relevant personnel</w:t>
            </w:r>
          </w:p>
          <w:p w:rsidR="00000000" w:rsidRPr="00CB3CDE" w:rsidP="00CB3CDE">
            <w:pPr>
              <w:pStyle w:val="BodyText"/>
            </w:pPr>
            <w:r w:rsidRPr="00CB3CDE">
              <w:t>4.3</w:t>
            </w:r>
            <w:r w:rsidRPr="00CB3CDE">
              <w:tab/>
              <w:t>Regulate the discharge of explosive to the blast hole to achieve specified weight or stemming height</w:t>
            </w:r>
          </w:p>
          <w:p w:rsidR="00000000" w:rsidRPr="00CB3CDE" w:rsidP="00CB3CDE">
            <w:pPr>
              <w:pStyle w:val="BodyText"/>
            </w:pPr>
            <w:r w:rsidRPr="00CB3CDE">
              <w:t>4.4</w:t>
            </w:r>
            <w:r w:rsidRPr="00CB3CDE">
              <w:tab/>
              <w:t xml:space="preserve">Complete loading hole and </w:t>
            </w:r>
            <w:r w:rsidRPr="00CB3CDE">
              <w:t>prepare vehicle for next blast hole</w:t>
            </w:r>
          </w:p>
          <w:p w:rsidR="00000000" w:rsidRPr="00CB3CDE" w:rsidP="00CB3CDE">
            <w:pPr>
              <w:pStyle w:val="BodyText"/>
            </w:pPr>
            <w:r w:rsidRPr="00CB3CDE">
              <w:t>4.5</w:t>
            </w:r>
            <w:r w:rsidRPr="00CB3CDE">
              <w:tab/>
              <w:t>Complete records</w:t>
            </w:r>
          </w:p>
          <w:p w:rsidR="00000000" w:rsidRPr="00CB3CDE" w:rsidP="00CB3CDE">
            <w:pPr>
              <w:pStyle w:val="BodyText"/>
            </w:pPr>
            <w:r w:rsidRPr="00CB3CDE">
              <w:t>4.6</w:t>
            </w:r>
            <w:r w:rsidRPr="00CB3CDE">
              <w:tab/>
              <w:t>Ensure area is clear and safe to move vehicle</w:t>
            </w:r>
          </w:p>
        </w:tc>
      </w:tr>
    </w:tbl>
    <w:p w:rsidR="00000000" w:rsidRPr="00CB3CDE" w:rsidP="00CB3CDE">
      <w:pPr>
        <w:pStyle w:val="BodyText"/>
      </w:pPr>
    </w:p>
    <w:p w:rsidR="00000000" w:rsidRPr="00CB3CDE" w:rsidP="00CB3CDE">
      <w:pPr>
        <w:pStyle w:val="AllowPageBreak"/>
      </w:pPr>
    </w:p>
    <w:p w:rsidR="00000000" w:rsidRPr="00CB3CDE" w:rsidP="00CB3CDE">
      <w:pPr>
        <w:pStyle w:val="Heading1"/>
      </w:pPr>
      <w:bookmarkStart w:id="4" w:name="O_673858"/>
      <w:bookmarkEnd w:id="4"/>
      <w:r w:rsidRPr="00CB3CDE">
        <w:t>Foundation Skills</w:t>
      </w:r>
    </w:p>
    <w:p w:rsidR="00000000" w:rsidRPr="00CB3CDE" w:rsidP="00AE0CD2">
      <w:pPr>
        <w:pStyle w:val="BodyText"/>
      </w:pPr>
      <w:r w:rsidRPr="00CB3CDE">
        <w:t>Foundation skills essential to performance are explicit in the performance criteria of this unit. Further information is available in the Resources and Infrastructure Industry Training Package Companion Volume.</w:t>
      </w:r>
    </w:p>
    <w:p w:rsidR="00000000" w:rsidRPr="00CB3CDE" w:rsidP="00CB3CDE">
      <w:pPr>
        <w:pStyle w:val="Heading1"/>
      </w:pPr>
      <w:bookmarkStart w:id="5" w:name="O_673857"/>
      <w:bookmarkEnd w:id="5"/>
      <w:r w:rsidRPr="00CB3CDE">
        <w:t>Unit Mapping Information</w:t>
      </w:r>
    </w:p>
    <w:p w:rsidR="00AE0CD2" w:rsidP="00AE0CD2">
      <w:pPr>
        <w:pStyle w:val="BodyText"/>
      </w:pPr>
      <w:r w:rsidRPr="00CB3CDE">
        <w:t>RII</w:t>
      </w:r>
      <w:r w:rsidRPr="00CB3CDE">
        <w:t>BLA203B Conducting mobile mixing of explosives</w:t>
      </w:r>
    </w:p>
    <w:p w:rsidR="00000000" w:rsidRPr="00CB3CDE" w:rsidP="00CB3CDE">
      <w:pPr>
        <w:pStyle w:val="Heading1"/>
      </w:pPr>
      <w:bookmarkStart w:id="6" w:name="O_673862"/>
      <w:bookmarkEnd w:id="6"/>
      <w:r w:rsidRPr="00CB3CDE">
        <w:t>Links</w:t>
      </w:r>
    </w:p>
    <w:p w:rsidR="00000000" w:rsidRPr="00CB3CDE" w:rsidP="00AE0CD2">
      <w:pPr>
        <w:pStyle w:val="BodyText"/>
      </w:pPr>
      <w:r w:rsidRPr="00CB3CD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4511E">
        <w:rPr>
          <w:rStyle w:val="Hyperlink"/>
        </w:rPr>
        <w:t>https://vetnet.gov.au/Pages/TrainingDocs.aspx?q=88a61002-9a21-4386-aaf8-69c76e675272</w:t>
      </w:r>
      <w:r>
        <w:fldChar w:fldCharType="end"/>
      </w:r>
    </w:p>
    <w:p w:rsidR="00000000" w:rsidRPr="00CB3CDE" w:rsidP="00AE0CD2">
      <w:pPr>
        <w:pStyle w:val="BodyText"/>
        <w:sectPr w:rsidSect="00CB3CDE">
          <w:headerReference w:type="default" r:id="rId10"/>
          <w:footerReference w:type="default" r:id="rId11"/>
          <w:pgSz w:w="11908" w:h="16833"/>
          <w:pgMar w:top="1702" w:right="1418" w:bottom="1702" w:left="1418" w:header="992" w:footer="992" w:gutter="0"/>
          <w:cols w:space="720"/>
          <w:noEndnote/>
          <w:docGrid w:linePitch="299"/>
        </w:sectPr>
      </w:pPr>
    </w:p>
    <w:p w:rsidR="00000000" w:rsidRPr="00CB3CDE" w:rsidP="00CB3CDE">
      <w:pPr>
        <w:pStyle w:val="SuperHeading"/>
      </w:pPr>
      <w:r w:rsidRPr="00CB3CDE">
        <w:t>Assessment Requirements for RIIBLA203D Conduct mobile mixing of explosives</w:t>
      </w:r>
    </w:p>
    <w:p w:rsidR="00000000" w:rsidRPr="00CB3CDE" w:rsidP="00CB3CDE">
      <w:pPr>
        <w:pStyle w:val="Heading1"/>
      </w:pPr>
      <w:bookmarkStart w:id="7" w:name="O_673855"/>
      <w:bookmarkEnd w:id="7"/>
      <w:r w:rsidRPr="00CB3CDE">
        <w:t>Modification History</w:t>
      </w:r>
    </w:p>
    <w:tbl>
      <w:tblPr>
        <w:tblW w:w="0" w:type="auto"/>
        <w:tblCellMar>
          <w:left w:w="62" w:type="dxa"/>
          <w:right w:w="62" w:type="dxa"/>
        </w:tblCellMar>
        <w:tblLook w:val="0000"/>
      </w:tblPr>
      <w:tblGrid>
        <w:gridCol w:w="1107"/>
        <w:gridCol w:w="8089"/>
      </w:tblGrid>
      <w:tr w:rsidTr="00AE0CD2">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CDE">
            <w:pPr>
              <w:pStyle w:val="Heading4"/>
              <w:rPr>
                <w:lang w:val="en-NZ"/>
              </w:rPr>
            </w:pPr>
            <w:r w:rsidRPr="00CB3CD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CDE">
            <w:pPr>
              <w:pStyle w:val="Heading4"/>
              <w:rPr>
                <w:lang w:val="en-NZ"/>
              </w:rPr>
            </w:pPr>
            <w:r w:rsidRPr="00CB3CDE">
              <w:t>Comment</w:t>
            </w:r>
          </w:p>
        </w:tc>
      </w:tr>
      <w:tr w:rsidTr="00AE0CD2">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CDE">
            <w:pPr>
              <w:pStyle w:val="BodyText"/>
              <w:rPr>
                <w:lang w:val="en-NZ"/>
              </w:rPr>
            </w:pPr>
            <w:r w:rsidRPr="00CB3CD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CDE">
            <w:pPr>
              <w:pStyle w:val="BodyText"/>
              <w:rPr>
                <w:lang w:val="en-NZ"/>
              </w:rPr>
            </w:pPr>
            <w:r w:rsidRPr="00CB3CDE">
              <w:t>This unit replaces RIIBLA203B Conduct mobile mixing of explosives</w:t>
            </w:r>
          </w:p>
        </w:tc>
      </w:tr>
      <w:tr w:rsidTr="00AE0CD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3CDE">
            <w:pPr>
              <w:pStyle w:val="BodyText"/>
              <w:rPr>
                <w:lang w:val="en-NZ"/>
              </w:rPr>
            </w:pPr>
            <w:r w:rsidRPr="00CB3CD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3CDE" w:rsidP="00CB3CDE">
            <w:pPr>
              <w:pStyle w:val="BodyText"/>
            </w:pPr>
            <w:r w:rsidRPr="00CB3CDE">
              <w:t>Required f</w:t>
            </w:r>
            <w:r w:rsidRPr="00CB3CDE">
              <w:t>requency and volume of evidence amended in Performance evidence.</w:t>
            </w:r>
          </w:p>
          <w:p w:rsidR="00000000" w:rsidRPr="00CB3CDE" w:rsidP="00CB3CDE">
            <w:pPr>
              <w:pStyle w:val="BodyText"/>
            </w:pPr>
            <w:r w:rsidRPr="00CB3CDE">
              <w:t>Substantial amendments made in Assessment Conditions field, including: references to Industry Sectors, assessor and subject matter expert experience requirements, how assessment should be con</w:t>
            </w:r>
            <w:r w:rsidRPr="00CB3CDE">
              <w:t>ducted and what it should confirm.</w:t>
            </w:r>
          </w:p>
        </w:tc>
      </w:tr>
    </w:tbl>
    <w:p w:rsidR="00000000" w:rsidRPr="00CB3CDE" w:rsidP="00CB3CDE">
      <w:pPr>
        <w:pStyle w:val="BodyText"/>
      </w:pPr>
    </w:p>
    <w:p w:rsidR="00000000" w:rsidRPr="00CB3CDE" w:rsidP="00CB3CDE">
      <w:pPr>
        <w:pStyle w:val="AllowPageBreak"/>
      </w:pPr>
    </w:p>
    <w:p w:rsidR="00000000" w:rsidRPr="00CB3CDE" w:rsidP="00CB3CDE">
      <w:pPr>
        <w:pStyle w:val="Heading1"/>
      </w:pPr>
      <w:bookmarkStart w:id="8" w:name="O_673854"/>
      <w:bookmarkEnd w:id="8"/>
      <w:r w:rsidRPr="00CB3CDE">
        <w:t>Performance Evidence</w:t>
      </w:r>
    </w:p>
    <w:p w:rsidR="00000000" w:rsidRPr="00CB3CDE" w:rsidP="00AE0CD2">
      <w:pPr>
        <w:pStyle w:val="BodyText"/>
      </w:pPr>
      <w:r w:rsidRPr="00CB3CDE">
        <w:t xml:space="preserve">Evidence is required to be collected that demonstrates a candidate’s competency in this unit. Evidence must be relevant to the roles within this sector’s work operations and </w:t>
      </w:r>
      <w:r w:rsidRPr="00CB3CDE">
        <w:t>satisfy all of the requirements of the performance criteria of this unit and include evidence that the candidate:</w:t>
      </w:r>
    </w:p>
    <w:p w:rsidR="00000000" w:rsidRPr="00CB3CDE" w:rsidP="00CB3CDE">
      <w:pPr>
        <w:pStyle w:val="ListBullet"/>
      </w:pPr>
      <w:r w:rsidRPr="00CB3CDE">
        <w:t>locates and applies relevant documentation, policies and procedures</w:t>
      </w:r>
    </w:p>
    <w:p w:rsidR="00000000" w:rsidRPr="00CB3CDE" w:rsidP="00CB3CDE">
      <w:pPr>
        <w:pStyle w:val="ListBullet"/>
      </w:pPr>
      <w:r w:rsidRPr="00CB3CDE">
        <w:t>demonstrates completion of conducting mobile mixing of explosives that sa</w:t>
      </w:r>
      <w:r w:rsidRPr="00CB3CDE">
        <w:t>fely, effectively and efficiently meets all of the required outcomes on more than one (1) occasion including:</w:t>
      </w:r>
    </w:p>
    <w:p w:rsidR="00000000" w:rsidRPr="00CB3CDE" w:rsidP="00CB3CDE">
      <w:pPr>
        <w:pStyle w:val="ListBullet2"/>
      </w:pPr>
      <w:r w:rsidRPr="00CB3CDE">
        <w:t>preparing for blasting operations</w:t>
      </w:r>
    </w:p>
    <w:p w:rsidR="00000000" w:rsidRPr="00CB3CDE" w:rsidP="00CB3CDE">
      <w:pPr>
        <w:pStyle w:val="ListBullet2"/>
      </w:pPr>
      <w:r w:rsidRPr="00CB3CDE">
        <w:t>mixing explosives</w:t>
      </w:r>
    </w:p>
    <w:p w:rsidR="00000000" w:rsidRPr="00CB3CDE" w:rsidP="00CB3CDE">
      <w:pPr>
        <w:pStyle w:val="ListBullet2"/>
      </w:pPr>
      <w:r w:rsidRPr="00CB3CDE">
        <w:t xml:space="preserve">handling, loading and transporting explosives </w:t>
      </w:r>
    </w:p>
    <w:p w:rsidR="00000000" w:rsidRPr="00CB3CDE" w:rsidP="00CB3CDE">
      <w:pPr>
        <w:pStyle w:val="ListBullet2"/>
      </w:pPr>
      <w:r w:rsidRPr="00CB3CDE">
        <w:t>delivering explosives into blast hole</w:t>
      </w:r>
    </w:p>
    <w:p w:rsidR="00000000" w:rsidRPr="00CB3CDE" w:rsidP="00CB3CDE">
      <w:pPr>
        <w:pStyle w:val="AllowPageBreak"/>
      </w:pPr>
    </w:p>
    <w:p w:rsidR="00000000" w:rsidRPr="00CB3CDE" w:rsidP="00CB3CDE">
      <w:pPr>
        <w:pStyle w:val="Heading1"/>
      </w:pPr>
      <w:bookmarkStart w:id="9" w:name="O_673853"/>
      <w:bookmarkEnd w:id="9"/>
      <w:r w:rsidRPr="00CB3CDE">
        <w:t>Knowledge Evidence</w:t>
      </w:r>
    </w:p>
    <w:p w:rsidR="00000000" w:rsidRPr="00CB3CDE" w:rsidP="00AE0CD2">
      <w:pPr>
        <w:pStyle w:val="BodyText"/>
      </w:pPr>
      <w:r w:rsidRPr="00CB3CDE">
        <w:t>The candidate must demonstrate knowledge in conducting mobile mixing of explosives:</w:t>
      </w:r>
    </w:p>
    <w:p w:rsidR="00000000" w:rsidRPr="00CB3CDE" w:rsidP="00CB3CDE">
      <w:pPr>
        <w:pStyle w:val="ListBullet"/>
      </w:pPr>
      <w:r w:rsidRPr="00CB3CDE">
        <w:t>authorities to operate an MPU</w:t>
      </w:r>
    </w:p>
    <w:p w:rsidR="00000000" w:rsidRPr="00CB3CDE" w:rsidP="00CB3CDE">
      <w:pPr>
        <w:pStyle w:val="ListBullet"/>
      </w:pPr>
      <w:r w:rsidRPr="00CB3CDE">
        <w:t>types and properties of explosives materials</w:t>
      </w:r>
    </w:p>
    <w:p w:rsidR="00000000" w:rsidRPr="00CB3CDE" w:rsidP="00CB3CDE">
      <w:pPr>
        <w:pStyle w:val="ListBullet"/>
      </w:pPr>
      <w:r w:rsidRPr="00CB3CDE">
        <w:t>MPU explosive materials capacity</w:t>
      </w:r>
    </w:p>
    <w:p w:rsidR="00000000" w:rsidRPr="00CB3CDE" w:rsidP="00CB3CDE">
      <w:pPr>
        <w:pStyle w:val="ListBullet"/>
      </w:pPr>
      <w:r w:rsidRPr="00CB3CDE">
        <w:t>mixing parameters and ratios</w:t>
      </w:r>
    </w:p>
    <w:p w:rsidR="00000000" w:rsidRPr="00CB3CDE" w:rsidP="00CB3CDE">
      <w:pPr>
        <w:pStyle w:val="ListBullet"/>
      </w:pPr>
      <w:r w:rsidRPr="00CB3CDE">
        <w:t>incompatible materials and methods of segregation</w:t>
      </w:r>
    </w:p>
    <w:p w:rsidR="00000000" w:rsidRPr="00CB3CDE" w:rsidP="00CB3CDE">
      <w:pPr>
        <w:pStyle w:val="ListBullet"/>
      </w:pPr>
      <w:r w:rsidRPr="00CB3CDE">
        <w:t>configuration, accessories and working parts of MPUs</w:t>
      </w:r>
    </w:p>
    <w:p w:rsidR="00000000" w:rsidRPr="00CB3CDE" w:rsidP="00CB3CDE">
      <w:pPr>
        <w:pStyle w:val="ListBullet"/>
      </w:pPr>
      <w:r w:rsidRPr="00CB3CDE">
        <w:t>MPU loading equipment and methods</w:t>
      </w:r>
    </w:p>
    <w:p w:rsidR="00000000" w:rsidRPr="00CB3CDE" w:rsidP="00CB3CDE">
      <w:pPr>
        <w:pStyle w:val="AllowPageBreak"/>
      </w:pPr>
    </w:p>
    <w:p w:rsidR="00000000" w:rsidRPr="00CB3CDE" w:rsidP="00CB3CDE">
      <w:pPr>
        <w:pStyle w:val="Heading1"/>
      </w:pPr>
      <w:bookmarkStart w:id="10" w:name="O_673852"/>
      <w:bookmarkEnd w:id="10"/>
      <w:r w:rsidRPr="00CB3CDE">
        <w:t>Assessment Conditions</w:t>
      </w:r>
    </w:p>
    <w:p w:rsidR="00000000" w:rsidRPr="00CB3CDE" w:rsidP="00CB3CDE">
      <w:pPr>
        <w:pStyle w:val="ListBullet"/>
      </w:pPr>
      <w:r w:rsidRPr="00CB3CDE">
        <w:t>An assessor of this unit must satisfy the requirements of the NVR/AQTF or their</w:t>
      </w:r>
      <w:r w:rsidRPr="00CB3CDE">
        <w:t xml:space="preserve"> successors; and Industry regulations for certification and licensing; and, </w:t>
      </w:r>
    </w:p>
    <w:p w:rsidR="00000000" w:rsidRPr="00CB3CDE" w:rsidP="00CB3CDE">
      <w:pPr>
        <w:pStyle w:val="ListBullet"/>
      </w:pPr>
      <w:r w:rsidRPr="00CB3CDE">
        <w:t>this unit is best assessed in the context of this sector’s work environment;</w:t>
      </w:r>
    </w:p>
    <w:p w:rsidR="00000000" w:rsidRPr="00CB3CDE" w:rsidP="00CB3CDE">
      <w:pPr>
        <w:pStyle w:val="ListBullet"/>
      </w:pPr>
      <w:r w:rsidRPr="00CB3CDE">
        <w:t>where personal safety or environmental damage are limiting factors, assessment may occur in a simulate</w:t>
      </w:r>
      <w:r w:rsidRPr="00CB3CDE">
        <w:t>d environment provided it is realistic and sufficiently rigorous to cover all aspects of this sector’s workplace performance, including environment, task skills, task management skills, contingency management skills and job role environment skills; and,</w:t>
      </w:r>
    </w:p>
    <w:p w:rsidR="00000000" w:rsidRPr="00CB3CDE" w:rsidP="00CB3CDE">
      <w:pPr>
        <w:pStyle w:val="ListBullet"/>
      </w:pPr>
      <w:r w:rsidRPr="00CB3CDE">
        <w:t>th</w:t>
      </w:r>
      <w:r w:rsidRPr="00CB3CDE">
        <w:t>is unit must be assessed in compliance with relevant legislation/regulation and using policies, procedures, processes and operational manuals directly related to the industry sector for which it is being assessed; and,</w:t>
      </w:r>
    </w:p>
    <w:p w:rsidR="00000000" w:rsidRPr="00CB3CDE" w:rsidP="00CB3CDE">
      <w:pPr>
        <w:pStyle w:val="ListBullet"/>
      </w:pPr>
      <w:r w:rsidRPr="00CB3CDE">
        <w:t>assessment may be conducted in conjun</w:t>
      </w:r>
      <w:r w:rsidRPr="00CB3CDE">
        <w:t>ction with the assessment of other Units of Competency; and,</w:t>
      </w:r>
    </w:p>
    <w:p w:rsidR="00000000" w:rsidRPr="00CB3CDE" w:rsidP="00CB3CDE">
      <w:pPr>
        <w:pStyle w:val="ListBullet"/>
      </w:pPr>
      <w:r w:rsidRPr="00CB3CDE">
        <w:t>assessment must confirm consistent performance can be applied in a range of relevant workplace circumstances; and,</w:t>
      </w:r>
    </w:p>
    <w:p w:rsidR="00000000" w:rsidRPr="00CB3CDE" w:rsidP="00CB3CDE">
      <w:pPr>
        <w:pStyle w:val="ListBullet"/>
      </w:pPr>
      <w:r w:rsidRPr="00CB3CDE">
        <w:t>assessors must demonstrate the performance evidence, and knowledge evidence as o</w:t>
      </w:r>
      <w:r w:rsidRPr="00CB3CDE">
        <w:t>utlined in this Unit of Competency, and through the minimum years of current* work experience specified below in an Industry sector relevant to the outcomes of the unit; or,</w:t>
      </w:r>
    </w:p>
    <w:p w:rsidR="00000000" w:rsidRPr="00CB3CDE" w:rsidP="00CB3CDE">
      <w:pPr>
        <w:pStyle w:val="ListBullet"/>
      </w:pPr>
      <w:r w:rsidRPr="00CB3CDE">
        <w:t>where the assessor does not meet experience requirements a co-assessment or partne</w:t>
      </w:r>
      <w:r w:rsidRPr="00CB3CDE">
        <w:t xml:space="preserve">rship arrangement must exist between the qualified assessor and an Industry subject matter expert. The Industry subject matter expert should hold the unit being assessed (or an equivalent unit) and/or demonstrate equivalence of skills and knowledge at the </w:t>
      </w:r>
      <w:r w:rsidRPr="00CB3CDE">
        <w:t>unit level. An Industry technical expert must also demonstrate skills and knowledge from the minimum years of current work experience specified below in the Industry sector, including time spent in roles related to the unit being assessed; and,</w:t>
      </w:r>
    </w:p>
    <w:p w:rsidR="00000000" w:rsidRPr="00CB3CDE" w:rsidP="00CB3CDE">
      <w:pPr>
        <w:pStyle w:val="ListBullet"/>
      </w:pPr>
      <w:r w:rsidRPr="00CB3CDE">
        <w:t>assessor an</w:t>
      </w:r>
      <w:r w:rsidRPr="00CB3CDE">
        <w:t>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B3CD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3CDE">
            <w:pPr>
              <w:pStyle w:val="Heading4"/>
              <w:rPr>
                <w:lang w:val="en-NZ"/>
              </w:rPr>
            </w:pPr>
            <w:r w:rsidRPr="00CB3CD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3CDE">
            <w:pPr>
              <w:pStyle w:val="Heading4"/>
              <w:rPr>
                <w:lang w:val="en-NZ"/>
              </w:rPr>
            </w:pPr>
            <w:r w:rsidRPr="00CB3CD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3CDE">
            <w:pPr>
              <w:pStyle w:val="Heading4"/>
              <w:rPr>
                <w:lang w:val="en-NZ"/>
              </w:rPr>
            </w:pPr>
            <w:r w:rsidRPr="00CB3CDE">
              <w:t>Required assessor or Industry subject m</w:t>
            </w:r>
            <w:r w:rsidRPr="00CB3CDE">
              <w:t>atter expert experience</w:t>
            </w:r>
          </w:p>
        </w:tc>
      </w:tr>
      <w:tr w:rsidTr="00CB3CD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3CDE">
            <w:pPr>
              <w:pStyle w:val="BodyText"/>
              <w:rPr>
                <w:lang w:val="en-NZ"/>
              </w:rPr>
            </w:pPr>
            <w:r w:rsidRPr="00CB3CD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3CDE">
            <w:pPr>
              <w:pStyle w:val="BodyText"/>
              <w:rPr>
                <w:lang w:val="en-NZ"/>
              </w:rPr>
            </w:pPr>
            <w:r w:rsidRPr="00CB3CD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3CDE">
            <w:pPr>
              <w:pStyle w:val="BodyText"/>
              <w:rPr>
                <w:lang w:val="en-NZ"/>
              </w:rPr>
            </w:pPr>
            <w:r w:rsidRPr="00CB3CDE">
              <w:t>1 Year</w:t>
            </w:r>
          </w:p>
        </w:tc>
      </w:tr>
      <w:tr w:rsidTr="00CB3CD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3CDE">
            <w:pPr>
              <w:pStyle w:val="BodyText"/>
              <w:rPr>
                <w:lang w:val="en-NZ"/>
              </w:rPr>
            </w:pPr>
            <w:r w:rsidRPr="00CB3CD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3CDE">
            <w:pPr>
              <w:pStyle w:val="BodyText"/>
              <w:rPr>
                <w:lang w:val="en-NZ"/>
              </w:rPr>
            </w:pPr>
            <w:r w:rsidRPr="00CB3CDE">
              <w:t>2 Years</w:t>
            </w:r>
          </w:p>
        </w:tc>
      </w:tr>
      <w:tr w:rsidTr="00CB3CD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3CDE">
            <w:pPr>
              <w:pStyle w:val="BodyText"/>
              <w:rPr>
                <w:lang w:val="en-NZ"/>
              </w:rPr>
            </w:pPr>
            <w:r w:rsidRPr="00CB3CD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3CDE">
            <w:pPr>
              <w:pStyle w:val="BodyText"/>
              <w:rPr>
                <w:lang w:val="en-NZ"/>
              </w:rPr>
            </w:pPr>
            <w:r w:rsidRPr="00CB3CD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3CDE">
            <w:pPr>
              <w:pStyle w:val="BodyText"/>
              <w:rPr>
                <w:lang w:val="en-NZ"/>
              </w:rPr>
            </w:pPr>
            <w:r w:rsidRPr="00CB3CDE">
              <w:t>3 Years</w:t>
            </w:r>
          </w:p>
        </w:tc>
      </w:tr>
      <w:tr w:rsidTr="00CB3CD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3CDE">
            <w:pPr>
              <w:pStyle w:val="BodyText"/>
              <w:rPr>
                <w:lang w:val="en-NZ"/>
              </w:rPr>
            </w:pPr>
            <w:r w:rsidRPr="00CB3CD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3CDE">
            <w:pPr>
              <w:pStyle w:val="BodyText"/>
              <w:rPr>
                <w:lang w:val="en-NZ"/>
              </w:rPr>
            </w:pPr>
            <w:r w:rsidRPr="00CB3CD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3CDE">
            <w:pPr>
              <w:pStyle w:val="BodyText"/>
              <w:rPr>
                <w:lang w:val="en-NZ"/>
              </w:rPr>
            </w:pPr>
            <w:r w:rsidRPr="00CB3CDE">
              <w:t>5 Years</w:t>
            </w:r>
          </w:p>
        </w:tc>
      </w:tr>
      <w:tr w:rsidTr="00CB3CD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B3CDE">
            <w:pPr>
              <w:pStyle w:val="BodyText"/>
              <w:rPr>
                <w:lang w:val="en-NZ"/>
              </w:rPr>
            </w:pPr>
            <w:r w:rsidRPr="00CB3CD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B3CDE" w:rsidP="00CB3CDE">
            <w:pPr>
              <w:pStyle w:val="BodyText"/>
            </w:pPr>
            <w:r w:rsidRPr="00CB3CDE">
              <w:t>Where this Unit is being assessed outside of the Resources and Infrastructure Sectors assessor and/or Industry subject matter expert experience should be in-line with industry standards for the sector in which it is being assessed and where</w:t>
            </w:r>
            <w:r w:rsidRPr="00CB3CDE">
              <w:t xml:space="preserve"> no Industry standard is specified should comply with any relevant regulation.</w:t>
            </w:r>
          </w:p>
        </w:tc>
      </w:tr>
    </w:tbl>
    <w:p w:rsidR="00000000" w:rsidRPr="00CB3CDE" w:rsidP="00AE0CD2">
      <w:pPr>
        <w:pStyle w:val="BodyText"/>
      </w:pPr>
      <w:r w:rsidRPr="00CB3CDE">
        <w:t xml:space="preserve">*Assessors can demonstrate current work experience through employment within Industry in a role relevant to the outcomes of the Unit; or, for external assessors </w:t>
      </w:r>
      <w:r w:rsidRPr="00CB3CDE">
        <w:t>this can be demonstrated through exposure to Industry by conducting frequent site assessments across various locations.</w:t>
      </w:r>
    </w:p>
    <w:p w:rsidR="00000000" w:rsidRPr="00CB3CDE" w:rsidP="00AE0CD2">
      <w:pPr>
        <w:pStyle w:val="BodyText"/>
      </w:pPr>
      <w:r w:rsidRPr="00CB3CDE">
        <w:t>**Where a unit is being delivered outside of a Qualification the first numeric character in the Unit code should be considered to indica</w:t>
      </w:r>
      <w:r w:rsidRPr="00CB3CDE">
        <w:t>te the AQF level</w:t>
      </w:r>
    </w:p>
    <w:p w:rsidR="00000000" w:rsidRPr="00CB3CDE" w:rsidP="00CB3CDE">
      <w:pPr>
        <w:pStyle w:val="Heading1"/>
      </w:pPr>
      <w:bookmarkStart w:id="11" w:name="O_673863"/>
      <w:bookmarkEnd w:id="11"/>
      <w:r w:rsidRPr="00CB3CDE">
        <w:t>Links</w:t>
      </w:r>
    </w:p>
    <w:p w:rsidR="00000000" w:rsidRPr="00CB3CDE" w:rsidP="00AE0CD2">
      <w:pPr>
        <w:pStyle w:val="BodyText"/>
      </w:pPr>
      <w:r w:rsidRPr="00CB3CD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4511E">
        <w:rPr>
          <w:rStyle w:val="Hyperlink"/>
        </w:rPr>
        <w:t>https://vetnet.gov.au/Pages/TrainingDocs.aspx?q=88a61002-9a21-4386-aaf8-69c76e675272</w:t>
      </w:r>
      <w:r>
        <w:fldChar w:fldCharType="end"/>
      </w:r>
    </w:p>
    <w:p w:rsidR="00000000" w:rsidRPr="00CB3CDE" w:rsidP="00CB3CDE"/>
    <w:sectPr w:rsidSect="00CB3C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C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CDE" w:rsidRPr="00AE0CD2" w:rsidP="00AE0C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C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CD2" w:rsidP="00CB3C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0CD2" w:rsidP="00CB3C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E0CD2" w:rsidP="00CB3C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CDE" w:rsidP="00CB3CDE">
    <w:pPr>
      <w:pStyle w:val="Footer"/>
      <w:framePr w:wrap="around"/>
    </w:pPr>
    <w:r>
      <w:fldChar w:fldCharType="begin"/>
    </w:r>
    <w:r>
      <w:instrText xml:space="preserve"> DOCPROPERTY  Subject  \* MERGEFORMAT </w:instrText>
    </w:r>
    <w:r>
      <w:fldChar w:fldCharType="separate"/>
    </w:r>
    <w:r w:rsidR="00AE0CD2">
      <w:t>Approved</w:t>
    </w:r>
    <w:r w:rsidR="00AE0CD2">
      <w:fldChar w:fldCharType="end"/>
    </w:r>
    <w:r>
      <w:tab/>
      <w:t xml:space="preserve">Page </w:t>
    </w:r>
    <w:r>
      <w:fldChar w:fldCharType="begin"/>
    </w:r>
    <w:r>
      <w:instrText xml:space="preserve"> PAGE  \* Arabic  \* MERGEFORMAT </w:instrText>
    </w:r>
    <w:r>
      <w:fldChar w:fldCharType="separate"/>
    </w:r>
    <w:r w:rsidR="00AE0CD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0CD2">
      <w:rPr>
        <w:noProof/>
      </w:rPr>
      <w:t>4</w:t>
    </w:r>
    <w:r>
      <w:rPr>
        <w:noProof/>
      </w:rPr>
      <w:fldChar w:fldCharType="end"/>
    </w:r>
  </w:p>
  <w:p w:rsidR="00CB3CDE" w:rsidP="00CB3CDE">
    <w:pPr>
      <w:pStyle w:val="Footer"/>
      <w:framePr w:wrap="around"/>
    </w:pPr>
    <w:r>
      <w:t xml:space="preserve">© Commonwealth of Australia, </w:t>
    </w:r>
    <w:r>
      <w:fldChar w:fldCharType="begin"/>
    </w:r>
    <w:r>
      <w:instrText xml:space="preserve"> DATE  \@ "yyyy"  \* MERGEFORMAT </w:instrText>
    </w:r>
    <w:r>
      <w:fldChar w:fldCharType="separate"/>
    </w:r>
    <w:r w:rsidR="00AE0CD2">
      <w:rPr>
        <w:noProof/>
      </w:rPr>
      <w:t>2025</w:t>
    </w:r>
    <w:r>
      <w:fldChar w:fldCharType="end"/>
    </w:r>
    <w:r>
      <w:tab/>
    </w:r>
    <w:r>
      <w:fldChar w:fldCharType="begin"/>
    </w:r>
    <w:r>
      <w:instrText xml:space="preserve"> DOCPROPERTY  Author  \* MERGEFORMAT </w:instrText>
    </w:r>
    <w:r>
      <w:fldChar w:fldCharType="separate"/>
    </w:r>
    <w:r w:rsidR="00AE0CD2">
      <w:t>Mining and Automotive Skills Alliance</w:t>
    </w:r>
    <w:r w:rsidR="00AE0CD2">
      <w:fldChar w:fldCharType="end"/>
    </w:r>
  </w:p>
  <w:p w:rsidR="00CB3CDE" w:rsidP="00CB3C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C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C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3CDE" w:rsidRPr="00AE0CD2" w:rsidP="00AE0C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C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CD2" w:rsidRPr="002D2AF8" w:rsidP="00CB3CDE">
    <w:pPr>
      <w:pStyle w:val="Header"/>
      <w:framePr w:wrap="around"/>
    </w:pPr>
    <w:r>
      <w:fldChar w:fldCharType="begin"/>
    </w:r>
    <w:r>
      <w:instrText xml:space="preserve"> TITLE   \* MERGEFORMAT </w:instrText>
    </w:r>
    <w:r>
      <w:fldChar w:fldCharType="separate"/>
    </w:r>
    <w:r>
      <w:t>RIIBLA203D Conduct mobile mixing of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0CD2" w:rsidP="00CB3C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CDE" w:rsidRPr="002D2AF8" w:rsidP="00CB3CDE">
    <w:pPr>
      <w:pStyle w:val="Header"/>
      <w:framePr w:wrap="around"/>
    </w:pPr>
    <w:r>
      <w:fldChar w:fldCharType="begin"/>
    </w:r>
    <w:r>
      <w:instrText xml:space="preserve"> TITLE   \* MERGEFORMAT </w:instrText>
    </w:r>
    <w:r>
      <w:fldChar w:fldCharType="separate"/>
    </w:r>
    <w:r w:rsidR="00AE0CD2">
      <w:t>RIIBLA203D Conduct mobile mixing of explosives</w:t>
    </w:r>
    <w:r w:rsidR="00AE0CD2">
      <w:fldChar w:fldCharType="end"/>
    </w:r>
    <w:r>
      <w:tab/>
      <w:t xml:space="preserve">Date this document was generated: </w:t>
    </w:r>
    <w:r>
      <w:fldChar w:fldCharType="begin"/>
    </w:r>
    <w:r>
      <w:instrText xml:space="preserve"> CREATEDATE  \@ "d MMMM yyyy"  \* MERGEFORMAT </w:instrText>
    </w:r>
    <w:r>
      <w:fldChar w:fldCharType="separate"/>
    </w:r>
    <w:r w:rsidR="00AE0CD2">
      <w:rPr>
        <w:noProof/>
      </w:rPr>
      <w:t>2 March 2025</w:t>
    </w:r>
    <w:r>
      <w:fldChar w:fldCharType="end"/>
    </w:r>
  </w:p>
  <w:p w:rsidR="00CB3CDE" w:rsidP="00CB3C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9E3C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E266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0C2C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C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3CDE"/>
    <w:pPr>
      <w:spacing w:before="360" w:after="60"/>
      <w:outlineLvl w:val="0"/>
    </w:pPr>
    <w:rPr>
      <w:sz w:val="32"/>
    </w:rPr>
  </w:style>
  <w:style w:type="paragraph" w:styleId="Heading2">
    <w:name w:val="heading 2"/>
    <w:basedOn w:val="HeadingBase"/>
    <w:next w:val="BodyText"/>
    <w:link w:val="Heading2Char"/>
    <w:qFormat/>
    <w:rsid w:val="00CB3CDE"/>
    <w:pPr>
      <w:keepLines/>
      <w:spacing w:before="240" w:after="120"/>
      <w:outlineLvl w:val="1"/>
    </w:pPr>
    <w:rPr>
      <w:sz w:val="28"/>
      <w:szCs w:val="40"/>
    </w:rPr>
  </w:style>
  <w:style w:type="paragraph" w:styleId="Heading3">
    <w:name w:val="heading 3"/>
    <w:basedOn w:val="HeadingBase"/>
    <w:next w:val="BodyText"/>
    <w:link w:val="Heading3Char"/>
    <w:qFormat/>
    <w:rsid w:val="00CB3CDE"/>
    <w:pPr>
      <w:spacing w:before="180" w:after="120"/>
      <w:outlineLvl w:val="2"/>
    </w:pPr>
    <w:rPr>
      <w:spacing w:val="-10"/>
      <w:kern w:val="32"/>
    </w:rPr>
  </w:style>
  <w:style w:type="paragraph" w:styleId="Heading4">
    <w:name w:val="heading 4"/>
    <w:basedOn w:val="HeadingBase"/>
    <w:next w:val="BodyText"/>
    <w:link w:val="Heading4Char"/>
    <w:qFormat/>
    <w:rsid w:val="00CB3CDE"/>
    <w:pPr>
      <w:spacing w:before="160" w:after="120"/>
      <w:outlineLvl w:val="3"/>
    </w:pPr>
    <w:rPr>
      <w:sz w:val="22"/>
    </w:rPr>
  </w:style>
  <w:style w:type="paragraph" w:styleId="Heading5">
    <w:name w:val="heading 5"/>
    <w:basedOn w:val="HeadingBase"/>
    <w:next w:val="Normal"/>
    <w:link w:val="Heading5Char"/>
    <w:qFormat/>
    <w:rsid w:val="00CB3CDE"/>
    <w:pPr>
      <w:spacing w:before="80"/>
      <w:outlineLvl w:val="4"/>
    </w:pPr>
    <w:rPr>
      <w:color w:val="918585"/>
      <w:sz w:val="20"/>
    </w:rPr>
  </w:style>
  <w:style w:type="paragraph" w:styleId="Heading6">
    <w:name w:val="heading 6"/>
    <w:basedOn w:val="HeadingBase"/>
    <w:next w:val="Normal"/>
    <w:link w:val="Heading6Char"/>
    <w:qFormat/>
    <w:rsid w:val="00CB3CDE"/>
    <w:pPr>
      <w:spacing w:before="60"/>
      <w:outlineLvl w:val="5"/>
    </w:pPr>
    <w:rPr>
      <w:color w:val="918585"/>
      <w:sz w:val="20"/>
    </w:rPr>
  </w:style>
  <w:style w:type="paragraph" w:styleId="Heading7">
    <w:name w:val="heading 7"/>
    <w:basedOn w:val="Normal"/>
    <w:next w:val="Normal"/>
    <w:link w:val="Heading7Char"/>
    <w:qFormat/>
    <w:rsid w:val="00CB3CDE"/>
    <w:pPr>
      <w:ind w:left="720"/>
      <w:outlineLvl w:val="6"/>
    </w:pPr>
    <w:rPr>
      <w:i/>
    </w:rPr>
  </w:style>
  <w:style w:type="paragraph" w:styleId="Heading8">
    <w:name w:val="heading 8"/>
    <w:basedOn w:val="Normal"/>
    <w:next w:val="Normal"/>
    <w:link w:val="Heading8Char"/>
    <w:qFormat/>
    <w:rsid w:val="00CB3CDE"/>
    <w:pPr>
      <w:ind w:left="720"/>
      <w:outlineLvl w:val="7"/>
    </w:pPr>
    <w:rPr>
      <w:i/>
    </w:rPr>
  </w:style>
  <w:style w:type="paragraph" w:styleId="Heading9">
    <w:name w:val="heading 9"/>
    <w:basedOn w:val="Normal"/>
    <w:next w:val="Normal"/>
    <w:link w:val="Heading9Char"/>
    <w:qFormat/>
    <w:rsid w:val="00CB3CDE"/>
    <w:pPr>
      <w:ind w:left="720"/>
      <w:outlineLvl w:val="8"/>
    </w:pPr>
    <w:rPr>
      <w:i/>
    </w:rPr>
  </w:style>
  <w:style w:type="character" w:default="1" w:styleId="DefaultParagraphFont">
    <w:name w:val="Default Paragraph Font"/>
    <w:uiPriority w:val="1"/>
    <w:unhideWhenUsed/>
    <w:rsid w:val="00CB3C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CDE"/>
  </w:style>
  <w:style w:type="character" w:customStyle="1" w:styleId="Heading1Char">
    <w:name w:val="Heading 1 Char"/>
    <w:basedOn w:val="DefaultParagraphFont"/>
    <w:link w:val="Heading1"/>
    <w:rsid w:val="00CB3CD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B3CDE"/>
    <w:rPr>
      <w:rFonts w:ascii="Times New Roman" w:eastAsia="Times New Roman" w:hAnsi="Times New Roman" w:cs="Times New Roman"/>
      <w:b/>
      <w:szCs w:val="20"/>
      <w:lang w:eastAsia="en-US"/>
    </w:rPr>
  </w:style>
  <w:style w:type="paragraph" w:styleId="BodyText">
    <w:name w:val="Body Text"/>
    <w:basedOn w:val="Normal"/>
    <w:link w:val="BodyTextChar"/>
    <w:rsid w:val="00CB3C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3CDE"/>
    <w:rPr>
      <w:rFonts w:ascii="Times New Roman" w:eastAsia="Times New Roman" w:hAnsi="Times New Roman" w:cs="Times New Roman"/>
      <w:sz w:val="24"/>
      <w:lang w:eastAsia="en-US"/>
    </w:rPr>
  </w:style>
  <w:style w:type="paragraph" w:styleId="ListBullet">
    <w:name w:val="List Bullet"/>
    <w:basedOn w:val="List"/>
    <w:rsid w:val="00CB3CDE"/>
    <w:pPr>
      <w:numPr>
        <w:numId w:val="12"/>
      </w:numPr>
      <w:tabs>
        <w:tab w:val="clear" w:pos="340"/>
      </w:tabs>
      <w:spacing w:before="40" w:after="40"/>
    </w:pPr>
  </w:style>
  <w:style w:type="paragraph" w:styleId="ListBullet2">
    <w:name w:val="List Bullet 2"/>
    <w:basedOn w:val="List2"/>
    <w:rsid w:val="00CB3CDE"/>
    <w:pPr>
      <w:numPr>
        <w:numId w:val="13"/>
      </w:numPr>
      <w:tabs>
        <w:tab w:val="clear" w:pos="680"/>
      </w:tabs>
    </w:pPr>
  </w:style>
  <w:style w:type="paragraph" w:customStyle="1" w:styleId="SuperHeading">
    <w:name w:val="SuperHeading"/>
    <w:basedOn w:val="Normal"/>
    <w:rsid w:val="00CB3CDE"/>
    <w:pPr>
      <w:spacing w:before="240" w:after="120"/>
      <w:outlineLvl w:val="0"/>
    </w:pPr>
    <w:rPr>
      <w:rFonts w:ascii="Times New Roman" w:hAnsi="Times New Roman"/>
      <w:b/>
      <w:sz w:val="32"/>
    </w:rPr>
  </w:style>
  <w:style w:type="paragraph" w:customStyle="1" w:styleId="AllowPageBreak">
    <w:name w:val="AllowPageBreak"/>
    <w:rsid w:val="00CB3C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3C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3CD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B3C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3C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C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3C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3CDE"/>
    <w:rPr>
      <w:rFonts w:ascii="Courier New" w:eastAsia="Times New Roman" w:hAnsi="Courier New" w:cs="Times New Roman"/>
      <w:i/>
      <w:szCs w:val="20"/>
      <w:lang w:eastAsia="en-US"/>
    </w:rPr>
  </w:style>
  <w:style w:type="paragraph" w:customStyle="1" w:styleId="HeadingBase">
    <w:name w:val="Heading Base"/>
    <w:rsid w:val="00CB3C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CDE"/>
    <w:pPr>
      <w:tabs>
        <w:tab w:val="right" w:leader="dot" w:pos="9072"/>
      </w:tabs>
      <w:ind w:left="567"/>
    </w:pPr>
    <w:rPr>
      <w:szCs w:val="22"/>
    </w:rPr>
  </w:style>
  <w:style w:type="paragraph" w:customStyle="1" w:styleId="TOCBase">
    <w:name w:val="TOC Base"/>
    <w:rsid w:val="00CB3C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CDE"/>
    <w:pPr>
      <w:tabs>
        <w:tab w:val="right" w:leader="dot" w:pos="9072"/>
      </w:tabs>
      <w:spacing w:before="40" w:after="40"/>
      <w:ind w:left="284"/>
    </w:pPr>
    <w:rPr>
      <w:rFonts w:ascii="Times New Roman" w:hAnsi="Times New Roman"/>
    </w:rPr>
  </w:style>
  <w:style w:type="paragraph" w:styleId="TOC1">
    <w:name w:val="toc 1"/>
    <w:basedOn w:val="TOCBase"/>
    <w:next w:val="Normal"/>
    <w:rsid w:val="00CB3C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3C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3CDE"/>
    <w:rPr>
      <w:rFonts w:ascii="Times New Roman" w:eastAsia="Times New Roman" w:hAnsi="Times New Roman" w:cs="Times New Roman"/>
      <w:sz w:val="16"/>
      <w:lang w:eastAsia="en-US"/>
    </w:rPr>
  </w:style>
  <w:style w:type="paragraph" w:styleId="Title">
    <w:name w:val="Title"/>
    <w:basedOn w:val="HeadingBase"/>
    <w:link w:val="TitleChar"/>
    <w:qFormat/>
    <w:rsid w:val="00CB3CDE"/>
    <w:pPr>
      <w:spacing w:before="5040"/>
      <w:jc w:val="center"/>
    </w:pPr>
    <w:rPr>
      <w:sz w:val="48"/>
      <w:szCs w:val="72"/>
      <w:lang w:val="en-US"/>
    </w:rPr>
  </w:style>
  <w:style w:type="character" w:customStyle="1" w:styleId="TitleChar">
    <w:name w:val="Title Char"/>
    <w:basedOn w:val="DefaultParagraphFont"/>
    <w:link w:val="Title"/>
    <w:rsid w:val="00CB3C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CDE"/>
    <w:pPr>
      <w:tabs>
        <w:tab w:val="left" w:pos="3600"/>
        <w:tab w:val="left" w:pos="3958"/>
      </w:tabs>
    </w:pPr>
  </w:style>
  <w:style w:type="paragraph" w:styleId="List">
    <w:name w:val="List"/>
    <w:basedOn w:val="BodyText"/>
    <w:next w:val="BodyText"/>
    <w:rsid w:val="00CB3CDE"/>
    <w:pPr>
      <w:tabs>
        <w:tab w:val="left" w:pos="340"/>
      </w:tabs>
      <w:spacing w:before="60" w:after="60"/>
      <w:ind w:left="340" w:hanging="340"/>
    </w:pPr>
  </w:style>
  <w:style w:type="paragraph" w:customStyle="1" w:styleId="Note">
    <w:name w:val="Note"/>
    <w:basedOn w:val="BodyText"/>
    <w:rsid w:val="00CB3C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3CDE"/>
    <w:rPr>
      <w:b/>
      <w:spacing w:val="0"/>
    </w:rPr>
  </w:style>
  <w:style w:type="paragraph" w:customStyle="1" w:styleId="SuperTitle">
    <w:name w:val="SuperTitle"/>
    <w:basedOn w:val="Title"/>
    <w:rsid w:val="00CB3CDE"/>
    <w:pPr>
      <w:framePr w:wrap="auto" w:hAnchor="text" w:y="6049"/>
    </w:pPr>
    <w:rPr>
      <w:color w:val="000000"/>
      <w:sz w:val="40"/>
    </w:rPr>
  </w:style>
  <w:style w:type="paragraph" w:customStyle="1" w:styleId="TOCTitle">
    <w:name w:val="TOCTitle"/>
    <w:basedOn w:val="Heading1"/>
    <w:rsid w:val="00CB3CDE"/>
    <w:pPr>
      <w:spacing w:after="240"/>
      <w:jc w:val="center"/>
      <w:outlineLvl w:val="9"/>
    </w:pPr>
    <w:rPr>
      <w:caps/>
    </w:rPr>
  </w:style>
  <w:style w:type="paragraph" w:customStyle="1" w:styleId="Version">
    <w:name w:val="Version"/>
    <w:rsid w:val="00CB3C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3CDE"/>
    <w:pPr>
      <w:keepNext w:val="0"/>
      <w:tabs>
        <w:tab w:val="right" w:pos="4176"/>
      </w:tabs>
      <w:ind w:left="198" w:hanging="198"/>
    </w:pPr>
    <w:rPr>
      <w:rFonts w:ascii="Garamond" w:hAnsi="Garamond"/>
    </w:rPr>
  </w:style>
  <w:style w:type="paragraph" w:styleId="IndexHeading">
    <w:name w:val="index heading"/>
    <w:basedOn w:val="Normal"/>
    <w:next w:val="Index1"/>
    <w:semiHidden/>
    <w:rsid w:val="00CB3CDE"/>
    <w:pPr>
      <w:spacing w:before="120" w:after="120"/>
    </w:pPr>
    <w:rPr>
      <w:rFonts w:ascii="Arial" w:hAnsi="Arial"/>
      <w:b/>
      <w:color w:val="918585"/>
      <w:sz w:val="24"/>
    </w:rPr>
  </w:style>
  <w:style w:type="paragraph" w:styleId="Header">
    <w:name w:val="header"/>
    <w:basedOn w:val="Normal"/>
    <w:link w:val="HeaderChar"/>
    <w:rsid w:val="00CB3C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3CDE"/>
    <w:rPr>
      <w:rFonts w:ascii="Times New Roman" w:eastAsia="Times New Roman" w:hAnsi="Times New Roman" w:cs="Times New Roman"/>
      <w:sz w:val="16"/>
      <w:szCs w:val="20"/>
      <w:lang w:val="en-GB" w:eastAsia="en-US"/>
    </w:rPr>
  </w:style>
  <w:style w:type="paragraph" w:customStyle="1" w:styleId="Chapter">
    <w:name w:val="Chapter"/>
    <w:basedOn w:val="Normal"/>
    <w:rsid w:val="00CB3CDE"/>
    <w:pPr>
      <w:spacing w:before="240"/>
    </w:pPr>
    <w:rPr>
      <w:rFonts w:ascii="Times New Roman" w:hAnsi="Times New Roman"/>
      <w:smallCaps/>
      <w:spacing w:val="80"/>
      <w:sz w:val="28"/>
    </w:rPr>
  </w:style>
  <w:style w:type="paragraph" w:customStyle="1" w:styleId="InChapter">
    <w:name w:val="InChapter"/>
    <w:basedOn w:val="Heading3"/>
    <w:rsid w:val="00CB3CDE"/>
    <w:pPr>
      <w:spacing w:after="240"/>
      <w:outlineLvl w:val="9"/>
    </w:pPr>
    <w:rPr>
      <w:noProof/>
    </w:rPr>
  </w:style>
  <w:style w:type="paragraph" w:styleId="Index2">
    <w:name w:val="index 2"/>
    <w:basedOn w:val="Normal"/>
    <w:next w:val="Normal"/>
    <w:semiHidden/>
    <w:rsid w:val="00CB3CDE"/>
    <w:pPr>
      <w:tabs>
        <w:tab w:val="right" w:pos="4176"/>
      </w:tabs>
      <w:ind w:left="568" w:hanging="284"/>
    </w:pPr>
    <w:rPr>
      <w:rFonts w:ascii="Garamond" w:hAnsi="Garamond"/>
    </w:rPr>
  </w:style>
  <w:style w:type="paragraph" w:customStyle="1" w:styleId="Byline">
    <w:name w:val="Byline"/>
    <w:rsid w:val="00CB3C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CDE"/>
    <w:pPr>
      <w:tabs>
        <w:tab w:val="clear" w:pos="3600"/>
        <w:tab w:val="clear" w:pos="3958"/>
      </w:tabs>
      <w:jc w:val="right"/>
    </w:pPr>
  </w:style>
  <w:style w:type="character" w:styleId="Emphasis">
    <w:name w:val="Emphasis"/>
    <w:basedOn w:val="DefaultParagraphFont"/>
    <w:qFormat/>
    <w:rsid w:val="00CB3CDE"/>
    <w:rPr>
      <w:i/>
    </w:rPr>
  </w:style>
  <w:style w:type="paragraph" w:styleId="Caption">
    <w:name w:val="caption"/>
    <w:basedOn w:val="BodyText"/>
    <w:next w:val="Normal"/>
    <w:qFormat/>
    <w:rsid w:val="00CB3CDE"/>
    <w:pPr>
      <w:framePr w:w="2268" w:hSpace="181" w:vSpace="181" w:wrap="around" w:vAnchor="text" w:hAnchor="page" w:x="1135" w:y="285" w:anchorLock="1"/>
    </w:pPr>
    <w:rPr>
      <w:i/>
    </w:rPr>
  </w:style>
  <w:style w:type="paragraph" w:customStyle="1" w:styleId="MiniTOCTitle">
    <w:name w:val="MiniTOCTitle"/>
    <w:basedOn w:val="Heading4"/>
    <w:rsid w:val="00CB3CDE"/>
    <w:pPr>
      <w:spacing w:before="240"/>
      <w:outlineLvl w:val="9"/>
    </w:pPr>
    <w:rPr>
      <w:noProof/>
      <w:sz w:val="24"/>
    </w:rPr>
  </w:style>
  <w:style w:type="paragraph" w:customStyle="1" w:styleId="MiniTOCItem">
    <w:name w:val="MiniTOCItem"/>
    <w:basedOn w:val="ListBullet"/>
    <w:rsid w:val="00CB3CDE"/>
    <w:pPr>
      <w:numPr>
        <w:numId w:val="0"/>
      </w:numPr>
      <w:tabs>
        <w:tab w:val="right" w:leader="dot" w:pos="6521"/>
      </w:tabs>
      <w:spacing w:before="0" w:after="0"/>
    </w:pPr>
  </w:style>
  <w:style w:type="paragraph" w:customStyle="1" w:styleId="TOFTitle">
    <w:name w:val="TOFTitle"/>
    <w:basedOn w:val="TOCTitle"/>
    <w:rsid w:val="00CB3CDE"/>
  </w:style>
  <w:style w:type="paragraph" w:styleId="TableofFigures">
    <w:name w:val="table of figures"/>
    <w:basedOn w:val="Normal"/>
    <w:next w:val="Normal"/>
    <w:semiHidden/>
    <w:rsid w:val="00CB3CDE"/>
    <w:pPr>
      <w:tabs>
        <w:tab w:val="right" w:leader="dot" w:pos="9072"/>
      </w:tabs>
      <w:ind w:left="970" w:hanging="403"/>
    </w:pPr>
    <w:rPr>
      <w:rFonts w:ascii="Times New Roman" w:hAnsi="Times New Roman"/>
      <w:b/>
    </w:rPr>
  </w:style>
  <w:style w:type="paragraph" w:styleId="ListNumber">
    <w:name w:val="List Number"/>
    <w:basedOn w:val="List"/>
    <w:rsid w:val="00CB3CDE"/>
    <w:pPr>
      <w:numPr>
        <w:numId w:val="15"/>
      </w:numPr>
      <w:tabs>
        <w:tab w:val="clear" w:pos="340"/>
      </w:tabs>
    </w:pPr>
  </w:style>
  <w:style w:type="character" w:customStyle="1" w:styleId="WingdingSymbols">
    <w:name w:val="Wingding Symbols"/>
    <w:rsid w:val="00CB3CDE"/>
    <w:rPr>
      <w:rFonts w:ascii="Wingdings" w:hAnsi="Wingdings"/>
    </w:rPr>
  </w:style>
  <w:style w:type="paragraph" w:customStyle="1" w:styleId="TableHeading">
    <w:name w:val="Table Heading"/>
    <w:basedOn w:val="HeadingBase"/>
    <w:rsid w:val="00CB3CDE"/>
    <w:pPr>
      <w:keepLines/>
      <w:pBdr>
        <w:bottom w:val="single" w:sz="6" w:space="1" w:color="918585"/>
      </w:pBdr>
      <w:spacing w:before="240"/>
    </w:pPr>
  </w:style>
  <w:style w:type="character" w:customStyle="1" w:styleId="HotSpot">
    <w:name w:val="HotSpot"/>
    <w:rsid w:val="00CB3CDE"/>
    <w:rPr>
      <w:color w:val="0033CC"/>
      <w:u w:val="none"/>
    </w:rPr>
  </w:style>
  <w:style w:type="paragraph" w:customStyle="1" w:styleId="BodyTextRight">
    <w:name w:val="Body Text Right"/>
    <w:basedOn w:val="BodyText"/>
    <w:rsid w:val="00CB3CDE"/>
    <w:pPr>
      <w:spacing w:before="0" w:after="0"/>
      <w:jc w:val="right"/>
    </w:pPr>
  </w:style>
  <w:style w:type="paragraph" w:styleId="Index3">
    <w:name w:val="index 3"/>
    <w:basedOn w:val="ListNumber2"/>
    <w:next w:val="Normal"/>
    <w:semiHidden/>
    <w:rsid w:val="00CB3CDE"/>
    <w:pPr>
      <w:numPr>
        <w:numId w:val="0"/>
      </w:numPr>
      <w:tabs>
        <w:tab w:val="right" w:leader="dot" w:pos="4176"/>
      </w:tabs>
    </w:pPr>
  </w:style>
  <w:style w:type="paragraph" w:styleId="ListNumber2">
    <w:name w:val="List Number 2"/>
    <w:basedOn w:val="List2"/>
    <w:rsid w:val="00CB3CDE"/>
    <w:pPr>
      <w:numPr>
        <w:numId w:val="10"/>
      </w:numPr>
      <w:tabs>
        <w:tab w:val="clear" w:pos="1060"/>
      </w:tabs>
    </w:pPr>
  </w:style>
  <w:style w:type="paragraph" w:customStyle="1" w:styleId="MarginNote">
    <w:name w:val="Margin Note"/>
    <w:basedOn w:val="BodyText"/>
    <w:rsid w:val="00CB3C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C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3C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3CDE"/>
    <w:rPr>
      <w:sz w:val="32"/>
    </w:rPr>
  </w:style>
  <w:style w:type="paragraph" w:customStyle="1" w:styleId="HeadingProcedure">
    <w:name w:val="Heading Procedure"/>
    <w:basedOn w:val="HeadingBase"/>
    <w:next w:val="Normal"/>
    <w:rsid w:val="00CB3CDE"/>
    <w:pPr>
      <w:tabs>
        <w:tab w:val="left" w:pos="0"/>
      </w:tabs>
      <w:spacing w:before="120" w:after="60"/>
    </w:pPr>
    <w:rPr>
      <w:i/>
      <w:color w:val="918585"/>
      <w:sz w:val="22"/>
    </w:rPr>
  </w:style>
  <w:style w:type="paragraph" w:customStyle="1" w:styleId="TableBodyText">
    <w:name w:val="Table Body Text"/>
    <w:basedOn w:val="BodyText"/>
    <w:rsid w:val="00CB3CDE"/>
    <w:pPr>
      <w:spacing w:before="60" w:after="60"/>
    </w:pPr>
  </w:style>
  <w:style w:type="paragraph" w:styleId="ListContinue">
    <w:name w:val="List Continue"/>
    <w:basedOn w:val="List"/>
    <w:rsid w:val="00CB3CDE"/>
    <w:pPr>
      <w:ind w:firstLine="0"/>
    </w:pPr>
  </w:style>
  <w:style w:type="paragraph" w:customStyle="1" w:styleId="ListNote">
    <w:name w:val="List Note"/>
    <w:basedOn w:val="List"/>
    <w:rsid w:val="00CB3CDE"/>
    <w:pPr>
      <w:pBdr>
        <w:top w:val="single" w:sz="6" w:space="2" w:color="918585"/>
        <w:bottom w:val="single" w:sz="6" w:space="2" w:color="918585"/>
      </w:pBdr>
      <w:tabs>
        <w:tab w:val="left" w:pos="1021"/>
      </w:tabs>
      <w:ind w:firstLine="0"/>
    </w:pPr>
  </w:style>
  <w:style w:type="paragraph" w:customStyle="1" w:styleId="Warning">
    <w:name w:val="Warning"/>
    <w:basedOn w:val="BodyText"/>
    <w:rsid w:val="00CB3CDE"/>
    <w:pPr>
      <w:shd w:val="clear" w:color="auto" w:fill="D9D9D9"/>
      <w:tabs>
        <w:tab w:val="left" w:pos="992"/>
      </w:tabs>
      <w:ind w:left="119" w:right="119"/>
    </w:pPr>
    <w:rPr>
      <w:sz w:val="20"/>
    </w:rPr>
  </w:style>
  <w:style w:type="paragraph" w:customStyle="1" w:styleId="MarginIcons">
    <w:name w:val="Margin Icons"/>
    <w:basedOn w:val="BodyText"/>
    <w:rsid w:val="00CB3C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3CDE"/>
    <w:rPr>
      <w:rFonts w:ascii="Courier New" w:hAnsi="Courier New"/>
    </w:rPr>
  </w:style>
  <w:style w:type="paragraph" w:customStyle="1" w:styleId="NoteBullet">
    <w:name w:val="Note Bullet"/>
    <w:basedOn w:val="Note"/>
    <w:rsid w:val="00CB3CDE"/>
    <w:pPr>
      <w:tabs>
        <w:tab w:val="clear" w:pos="680"/>
      </w:tabs>
      <w:spacing w:before="60" w:after="60"/>
    </w:pPr>
  </w:style>
  <w:style w:type="paragraph" w:customStyle="1" w:styleId="SubHeading2">
    <w:name w:val="SubHeading2"/>
    <w:basedOn w:val="HeadingBase"/>
    <w:rsid w:val="00CB3CDE"/>
    <w:pPr>
      <w:spacing w:before="240" w:after="60"/>
    </w:pPr>
    <w:rPr>
      <w:sz w:val="20"/>
    </w:rPr>
  </w:style>
  <w:style w:type="paragraph" w:customStyle="1" w:styleId="SubHeading1">
    <w:name w:val="SubHeading1"/>
    <w:basedOn w:val="HeadingBase"/>
    <w:rsid w:val="00CB3CDE"/>
    <w:pPr>
      <w:spacing w:before="240" w:after="60"/>
    </w:pPr>
    <w:rPr>
      <w:color w:val="918585"/>
      <w:sz w:val="22"/>
    </w:rPr>
  </w:style>
  <w:style w:type="paragraph" w:customStyle="1" w:styleId="SideHeading">
    <w:name w:val="Side Heading"/>
    <w:basedOn w:val="HeadingBase"/>
    <w:rsid w:val="00CB3C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CDE"/>
    <w:pPr>
      <w:tabs>
        <w:tab w:val="num" w:pos="360"/>
      </w:tabs>
    </w:pPr>
  </w:style>
  <w:style w:type="paragraph" w:styleId="PlainText">
    <w:name w:val="Plain Text"/>
    <w:basedOn w:val="Normal"/>
    <w:link w:val="PlainTextChar"/>
    <w:rsid w:val="00CB3CDE"/>
    <w:rPr>
      <w:sz w:val="20"/>
    </w:rPr>
  </w:style>
  <w:style w:type="character" w:customStyle="1" w:styleId="PlainTextChar">
    <w:name w:val="Plain Text Char"/>
    <w:basedOn w:val="DefaultParagraphFont"/>
    <w:link w:val="PlainText"/>
    <w:rsid w:val="00CB3CDE"/>
    <w:rPr>
      <w:rFonts w:ascii="Courier New" w:eastAsia="Times New Roman" w:hAnsi="Courier New" w:cs="Times New Roman"/>
      <w:sz w:val="20"/>
      <w:szCs w:val="20"/>
      <w:lang w:eastAsia="en-US"/>
    </w:rPr>
  </w:style>
  <w:style w:type="character" w:customStyle="1" w:styleId="MenuOption">
    <w:name w:val="Menu Option"/>
    <w:basedOn w:val="DefaultParagraphFont"/>
    <w:rsid w:val="00CB3CDE"/>
    <w:rPr>
      <w:b/>
      <w:smallCaps/>
    </w:rPr>
  </w:style>
  <w:style w:type="paragraph" w:customStyle="1" w:styleId="TableListNumber">
    <w:name w:val="Table List Number"/>
    <w:basedOn w:val="ListNumber"/>
    <w:rsid w:val="00CB3CDE"/>
    <w:pPr>
      <w:numPr>
        <w:numId w:val="0"/>
      </w:numPr>
    </w:pPr>
  </w:style>
  <w:style w:type="paragraph" w:styleId="TOC4">
    <w:name w:val="toc 4"/>
    <w:basedOn w:val="TOCBase"/>
    <w:next w:val="Normal"/>
    <w:semiHidden/>
    <w:rsid w:val="00CB3CDE"/>
    <w:pPr>
      <w:tabs>
        <w:tab w:val="right" w:leader="dot" w:pos="9071"/>
      </w:tabs>
      <w:ind w:left="1701"/>
    </w:pPr>
  </w:style>
  <w:style w:type="paragraph" w:customStyle="1" w:styleId="ListAlpha">
    <w:name w:val="List Alpha"/>
    <w:basedOn w:val="List"/>
    <w:rsid w:val="00CB3CDE"/>
    <w:pPr>
      <w:numPr>
        <w:numId w:val="9"/>
      </w:numPr>
    </w:pPr>
  </w:style>
  <w:style w:type="paragraph" w:customStyle="1" w:styleId="ListAlpha2">
    <w:name w:val="List Alpha 2"/>
    <w:basedOn w:val="List2"/>
    <w:rsid w:val="00CB3CDE"/>
    <w:pPr>
      <w:numPr>
        <w:numId w:val="8"/>
      </w:numPr>
    </w:pPr>
  </w:style>
  <w:style w:type="paragraph" w:styleId="List2">
    <w:name w:val="List 2"/>
    <w:basedOn w:val="BodyText"/>
    <w:rsid w:val="00CB3CDE"/>
    <w:pPr>
      <w:tabs>
        <w:tab w:val="left" w:pos="680"/>
      </w:tabs>
      <w:spacing w:before="60" w:after="60"/>
      <w:ind w:left="680" w:hanging="340"/>
    </w:pPr>
  </w:style>
  <w:style w:type="paragraph" w:styleId="List3">
    <w:name w:val="List 3"/>
    <w:basedOn w:val="BodyText"/>
    <w:rsid w:val="00CB3CDE"/>
    <w:pPr>
      <w:tabs>
        <w:tab w:val="left" w:pos="1021"/>
      </w:tabs>
      <w:spacing w:before="60" w:after="60"/>
      <w:ind w:left="1020" w:hanging="340"/>
    </w:pPr>
  </w:style>
  <w:style w:type="paragraph" w:styleId="List4">
    <w:name w:val="List 4"/>
    <w:basedOn w:val="BodyText"/>
    <w:rsid w:val="00CB3CDE"/>
    <w:pPr>
      <w:tabs>
        <w:tab w:val="left" w:pos="1361"/>
      </w:tabs>
      <w:spacing w:before="60" w:after="60"/>
      <w:ind w:left="1361" w:hanging="340"/>
    </w:pPr>
  </w:style>
  <w:style w:type="paragraph" w:styleId="List5">
    <w:name w:val="List 5"/>
    <w:basedOn w:val="BodyText"/>
    <w:rsid w:val="00CB3CDE"/>
    <w:pPr>
      <w:tabs>
        <w:tab w:val="left" w:pos="1701"/>
      </w:tabs>
      <w:spacing w:before="60" w:after="60"/>
      <w:ind w:left="1701" w:hanging="340"/>
    </w:pPr>
  </w:style>
  <w:style w:type="paragraph" w:styleId="ListBullet3">
    <w:name w:val="List Bullet 3"/>
    <w:basedOn w:val="List3"/>
    <w:rsid w:val="00CB3CDE"/>
    <w:pPr>
      <w:numPr>
        <w:numId w:val="14"/>
      </w:numPr>
      <w:tabs>
        <w:tab w:val="clear" w:pos="1021"/>
      </w:tabs>
      <w:ind w:left="1037" w:hanging="357"/>
    </w:pPr>
  </w:style>
  <w:style w:type="paragraph" w:styleId="ListBullet4">
    <w:name w:val="List Bullet 4"/>
    <w:basedOn w:val="List4"/>
    <w:rsid w:val="00CB3CDE"/>
    <w:pPr>
      <w:numPr>
        <w:numId w:val="3"/>
      </w:numPr>
      <w:tabs>
        <w:tab w:val="clear" w:pos="1361"/>
      </w:tabs>
    </w:pPr>
  </w:style>
  <w:style w:type="paragraph" w:styleId="ListBullet5">
    <w:name w:val="List Bullet 5"/>
    <w:basedOn w:val="List5"/>
    <w:rsid w:val="00CB3CDE"/>
    <w:pPr>
      <w:numPr>
        <w:numId w:val="4"/>
      </w:numPr>
    </w:pPr>
  </w:style>
  <w:style w:type="paragraph" w:styleId="ListContinue2">
    <w:name w:val="List Continue 2"/>
    <w:basedOn w:val="List2"/>
    <w:rsid w:val="00CB3CDE"/>
    <w:pPr>
      <w:ind w:firstLine="0"/>
    </w:pPr>
  </w:style>
  <w:style w:type="paragraph" w:styleId="ListContinue3">
    <w:name w:val="List Continue 3"/>
    <w:basedOn w:val="List3"/>
    <w:rsid w:val="00CB3CDE"/>
    <w:pPr>
      <w:ind w:left="1021" w:firstLine="0"/>
    </w:pPr>
  </w:style>
  <w:style w:type="paragraph" w:styleId="ListContinue4">
    <w:name w:val="List Continue 4"/>
    <w:basedOn w:val="List4"/>
    <w:rsid w:val="00CB3CDE"/>
    <w:pPr>
      <w:ind w:firstLine="0"/>
    </w:pPr>
  </w:style>
  <w:style w:type="paragraph" w:styleId="ListContinue5">
    <w:name w:val="List Continue 5"/>
    <w:basedOn w:val="List5"/>
    <w:rsid w:val="00CB3CDE"/>
    <w:pPr>
      <w:ind w:firstLine="0"/>
    </w:pPr>
  </w:style>
  <w:style w:type="paragraph" w:styleId="ListNumber3">
    <w:name w:val="List Number 3"/>
    <w:basedOn w:val="List3"/>
    <w:rsid w:val="00CB3CDE"/>
    <w:pPr>
      <w:numPr>
        <w:numId w:val="5"/>
      </w:numPr>
    </w:pPr>
  </w:style>
  <w:style w:type="paragraph" w:styleId="ListNumber4">
    <w:name w:val="List Number 4"/>
    <w:basedOn w:val="List4"/>
    <w:rsid w:val="00CB3CDE"/>
    <w:pPr>
      <w:numPr>
        <w:numId w:val="6"/>
      </w:numPr>
    </w:pPr>
  </w:style>
  <w:style w:type="paragraph" w:styleId="ListNumber5">
    <w:name w:val="List Number 5"/>
    <w:basedOn w:val="List5"/>
    <w:rsid w:val="00CB3CDE"/>
    <w:pPr>
      <w:numPr>
        <w:numId w:val="7"/>
      </w:numPr>
    </w:pPr>
  </w:style>
  <w:style w:type="paragraph" w:styleId="BlockText">
    <w:name w:val="Block Text"/>
    <w:basedOn w:val="Normal"/>
    <w:rsid w:val="00CB3CDE"/>
    <w:pPr>
      <w:spacing w:after="120"/>
      <w:ind w:left="1440" w:right="1440"/>
    </w:pPr>
  </w:style>
  <w:style w:type="character" w:customStyle="1" w:styleId="Subscript">
    <w:name w:val="Subscript"/>
    <w:basedOn w:val="DefaultParagraphFont"/>
    <w:rsid w:val="00CB3CDE"/>
    <w:rPr>
      <w:sz w:val="16"/>
      <w:vertAlign w:val="subscript"/>
    </w:rPr>
  </w:style>
  <w:style w:type="character" w:customStyle="1" w:styleId="Superscript">
    <w:name w:val="Superscript"/>
    <w:basedOn w:val="DefaultParagraphFont"/>
    <w:rsid w:val="00CB3CDE"/>
    <w:rPr>
      <w:sz w:val="16"/>
      <w:vertAlign w:val="superscript"/>
    </w:rPr>
  </w:style>
  <w:style w:type="character" w:customStyle="1" w:styleId="Symbols">
    <w:name w:val="Symbols"/>
    <w:basedOn w:val="DefaultParagraphFont"/>
    <w:rsid w:val="00CB3CDE"/>
    <w:rPr>
      <w:rFonts w:ascii="Symbol" w:hAnsi="Symbol"/>
    </w:rPr>
  </w:style>
  <w:style w:type="character" w:customStyle="1" w:styleId="MenuOptions">
    <w:name w:val="Menu Options"/>
    <w:basedOn w:val="DefaultParagraphFont"/>
    <w:rsid w:val="00CB3CDE"/>
    <w:rPr>
      <w:rFonts w:ascii="Arial Narrow" w:hAnsi="Arial Narrow"/>
      <w:smallCaps/>
    </w:rPr>
  </w:style>
  <w:style w:type="character" w:customStyle="1" w:styleId="Buttons">
    <w:name w:val="Buttons"/>
    <w:basedOn w:val="DefaultParagraphFont"/>
    <w:rsid w:val="00CB3CDE"/>
    <w:rPr>
      <w:b/>
    </w:rPr>
  </w:style>
  <w:style w:type="character" w:customStyle="1" w:styleId="Underlined">
    <w:name w:val="Underlined"/>
    <w:basedOn w:val="DefaultParagraphFont"/>
    <w:rsid w:val="00CB3CDE"/>
    <w:rPr>
      <w:u w:val="single"/>
    </w:rPr>
  </w:style>
  <w:style w:type="paragraph" w:customStyle="1" w:styleId="TableBodyTextRight">
    <w:name w:val="Table Body Text Right"/>
    <w:basedOn w:val="TableBodyText"/>
    <w:rsid w:val="00CB3CDE"/>
    <w:pPr>
      <w:widowControl w:val="0"/>
      <w:autoSpaceDE w:val="0"/>
      <w:autoSpaceDN w:val="0"/>
      <w:adjustRightInd w:val="0"/>
      <w:jc w:val="right"/>
    </w:pPr>
    <w:rPr>
      <w:rFonts w:cs="Arial"/>
      <w:szCs w:val="18"/>
    </w:rPr>
  </w:style>
  <w:style w:type="paragraph" w:customStyle="1" w:styleId="CopyrightText">
    <w:name w:val="Copyright Text"/>
    <w:basedOn w:val="BodyText"/>
    <w:rsid w:val="00CB3CDE"/>
    <w:rPr>
      <w:sz w:val="18"/>
    </w:rPr>
  </w:style>
  <w:style w:type="paragraph" w:customStyle="1" w:styleId="BodySmallRight">
    <w:name w:val="Body Small Right"/>
    <w:basedOn w:val="BodyTextRight"/>
    <w:rsid w:val="00CB3CDE"/>
    <w:rPr>
      <w:sz w:val="18"/>
      <w:szCs w:val="18"/>
    </w:rPr>
  </w:style>
  <w:style w:type="paragraph" w:customStyle="1" w:styleId="MarginEdition">
    <w:name w:val="Margin Edition"/>
    <w:basedOn w:val="MarginNote"/>
    <w:rsid w:val="00CB3CDE"/>
    <w:pPr>
      <w:spacing w:before="0" w:after="0"/>
    </w:pPr>
    <w:rPr>
      <w:rFonts w:ascii="Times New Roman" w:hAnsi="Times New Roman"/>
      <w:color w:val="999999"/>
    </w:rPr>
  </w:style>
  <w:style w:type="paragraph" w:customStyle="1" w:styleId="Spacer">
    <w:name w:val="Spacer"/>
    <w:basedOn w:val="Normal"/>
    <w:rsid w:val="00CB3CDE"/>
    <w:rPr>
      <w:sz w:val="2"/>
      <w:szCs w:val="2"/>
    </w:rPr>
  </w:style>
  <w:style w:type="character" w:customStyle="1" w:styleId="Small">
    <w:name w:val="Small"/>
    <w:basedOn w:val="DefaultParagraphFont"/>
    <w:rsid w:val="00CB3CDE"/>
    <w:rPr>
      <w:sz w:val="16"/>
    </w:rPr>
  </w:style>
  <w:style w:type="paragraph" w:customStyle="1" w:styleId="WideTable">
    <w:name w:val="Wide Table"/>
    <w:basedOn w:val="Normal"/>
    <w:rsid w:val="00CB3CDE"/>
    <w:pPr>
      <w:ind w:left="-1418"/>
    </w:pPr>
    <w:rPr>
      <w:sz w:val="2"/>
      <w:szCs w:val="2"/>
    </w:rPr>
  </w:style>
  <w:style w:type="character" w:styleId="PageNumber">
    <w:name w:val="page number"/>
    <w:basedOn w:val="DefaultParagraphFont"/>
    <w:rsid w:val="00CB3CDE"/>
  </w:style>
  <w:style w:type="paragraph" w:styleId="Quote">
    <w:name w:val="Quote"/>
    <w:basedOn w:val="Heading1"/>
    <w:link w:val="QuoteChar"/>
    <w:qFormat/>
    <w:rsid w:val="00CB3CDE"/>
    <w:rPr>
      <w:b w:val="0"/>
      <w:sz w:val="72"/>
      <w:szCs w:val="72"/>
      <w:lang w:val="en-NZ"/>
    </w:rPr>
  </w:style>
  <w:style w:type="character" w:customStyle="1" w:styleId="QuoteChar">
    <w:name w:val="Quote Char"/>
    <w:basedOn w:val="DefaultParagraphFont"/>
    <w:link w:val="Quote"/>
    <w:rsid w:val="00CB3C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CDE"/>
    <w:pPr>
      <w:pageBreakBefore/>
    </w:pPr>
  </w:style>
  <w:style w:type="paragraph" w:customStyle="1" w:styleId="Border">
    <w:name w:val="Border"/>
    <w:basedOn w:val="Normal"/>
    <w:qFormat/>
    <w:rsid w:val="00CB3C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3CDE"/>
    <w:rPr>
      <w:b/>
      <w:bCs/>
      <w:i/>
      <w:iCs/>
      <w:color w:val="auto"/>
    </w:rPr>
  </w:style>
  <w:style w:type="paragraph" w:styleId="IntenseQuote">
    <w:name w:val="Intense Quote"/>
    <w:basedOn w:val="Normal"/>
    <w:next w:val="Normal"/>
    <w:link w:val="IntenseQuoteChar"/>
    <w:uiPriority w:val="30"/>
    <w:qFormat/>
    <w:rsid w:val="00CB3C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3C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3CDE"/>
    <w:rPr>
      <w:smallCaps/>
      <w:color w:val="auto"/>
      <w:u w:val="single"/>
    </w:rPr>
  </w:style>
  <w:style w:type="character" w:styleId="IntenseReference">
    <w:name w:val="Intense Reference"/>
    <w:basedOn w:val="DefaultParagraphFont"/>
    <w:uiPriority w:val="32"/>
    <w:qFormat/>
    <w:rsid w:val="00CB3CDE"/>
    <w:rPr>
      <w:b/>
      <w:bCs/>
      <w:smallCaps/>
      <w:color w:val="auto"/>
      <w:spacing w:val="5"/>
      <w:u w:val="single"/>
    </w:rPr>
  </w:style>
  <w:style w:type="paragraph" w:customStyle="1" w:styleId="2ColumnHeading">
    <w:name w:val="2Column Heading"/>
    <w:basedOn w:val="BodyText"/>
    <w:qFormat/>
    <w:rsid w:val="00CB3CDE"/>
    <w:pPr>
      <w:spacing w:after="60"/>
      <w:ind w:left="-2268"/>
    </w:pPr>
    <w:rPr>
      <w:b/>
    </w:rPr>
  </w:style>
  <w:style w:type="paragraph" w:customStyle="1" w:styleId="Heading1TOC">
    <w:name w:val="Heading1 TOC"/>
    <w:basedOn w:val="Normal"/>
    <w:qFormat/>
    <w:rsid w:val="00CB3CDE"/>
    <w:pPr>
      <w:spacing w:before="240" w:after="120"/>
    </w:pPr>
    <w:rPr>
      <w:rFonts w:ascii="Times New Roman" w:hAnsi="Times New Roman"/>
      <w:b/>
      <w:sz w:val="32"/>
    </w:rPr>
  </w:style>
  <w:style w:type="paragraph" w:customStyle="1" w:styleId="Heading2TOC">
    <w:name w:val="Heading2 TOC"/>
    <w:basedOn w:val="Normal"/>
    <w:qFormat/>
    <w:rsid w:val="00CB3CDE"/>
    <w:pPr>
      <w:spacing w:before="240" w:after="60"/>
    </w:pPr>
    <w:rPr>
      <w:rFonts w:ascii="Times New Roman" w:hAnsi="Times New Roman"/>
      <w:b/>
      <w:sz w:val="28"/>
    </w:rPr>
  </w:style>
  <w:style w:type="character" w:customStyle="1" w:styleId="Underline">
    <w:name w:val="Underline"/>
    <w:basedOn w:val="DefaultParagraphFont"/>
    <w:qFormat/>
    <w:rsid w:val="00CB3CDE"/>
    <w:rPr>
      <w:u w:val="single"/>
    </w:rPr>
  </w:style>
  <w:style w:type="character" w:customStyle="1" w:styleId="BoldandItalics">
    <w:name w:val="Bold and Italics"/>
    <w:qFormat/>
    <w:rsid w:val="00CB3CDE"/>
    <w:rPr>
      <w:b/>
      <w:i/>
      <w:u w:val="none"/>
    </w:rPr>
  </w:style>
  <w:style w:type="paragraph" w:styleId="BalloonText">
    <w:name w:val="Balloon Text"/>
    <w:basedOn w:val="Normal"/>
    <w:link w:val="BalloonTextChar"/>
    <w:rsid w:val="00CB3CDE"/>
    <w:rPr>
      <w:rFonts w:ascii="Tahoma" w:hAnsi="Tahoma" w:cs="Tahoma"/>
      <w:sz w:val="16"/>
      <w:szCs w:val="16"/>
    </w:rPr>
  </w:style>
  <w:style w:type="character" w:customStyle="1" w:styleId="BalloonTextChar">
    <w:name w:val="Balloon Text Char"/>
    <w:basedOn w:val="DefaultParagraphFont"/>
    <w:link w:val="BalloonText"/>
    <w:rsid w:val="00CB3C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3C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3C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3CDE"/>
    <w:rPr>
      <w:b/>
      <w:color w:val="660033"/>
      <w:spacing w:val="0"/>
    </w:rPr>
  </w:style>
  <w:style w:type="paragraph" w:customStyle="1" w:styleId="Nameditemlist">
    <w:name w:val="Named item list"/>
    <w:basedOn w:val="BodyText"/>
    <w:qFormat/>
    <w:rsid w:val="00CB3CDE"/>
    <w:pPr>
      <w:tabs>
        <w:tab w:val="left" w:pos="2835"/>
      </w:tabs>
      <w:ind w:left="2835" w:hanging="2835"/>
    </w:pPr>
  </w:style>
  <w:style w:type="paragraph" w:customStyle="1" w:styleId="BodyTextnopadding">
    <w:name w:val="Body Text no padding"/>
    <w:basedOn w:val="BodyText"/>
    <w:qFormat/>
    <w:rsid w:val="00CB3CDE"/>
    <w:pPr>
      <w:spacing w:before="0" w:after="0"/>
    </w:pPr>
  </w:style>
  <w:style w:type="paragraph" w:customStyle="1" w:styleId="BodyTextBold">
    <w:name w:val="Body Text Bold"/>
    <w:basedOn w:val="BodyText"/>
    <w:qFormat/>
    <w:rsid w:val="00CB3CDE"/>
    <w:rPr>
      <w:b/>
    </w:rPr>
  </w:style>
  <w:style w:type="character" w:styleId="Hyperlink">
    <w:name w:val="Hyperlink"/>
    <w:basedOn w:val="DefaultParagraphFont"/>
    <w:uiPriority w:val="99"/>
    <w:unhideWhenUsed/>
    <w:rsid w:val="00AE0C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1238</Words>
  <Characters>7592</Characters>
  <Application>Microsoft Office Word</Application>
  <DocSecurity>0</DocSecurity>
  <Lines>210</Lines>
  <Paragraphs>129</Paragraphs>
  <ScaleCrop>false</ScaleCrop>
  <Company>Author-it Software Corporation Ltd.</Company>
  <LinksUpToDate>false</LinksUpToDate>
  <CharactersWithSpaces>8701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RIIBLA203D Conduct mobile mixing of explosives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2025-03-01T21:43:00Z</dcterms:created>
  <dcterms:modified xsi:type="dcterms:W3CDTF">2025-03-01T21:43:00Z</dcterms:modified>
</cp:coreProperties>
</file>