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62E" w:rsidP="00712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RIIBLA202F Support underground shotfiring operations</w:t>
      </w:r>
      <w:r>
        <w:fldChar w:fldCharType="end"/>
      </w:r>
    </w:p>
    <w:p w:rsidR="0071262E" w:rsidP="0071262E">
      <w:pPr>
        <w:pStyle w:val="Version"/>
        <w:sectPr w:rsidSect="000E1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C65" w:rsidP="000E1C65">
      <w:pPr>
        <w:pStyle w:val="SuperHeading"/>
      </w:pPr>
      <w:r w:rsidRPr="000E1C65">
        <w:t>Assessment Requirements for RIIBLA202F Support underground shotfiring operations</w:t>
      </w:r>
    </w:p>
    <w:p w:rsidR="00000000" w:rsidRPr="000E1C65" w:rsidP="000E1C65">
      <w:pPr>
        <w:pStyle w:val="Heading1"/>
      </w:pPr>
      <w:bookmarkStart w:id="1" w:name="O_1012110"/>
      <w:bookmarkEnd w:id="1"/>
      <w:r w:rsidRPr="000E1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C65" w:rsidP="000E1C65">
            <w:pPr>
              <w:pStyle w:val="BodyText"/>
            </w:pPr>
            <w:r w:rsidRPr="000E1C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rPr>
                <w:rStyle w:val="SpecialBold"/>
              </w:rPr>
              <w:t>Comments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C65" w:rsidP="000E1C65">
            <w:pPr>
              <w:pStyle w:val="BodyText"/>
            </w:pPr>
            <w:r w:rsidRPr="000E1C65">
              <w:t>This version first released with RII Resources and Infrastructure Industry Training Package Version 3.0.</w:t>
            </w:r>
          </w:p>
        </w:tc>
      </w:tr>
    </w:tbl>
    <w:p w:rsidR="0071262E" w:rsidP="000E1C65">
      <w:pPr>
        <w:pStyle w:val="BodyText"/>
      </w:pPr>
    </w:p>
    <w:p w:rsidR="0071262E" w:rsidP="000E1C65">
      <w:pPr>
        <w:pStyle w:val="BodyText"/>
      </w:pPr>
    </w:p>
    <w:p w:rsidR="00000000" w:rsidRPr="000E1C65" w:rsidP="000E1C65">
      <w:pPr>
        <w:pStyle w:val="Heading1"/>
      </w:pPr>
      <w:bookmarkStart w:id="2" w:name="O_1012113"/>
      <w:bookmarkEnd w:id="2"/>
      <w:r w:rsidRPr="000E1C65">
        <w:t>Performance Evidence</w:t>
      </w:r>
    </w:p>
    <w:p w:rsidR="00000000" w:rsidRPr="000E1C65" w:rsidP="0071262E">
      <w:pPr>
        <w:pStyle w:val="BodyText"/>
      </w:pPr>
      <w:r w:rsidRPr="000E1C65">
        <w:t>The candidate must demonstrate the ability to complete the tasks outlined in the elements and performance criteria of this unit.</w:t>
      </w:r>
    </w:p>
    <w:p w:rsidR="00000000" w:rsidRPr="000E1C65" w:rsidP="0071262E">
      <w:pPr>
        <w:pStyle w:val="BodyText"/>
      </w:pPr>
      <w:r w:rsidRPr="000E1C65">
        <w:t>The candidate must demonstrate completion of supporting underground shotfiring at a</w:t>
      </w:r>
      <w:r w:rsidRPr="000E1C65">
        <w:t xml:space="preserve"> blast site that safely, effectively and efficiently follows legislative requirements and workplace procedures to meet required outcomes on at least two occasions. This includes:</w:t>
      </w:r>
    </w:p>
    <w:p w:rsidR="00000000" w:rsidRPr="000E1C65" w:rsidP="000E1C65">
      <w:pPr>
        <w:pStyle w:val="ListBullet"/>
      </w:pPr>
      <w:r w:rsidRPr="000E1C65">
        <w:t>following preparation procedures to support shotfiring, including ventilatio</w:t>
      </w:r>
      <w:r w:rsidRPr="000E1C65">
        <w:t>n, barring down (scaling), and air or water services</w:t>
      </w:r>
    </w:p>
    <w:p w:rsidR="00000000" w:rsidRPr="000E1C65" w:rsidP="000E1C65">
      <w:pPr>
        <w:pStyle w:val="ListBullet"/>
      </w:pPr>
      <w:r w:rsidRPr="000E1C65">
        <w:t>securing and isolating blast site</w:t>
      </w:r>
    </w:p>
    <w:p w:rsidR="00000000" w:rsidRPr="000E1C65" w:rsidP="000E1C65">
      <w:pPr>
        <w:pStyle w:val="ListBullet"/>
      </w:pPr>
      <w:r w:rsidRPr="000E1C65">
        <w:t>identifying that drill holes are drilled to authorised design and blast plan</w:t>
      </w:r>
    </w:p>
    <w:p w:rsidR="00000000" w:rsidRPr="000E1C65" w:rsidP="000E1C65">
      <w:pPr>
        <w:pStyle w:val="ListBullet"/>
      </w:pPr>
      <w:r w:rsidRPr="000E1C65">
        <w:t>flushing or cleaning, and testing drill holes</w:t>
      </w:r>
    </w:p>
    <w:p w:rsidR="00000000" w:rsidRPr="000E1C65" w:rsidP="000E1C65">
      <w:pPr>
        <w:pStyle w:val="ListBullet"/>
      </w:pPr>
      <w:r w:rsidRPr="000E1C65">
        <w:t>following precautionary measures relevant to ground conditions, including identifying reactive ores and using explosion inhibitor as required</w:t>
      </w:r>
    </w:p>
    <w:p w:rsidR="00000000" w:rsidRPr="000E1C65" w:rsidP="000E1C65">
      <w:pPr>
        <w:pStyle w:val="ListBullet"/>
      </w:pPr>
      <w:r w:rsidRPr="000E1C65">
        <w:t>handling and transporting explosives</w:t>
      </w:r>
    </w:p>
    <w:p w:rsidR="00000000" w:rsidRPr="000E1C65" w:rsidP="000E1C65">
      <w:pPr>
        <w:pStyle w:val="ListBullet"/>
      </w:pPr>
      <w:r w:rsidRPr="000E1C65">
        <w:t>loading and stemming explosives</w:t>
      </w:r>
    </w:p>
    <w:p w:rsidR="00000000" w:rsidRPr="000E1C65" w:rsidP="000E1C65">
      <w:pPr>
        <w:pStyle w:val="ListBullet"/>
      </w:pPr>
      <w:r w:rsidRPr="000E1C65">
        <w:t>removing equipment and facilities not require</w:t>
      </w:r>
      <w:r w:rsidRPr="000E1C65">
        <w:t>d from blast site</w:t>
      </w:r>
    </w:p>
    <w:p w:rsidR="00000000" w:rsidRPr="000E1C65" w:rsidP="000E1C65">
      <w:pPr>
        <w:pStyle w:val="ListBullet"/>
      </w:pPr>
      <w:r w:rsidRPr="000E1C65">
        <w:t>performing final clean-up</w:t>
      </w:r>
    </w:p>
    <w:p w:rsidR="00000000" w:rsidRPr="000E1C65" w:rsidP="000E1C65">
      <w:pPr>
        <w:pStyle w:val="ListBullet"/>
      </w:pPr>
      <w:r w:rsidRPr="000E1C65">
        <w:t>assisting with securing blast site.</w:t>
      </w:r>
    </w:p>
    <w:p w:rsidR="00000000" w:rsidRPr="000E1C65" w:rsidP="0071262E">
      <w:pPr>
        <w:pStyle w:val="BodyText"/>
      </w:pPr>
      <w:r w:rsidRPr="000E1C65">
        <w:t>In the course of the above work, the candidate must also:</w:t>
      </w:r>
    </w:p>
    <w:p w:rsidR="00000000" w:rsidRPr="000E1C65" w:rsidP="000E1C65">
      <w:pPr>
        <w:pStyle w:val="ListBullet"/>
      </w:pPr>
      <w:r w:rsidRPr="000E1C65">
        <w:t>locate and apply required documentation, policies and procedures</w:t>
      </w:r>
    </w:p>
    <w:p w:rsidR="00000000" w:rsidRPr="000E1C65" w:rsidP="000E1C65">
      <w:pPr>
        <w:pStyle w:val="ListBullet"/>
      </w:pPr>
      <w:r w:rsidRPr="000E1C65">
        <w:t>select and wear personal protective equipment requir</w:t>
      </w:r>
      <w:r w:rsidRPr="000E1C65">
        <w:t>ed for work activities</w:t>
      </w:r>
    </w:p>
    <w:p w:rsidR="00000000" w:rsidRPr="000E1C65" w:rsidP="000E1C65">
      <w:pPr>
        <w:pStyle w:val="ListBullet"/>
      </w:pPr>
      <w:r w:rsidRPr="000E1C65">
        <w:t>plan for support shotfiring activities</w:t>
      </w:r>
    </w:p>
    <w:p w:rsidR="00000000" w:rsidRPr="000E1C65" w:rsidP="000E1C65">
      <w:pPr>
        <w:pStyle w:val="ListBullet"/>
      </w:pPr>
      <w:r w:rsidRPr="000E1C65">
        <w:t>identify and report deteriorated explosives and accessories, applying safe work practices</w:t>
      </w:r>
    </w:p>
    <w:p w:rsidR="0071262E" w:rsidP="000E1C65">
      <w:pPr>
        <w:pStyle w:val="ListBullet"/>
      </w:pPr>
      <w:r w:rsidRPr="000E1C65">
        <w:t>identify and report potential health, safety and environmental hazards, and implement control measures.</w:t>
      </w:r>
    </w:p>
    <w:p w:rsidR="0071262E" w:rsidP="000E1C65">
      <w:pPr>
        <w:pStyle w:val="ListBullet"/>
      </w:pPr>
    </w:p>
    <w:p w:rsidR="00000000" w:rsidRPr="000E1C65" w:rsidP="000E1C65">
      <w:pPr>
        <w:pStyle w:val="Heading1"/>
      </w:pPr>
      <w:bookmarkStart w:id="3" w:name="O_1012121"/>
      <w:bookmarkEnd w:id="3"/>
      <w:r w:rsidRPr="000E1C65">
        <w:t>Knowledge Evidence</w:t>
      </w:r>
    </w:p>
    <w:p w:rsidR="00000000" w:rsidRPr="000E1C65" w:rsidP="0071262E">
      <w:pPr>
        <w:pStyle w:val="BodyText"/>
      </w:pPr>
      <w:r w:rsidRPr="000E1C65">
        <w:t>The candidate must demonstrate the following knowledge to effectively complete the tasks outlined in the elements and performance criteria of this unit.</w:t>
      </w:r>
    </w:p>
    <w:p w:rsidR="00000000" w:rsidRPr="000E1C65" w:rsidP="0071262E">
      <w:pPr>
        <w:pStyle w:val="BodyText"/>
      </w:pPr>
      <w:r w:rsidRPr="000E1C65">
        <w:t>Key policies, procedures, relevant standards, and legislative re</w:t>
      </w:r>
      <w:r w:rsidRPr="000E1C65">
        <w:t>quirements for the underground shotfiring operations described in the performance evidence above, including those relating to:</w:t>
      </w:r>
    </w:p>
    <w:p w:rsidR="00000000" w:rsidRPr="000E1C65" w:rsidP="000E1C65">
      <w:pPr>
        <w:pStyle w:val="ListBullet"/>
      </w:pPr>
      <w:r w:rsidRPr="000E1C65">
        <w:t>site personnel and operational safety requirements</w:t>
      </w:r>
    </w:p>
    <w:p w:rsidR="00000000" w:rsidRPr="000E1C65" w:rsidP="000E1C65">
      <w:pPr>
        <w:pStyle w:val="ListBullet"/>
      </w:pPr>
      <w:r w:rsidRPr="000E1C65">
        <w:t>accessing explosives</w:t>
      </w:r>
    </w:p>
    <w:p w:rsidR="00000000" w:rsidRPr="000E1C65" w:rsidP="000E1C65">
      <w:pPr>
        <w:pStyle w:val="ListBullet"/>
      </w:pPr>
      <w:r w:rsidRPr="000E1C65">
        <w:t>transporting explosives</w:t>
      </w:r>
    </w:p>
    <w:p w:rsidR="00000000" w:rsidRPr="000E1C65" w:rsidP="000E1C65">
      <w:pPr>
        <w:pStyle w:val="ListBullet"/>
      </w:pPr>
      <w:r w:rsidRPr="000E1C65">
        <w:t>blast site isolation</w:t>
      </w:r>
    </w:p>
    <w:p w:rsidR="00000000" w:rsidRPr="000E1C65" w:rsidP="000E1C65">
      <w:pPr>
        <w:pStyle w:val="ListBullet"/>
      </w:pPr>
      <w:r w:rsidRPr="000E1C65">
        <w:t>working safely at heights</w:t>
      </w:r>
    </w:p>
    <w:p w:rsidR="00000000" w:rsidRPr="000E1C65" w:rsidP="000E1C65">
      <w:pPr>
        <w:pStyle w:val="ListBullet"/>
      </w:pPr>
      <w:r w:rsidRPr="000E1C65">
        <w:t>emergencies at blast site</w:t>
      </w:r>
    </w:p>
    <w:p w:rsidR="00000000" w:rsidRPr="000E1C65" w:rsidP="000E1C65">
      <w:pPr>
        <w:pStyle w:val="ListBullet"/>
      </w:pPr>
      <w:r w:rsidRPr="000E1C65">
        <w:t>safety data sheets</w:t>
      </w:r>
    </w:p>
    <w:p w:rsidR="00000000" w:rsidRPr="000E1C65" w:rsidP="000E1C65">
      <w:pPr>
        <w:pStyle w:val="ListBullet"/>
      </w:pPr>
      <w:r w:rsidRPr="000E1C65">
        <w:t>security of explosives</w:t>
      </w:r>
    </w:p>
    <w:p w:rsidR="00000000" w:rsidRPr="000E1C65" w:rsidP="000E1C65">
      <w:pPr>
        <w:pStyle w:val="ListBullet"/>
      </w:pPr>
      <w:r w:rsidRPr="000E1C65">
        <w:t>hazard identification and implementation of control measures</w:t>
      </w:r>
    </w:p>
    <w:p w:rsidR="00000000" w:rsidRPr="000E1C65" w:rsidP="000E1C65">
      <w:pPr>
        <w:pStyle w:val="ListBullet"/>
      </w:pPr>
      <w:r w:rsidRPr="000E1C65">
        <w:t>environmental requirements and constraints, including:</w:t>
      </w:r>
    </w:p>
    <w:p w:rsidR="00000000" w:rsidRPr="000E1C65" w:rsidP="000E1C65">
      <w:pPr>
        <w:pStyle w:val="ListBullet2"/>
      </w:pPr>
      <w:r w:rsidRPr="000E1C65">
        <w:t>blast monitoring systems</w:t>
      </w:r>
    </w:p>
    <w:p w:rsidR="00000000" w:rsidRPr="000E1C65" w:rsidP="000E1C65">
      <w:pPr>
        <w:pStyle w:val="ListBullet2"/>
      </w:pPr>
      <w:r w:rsidRPr="000E1C65">
        <w:t>gas monitoring metho</w:t>
      </w:r>
      <w:r w:rsidRPr="000E1C65">
        <w:t>ds and limits</w:t>
      </w:r>
    </w:p>
    <w:p w:rsidR="00000000" w:rsidRPr="000E1C65" w:rsidP="000E1C65">
      <w:pPr>
        <w:pStyle w:val="ListBullet2"/>
      </w:pPr>
      <w:r w:rsidRPr="000E1C65">
        <w:t>flammable dust limits and controls</w:t>
      </w:r>
    </w:p>
    <w:p w:rsidR="00000000" w:rsidRPr="000E1C65" w:rsidP="000E1C65">
      <w:pPr>
        <w:pStyle w:val="ListBullet"/>
      </w:pPr>
      <w:r w:rsidRPr="000E1C65">
        <w:t>clean-up activities.</w:t>
      </w:r>
    </w:p>
    <w:p w:rsidR="00000000" w:rsidRPr="000E1C65" w:rsidP="0071262E">
      <w:pPr>
        <w:pStyle w:val="BodyText"/>
      </w:pPr>
      <w:r w:rsidRPr="000E1C65">
        <w:t>Key site information, including:</w:t>
      </w:r>
    </w:p>
    <w:p w:rsidR="00000000" w:rsidRPr="000E1C65" w:rsidP="000E1C65">
      <w:pPr>
        <w:pStyle w:val="ListBullet"/>
      </w:pPr>
      <w:r w:rsidRPr="000E1C65">
        <w:t>basic geological and technical data</w:t>
      </w:r>
    </w:p>
    <w:p w:rsidR="00000000" w:rsidRPr="000E1C65" w:rsidP="000E1C65">
      <w:pPr>
        <w:pStyle w:val="ListBullet"/>
      </w:pPr>
      <w:r w:rsidRPr="000E1C65">
        <w:t>site and ground conditions.</w:t>
      </w:r>
    </w:p>
    <w:p w:rsidR="00000000" w:rsidRPr="000E1C65" w:rsidP="0071262E">
      <w:pPr>
        <w:pStyle w:val="BodyText"/>
      </w:pPr>
      <w:r w:rsidRPr="000E1C65">
        <w:t>Key features associated with shotfiring performance, including:</w:t>
      </w:r>
    </w:p>
    <w:p w:rsidR="00000000" w:rsidRPr="000E1C65" w:rsidP="000E1C65">
      <w:pPr>
        <w:pStyle w:val="ListBullet"/>
      </w:pPr>
      <w:r w:rsidRPr="000E1C65">
        <w:t>types and characteristics of explosives, and protection measures</w:t>
      </w:r>
    </w:p>
    <w:p w:rsidR="00000000" w:rsidRPr="000E1C65" w:rsidP="000E1C65">
      <w:pPr>
        <w:pStyle w:val="ListBullet"/>
      </w:pPr>
      <w:r w:rsidRPr="000E1C65">
        <w:t>physical and technical quality of explosives</w:t>
      </w:r>
    </w:p>
    <w:p w:rsidR="00000000" w:rsidRPr="000E1C65" w:rsidP="000E1C65">
      <w:pPr>
        <w:pStyle w:val="ListBullet"/>
      </w:pPr>
      <w:r w:rsidRPr="000E1C65">
        <w:t>equipment characteristics, technical capabilities, limitations, and site conditions.</w:t>
      </w:r>
    </w:p>
    <w:p w:rsidR="00000000" w:rsidRPr="000E1C65" w:rsidP="000E1C65">
      <w:pPr>
        <w:pStyle w:val="AllowPageBreak"/>
      </w:pPr>
    </w:p>
    <w:p w:rsidR="00000000" w:rsidRPr="000E1C65" w:rsidP="000E1C65">
      <w:pPr>
        <w:pStyle w:val="Heading1"/>
      </w:pPr>
      <w:bookmarkStart w:id="4" w:name="O_1012111"/>
      <w:bookmarkEnd w:id="4"/>
      <w:r w:rsidRPr="000E1C65">
        <w:t>Assessment Conditions</w:t>
      </w:r>
    </w:p>
    <w:p w:rsidR="00000000" w:rsidRPr="000E1C65" w:rsidP="0071262E">
      <w:pPr>
        <w:pStyle w:val="BodyText"/>
      </w:pPr>
      <w:r w:rsidRPr="000E1C65">
        <w:t>Mandatory conditions</w:t>
      </w:r>
      <w:r w:rsidRPr="000E1C65">
        <w:t xml:space="preserve"> for assessment of this unit are stipulated below.</w:t>
      </w:r>
    </w:p>
    <w:p w:rsidR="00000000" w:rsidRPr="000E1C65" w:rsidP="0071262E">
      <w:pPr>
        <w:pStyle w:val="BodyText"/>
      </w:pPr>
      <w:r w:rsidRPr="000E1C65">
        <w:t>The assessment must:</w:t>
      </w:r>
    </w:p>
    <w:p w:rsidR="00000000" w:rsidRPr="000E1C65" w:rsidP="000E1C65">
      <w:pPr>
        <w:pStyle w:val="ListBullet"/>
      </w:pPr>
      <w:r w:rsidRPr="000E1C65">
        <w:t>include access to:</w:t>
      </w:r>
    </w:p>
    <w:p w:rsidR="00000000" w:rsidRPr="000E1C65" w:rsidP="000E1C65">
      <w:pPr>
        <w:pStyle w:val="ListBullet2"/>
      </w:pPr>
      <w:r w:rsidRPr="000E1C65">
        <w:t>explosives and shotfiring equipment</w:t>
      </w:r>
    </w:p>
    <w:p w:rsidR="00000000" w:rsidRPr="000E1C65" w:rsidP="000E1C65">
      <w:pPr>
        <w:pStyle w:val="ListBullet2"/>
      </w:pPr>
      <w:r w:rsidRPr="000E1C65">
        <w:t>blast plans</w:t>
      </w:r>
    </w:p>
    <w:p w:rsidR="00000000" w:rsidRPr="000E1C65" w:rsidP="000E1C65">
      <w:pPr>
        <w:pStyle w:val="ListBullet2"/>
      </w:pPr>
      <w:r w:rsidRPr="000E1C65">
        <w:t>personal protective equipment required for the activities described in the performance evidence</w:t>
      </w:r>
    </w:p>
    <w:p w:rsidR="00000000" w:rsidRPr="000E1C65" w:rsidP="000E1C65">
      <w:pPr>
        <w:pStyle w:val="ListBullet"/>
      </w:pPr>
      <w:r w:rsidRPr="000E1C65">
        <w:t>be conducted in a safe environment</w:t>
      </w:r>
    </w:p>
    <w:p w:rsidR="00000000" w:rsidRPr="000E1C65" w:rsidP="000E1C65">
      <w:pPr>
        <w:pStyle w:val="ListBullet"/>
      </w:pPr>
      <w:r w:rsidRPr="000E1C65">
        <w:t>be assessed in the context of this sector’s work environment</w:t>
      </w:r>
    </w:p>
    <w:p w:rsidR="00000000" w:rsidRPr="000E1C65" w:rsidP="000E1C65">
      <w:pPr>
        <w:pStyle w:val="ListBullet"/>
      </w:pPr>
      <w:r w:rsidRPr="000E1C65">
        <w:t>be assessed in compliance with relevant legislation and regulations; and using policies, procedures, processes and operational manuals directly related to the i</w:t>
      </w:r>
      <w:r w:rsidRPr="000E1C65">
        <w:t>ndustry sector for which it is being assessed</w:t>
      </w:r>
    </w:p>
    <w:p w:rsidR="00000000" w:rsidRPr="000E1C65" w:rsidP="000E1C65">
      <w:pPr>
        <w:pStyle w:val="ListBullet"/>
      </w:pPr>
      <w:r w:rsidRPr="000E1C65">
        <w:t>confirm consistent performance can be applied in a range of relevant workplace circumstances.</w:t>
      </w:r>
    </w:p>
    <w:p w:rsidR="00000000" w:rsidRPr="000E1C65" w:rsidP="0071262E">
      <w:pPr>
        <w:pStyle w:val="Heading3"/>
      </w:pPr>
      <w:r w:rsidRPr="000E1C65">
        <w:rPr>
          <w:rStyle w:val="SpecialBold"/>
        </w:rPr>
        <w:t>Assessor requirements</w:t>
      </w:r>
    </w:p>
    <w:p w:rsidR="00000000" w:rsidRPr="000E1C65" w:rsidP="0071262E">
      <w:pPr>
        <w:pStyle w:val="BodyText"/>
      </w:pPr>
      <w:r w:rsidRPr="000E1C65">
        <w:t>Assessors must be able to clearly demonstrate current and relevant industry knowledge and expe</w:t>
      </w:r>
      <w:r w:rsidRPr="000E1C65">
        <w:t>rience to satisfy the mandatory competency standards as set out in the Standards for Registered Training Organisations (RTOs) current at the time of assessment. This includes:</w:t>
      </w:r>
    </w:p>
    <w:p w:rsidR="00000000" w:rsidRPr="000E1C65" w:rsidP="000E1C65">
      <w:pPr>
        <w:pStyle w:val="ListBullet"/>
      </w:pPr>
      <w:r w:rsidRPr="000E1C65">
        <w:t>having knowledge of and/or experience using the latest techniques and processes</w:t>
      </w:r>
    </w:p>
    <w:p w:rsidR="00000000" w:rsidRPr="000E1C65" w:rsidP="000E1C65">
      <w:pPr>
        <w:pStyle w:val="ListBullet"/>
      </w:pPr>
      <w:r w:rsidRPr="000E1C65">
        <w:t>possessing a high level of RII training product knowledge</w:t>
      </w:r>
    </w:p>
    <w:p w:rsidR="00000000" w:rsidRPr="000E1C65" w:rsidP="000E1C65">
      <w:pPr>
        <w:pStyle w:val="ListBullet"/>
      </w:pPr>
      <w:r w:rsidRPr="000E1C65">
        <w:t>having understanding and knowledge of legislation and regulations relevant to the industry and to employment and workplaces</w:t>
      </w:r>
    </w:p>
    <w:p w:rsidR="00000000" w:rsidRPr="000E1C65" w:rsidP="000E1C65">
      <w:pPr>
        <w:pStyle w:val="ListBullet"/>
      </w:pPr>
      <w:r w:rsidRPr="000E1C65">
        <w:t>possessing formal industry and training qualifications to the level being</w:t>
      </w:r>
      <w:r w:rsidRPr="000E1C65">
        <w:t xml:space="preserve"> assessed</w:t>
      </w:r>
    </w:p>
    <w:p w:rsidR="00000000" w:rsidRPr="000E1C65" w:rsidP="000E1C65">
      <w:pPr>
        <w:pStyle w:val="ListBullet"/>
      </w:pPr>
      <w:r w:rsidRPr="000E1C65">
        <w:t>demonstrating the performance evidence and knowledge evidence outlined in this unit of competency, and through the minimum years of current* work experience specified below in an industry sector relevant to the outcomes of the unit.</w:t>
      </w:r>
    </w:p>
    <w:p w:rsidR="00000000" w:rsidRPr="000E1C65" w:rsidP="0071262E">
      <w:pPr>
        <w:pStyle w:val="BodyText"/>
      </w:pPr>
      <w:r w:rsidRPr="000E1C65">
        <w:t>Where the ass</w:t>
      </w:r>
      <w:r w:rsidRPr="000E1C65">
        <w:t>essor does not meet experience requirements, a co-assessment or partnership arrangement must exist between the qualified assessor and an industry subject matter expert. The industry subject matter expert should hold the unit being assessed (or an equivalen</w:t>
      </w:r>
      <w:r w:rsidRPr="000E1C65">
        <w:t>t unit), and must also demonstrate skills and knowledge from the minimum years of current work experience specified below, including time spent in roles related to the unit being assessed.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8"/>
        <w:gridCol w:w="2345"/>
        <w:gridCol w:w="3177"/>
      </w:tblGrid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Heading4"/>
              <w:rPr>
                <w:lang w:val="en-NZ"/>
              </w:rPr>
            </w:pPr>
            <w:r w:rsidRPr="000E1C65">
              <w:t>Industry sector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Heading4"/>
              <w:rPr>
                <w:lang w:val="en-NZ"/>
              </w:rPr>
            </w:pPr>
            <w:r w:rsidRPr="000E1C65">
              <w:t>AQF** level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Heading4"/>
              <w:rPr>
                <w:lang w:val="en-NZ"/>
              </w:rPr>
            </w:pPr>
            <w:r w:rsidRPr="000E1C65">
              <w:t>Required assessor or industry subject matter expert experience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Drilling, Metalliferous Mining, Coal Mining, Extractive (Quarrying) and Civil Construction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1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1 Year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2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2 Years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 xml:space="preserve">Drilling, Coal Mining and Extractive (Quarrying)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3-6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3 Years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Metalliferous Mining and Civil Construction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3-6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5 Years</w:t>
            </w:r>
          </w:p>
        </w:tc>
      </w:tr>
      <w:tr w:rsidTr="000E1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1C65">
            <w:pPr>
              <w:pStyle w:val="BodyText"/>
              <w:rPr>
                <w:lang w:val="en-NZ"/>
              </w:rPr>
            </w:pPr>
            <w:r w:rsidRPr="000E1C65">
              <w:t>Other sectors</w:t>
            </w:r>
          </w:p>
        </w:tc>
        <w:tc>
          <w:tcPr>
            <w:tcW w:w="5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1C65" w:rsidP="000E1C65">
            <w:pPr>
              <w:pStyle w:val="BodyText"/>
            </w:pPr>
            <w:r w:rsidRPr="000E1C65">
              <w:t>Where this unit is being assessed outside of the resources and infrastructure sectors, assessor and/or industry subject matter expert experience should be in line with industry standard</w:t>
            </w:r>
            <w:r w:rsidRPr="000E1C65">
              <w:t>s for the sector in which it is being assessed and, where no industry standard is specified, should comply with any relevant regulation.</w:t>
            </w:r>
          </w:p>
        </w:tc>
      </w:tr>
    </w:tbl>
    <w:p w:rsidR="00000000" w:rsidRPr="000E1C65" w:rsidP="0071262E">
      <w:pPr>
        <w:pStyle w:val="BodyText"/>
      </w:pPr>
      <w:r w:rsidRPr="000E1C65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0E1C65">
        <w:t>cross various locations.</w:t>
      </w:r>
    </w:p>
    <w:p w:rsidR="0071262E" w:rsidP="0071262E">
      <w:pPr>
        <w:pStyle w:val="BodyText"/>
      </w:pPr>
      <w:r w:rsidRPr="000E1C65">
        <w:t>**Where a unit is being delivered outside of a qualification, the first numeric character in the unit code should be considered to indicate the AQF level.</w:t>
      </w:r>
    </w:p>
    <w:p w:rsidR="00000000" w:rsidRPr="000E1C65" w:rsidP="000E1C65">
      <w:pPr>
        <w:pStyle w:val="Heading1"/>
      </w:pPr>
      <w:bookmarkStart w:id="5" w:name="O_1012109"/>
      <w:bookmarkEnd w:id="5"/>
      <w:r w:rsidRPr="000E1C65">
        <w:t>Links</w:t>
      </w:r>
    </w:p>
    <w:p w:rsidR="00000000" w:rsidRPr="000E1C65" w:rsidP="0071262E">
      <w:pPr>
        <w:pStyle w:val="BodyText"/>
      </w:pPr>
      <w:r w:rsidRPr="000E1C65">
        <w:t>Companion Volume implementation guides are found i</w:t>
      </w:r>
      <w:r w:rsidRPr="000E1C65">
        <w:t xml:space="preserve">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310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1C65" w:rsidP="000E1C65"/>
    <w:sectPr w:rsidSect="000E1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65" w:rsidRPr="0071262E" w:rsidP="00712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2E" w:rsidP="000E1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62E" w:rsidP="000E1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262E" w:rsidP="000E1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C65" w:rsidRPr="0071262E" w:rsidP="00712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62E" w:rsidRPr="002D2AF8" w:rsidP="000E1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RIIBLA202F Support underground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262E" w:rsidP="000E1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9A3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CA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E9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C65"/>
  </w:style>
  <w:style w:type="character" w:customStyle="1" w:styleId="Heading1Char">
    <w:name w:val="Heading 1 Char"/>
    <w:basedOn w:val="DefaultParagraphFont"/>
    <w:link w:val="Heading1"/>
    <w:rsid w:val="000E1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C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E1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C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C65"/>
    <w:rPr>
      <w:b/>
      <w:spacing w:val="0"/>
    </w:rPr>
  </w:style>
  <w:style w:type="paragraph" w:styleId="ListBullet2">
    <w:name w:val="List Bullet 2"/>
    <w:basedOn w:val="List2"/>
    <w:rsid w:val="000E1C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C65"/>
    <w:rPr>
      <w:i/>
    </w:rPr>
  </w:style>
  <w:style w:type="paragraph" w:styleId="Caption">
    <w:name w:val="caption"/>
    <w:basedOn w:val="BodyText"/>
    <w:next w:val="Normal"/>
    <w:qFormat/>
    <w:rsid w:val="000E1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C65"/>
  </w:style>
  <w:style w:type="paragraph" w:styleId="TableofFigures">
    <w:name w:val="table of figures"/>
    <w:basedOn w:val="Normal"/>
    <w:next w:val="Normal"/>
    <w:semiHidden/>
    <w:rsid w:val="000E1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C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C65"/>
    <w:rPr>
      <w:rFonts w:ascii="Wingdings" w:hAnsi="Wingdings"/>
    </w:rPr>
  </w:style>
  <w:style w:type="paragraph" w:customStyle="1" w:styleId="TableHeading">
    <w:name w:val="Table Heading"/>
    <w:basedOn w:val="HeadingBase"/>
    <w:rsid w:val="000E1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C65"/>
    <w:rPr>
      <w:color w:val="0033CC"/>
      <w:u w:val="none"/>
    </w:rPr>
  </w:style>
  <w:style w:type="paragraph" w:customStyle="1" w:styleId="BodyTextRight">
    <w:name w:val="Body Text Right"/>
    <w:basedOn w:val="BodyText"/>
    <w:rsid w:val="000E1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C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C65"/>
    <w:rPr>
      <w:sz w:val="32"/>
    </w:rPr>
  </w:style>
  <w:style w:type="paragraph" w:customStyle="1" w:styleId="HeadingProcedure">
    <w:name w:val="Heading Procedure"/>
    <w:basedOn w:val="HeadingBase"/>
    <w:next w:val="Normal"/>
    <w:rsid w:val="000E1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C65"/>
    <w:pPr>
      <w:spacing w:before="60" w:after="60"/>
    </w:pPr>
  </w:style>
  <w:style w:type="paragraph" w:styleId="ListContinue">
    <w:name w:val="List Continue"/>
    <w:basedOn w:val="List"/>
    <w:rsid w:val="000E1C65"/>
    <w:pPr>
      <w:ind w:firstLine="0"/>
    </w:pPr>
  </w:style>
  <w:style w:type="paragraph" w:customStyle="1" w:styleId="ListNote">
    <w:name w:val="List Note"/>
    <w:basedOn w:val="List"/>
    <w:rsid w:val="000E1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C65"/>
    <w:rPr>
      <w:rFonts w:ascii="Courier New" w:hAnsi="Courier New"/>
    </w:rPr>
  </w:style>
  <w:style w:type="paragraph" w:customStyle="1" w:styleId="NoteBullet">
    <w:name w:val="Note Bullet"/>
    <w:basedOn w:val="Note"/>
    <w:rsid w:val="000E1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C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C65"/>
    <w:rPr>
      <w:b/>
      <w:smallCaps/>
    </w:rPr>
  </w:style>
  <w:style w:type="paragraph" w:customStyle="1" w:styleId="TableListNumber">
    <w:name w:val="Table List Number"/>
    <w:basedOn w:val="ListNumber"/>
    <w:rsid w:val="000E1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C65"/>
    <w:pPr>
      <w:numPr>
        <w:numId w:val="9"/>
      </w:numPr>
    </w:pPr>
  </w:style>
  <w:style w:type="paragraph" w:customStyle="1" w:styleId="ListAlpha2">
    <w:name w:val="List Alpha 2"/>
    <w:basedOn w:val="List2"/>
    <w:rsid w:val="000E1C65"/>
    <w:pPr>
      <w:numPr>
        <w:numId w:val="8"/>
      </w:numPr>
    </w:pPr>
  </w:style>
  <w:style w:type="paragraph" w:styleId="List2">
    <w:name w:val="List 2"/>
    <w:basedOn w:val="BodyText"/>
    <w:rsid w:val="000E1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C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C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C65"/>
    <w:pPr>
      <w:numPr>
        <w:numId w:val="4"/>
      </w:numPr>
    </w:pPr>
  </w:style>
  <w:style w:type="paragraph" w:styleId="ListContinue2">
    <w:name w:val="List Continue 2"/>
    <w:basedOn w:val="List2"/>
    <w:rsid w:val="000E1C65"/>
    <w:pPr>
      <w:ind w:firstLine="0"/>
    </w:pPr>
  </w:style>
  <w:style w:type="paragraph" w:styleId="ListContinue3">
    <w:name w:val="List Continue 3"/>
    <w:basedOn w:val="List3"/>
    <w:rsid w:val="000E1C65"/>
    <w:pPr>
      <w:ind w:left="1021" w:firstLine="0"/>
    </w:pPr>
  </w:style>
  <w:style w:type="paragraph" w:styleId="ListContinue4">
    <w:name w:val="List Continue 4"/>
    <w:basedOn w:val="List4"/>
    <w:rsid w:val="000E1C65"/>
    <w:pPr>
      <w:ind w:firstLine="0"/>
    </w:pPr>
  </w:style>
  <w:style w:type="paragraph" w:styleId="ListContinue5">
    <w:name w:val="List Continue 5"/>
    <w:basedOn w:val="List5"/>
    <w:rsid w:val="000E1C65"/>
    <w:pPr>
      <w:ind w:firstLine="0"/>
    </w:pPr>
  </w:style>
  <w:style w:type="paragraph" w:styleId="ListNumber3">
    <w:name w:val="List Number 3"/>
    <w:basedOn w:val="List3"/>
    <w:rsid w:val="000E1C65"/>
    <w:pPr>
      <w:numPr>
        <w:numId w:val="5"/>
      </w:numPr>
    </w:pPr>
  </w:style>
  <w:style w:type="paragraph" w:styleId="ListNumber4">
    <w:name w:val="List Number 4"/>
    <w:basedOn w:val="List4"/>
    <w:rsid w:val="000E1C65"/>
    <w:pPr>
      <w:numPr>
        <w:numId w:val="6"/>
      </w:numPr>
    </w:pPr>
  </w:style>
  <w:style w:type="paragraph" w:styleId="ListNumber5">
    <w:name w:val="List Number 5"/>
    <w:basedOn w:val="List5"/>
    <w:rsid w:val="000E1C65"/>
    <w:pPr>
      <w:numPr>
        <w:numId w:val="7"/>
      </w:numPr>
    </w:pPr>
  </w:style>
  <w:style w:type="paragraph" w:styleId="BlockText">
    <w:name w:val="Block Text"/>
    <w:basedOn w:val="Normal"/>
    <w:rsid w:val="000E1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C65"/>
    <w:rPr>
      <w:sz w:val="16"/>
      <w:vertAlign w:val="superscript"/>
    </w:rPr>
  </w:style>
  <w:style w:type="character" w:customStyle="1" w:styleId="Symbols">
    <w:name w:val="Symbols"/>
    <w:basedOn w:val="DefaultParagraphFont"/>
    <w:rsid w:val="000E1C65"/>
    <w:rPr>
      <w:rFonts w:ascii="Symbol" w:hAnsi="Symbol"/>
    </w:rPr>
  </w:style>
  <w:style w:type="character" w:customStyle="1" w:styleId="MenuOptions">
    <w:name w:val="Menu Options"/>
    <w:basedOn w:val="DefaultParagraphFont"/>
    <w:rsid w:val="000E1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C65"/>
    <w:rPr>
      <w:b/>
    </w:rPr>
  </w:style>
  <w:style w:type="character" w:customStyle="1" w:styleId="Underlined">
    <w:name w:val="Underlined"/>
    <w:basedOn w:val="DefaultParagraphFont"/>
    <w:rsid w:val="000E1C65"/>
    <w:rPr>
      <w:u w:val="single"/>
    </w:rPr>
  </w:style>
  <w:style w:type="paragraph" w:customStyle="1" w:styleId="TableBodyTextRight">
    <w:name w:val="Table Body Text Right"/>
    <w:basedOn w:val="TableBodyText"/>
    <w:rsid w:val="000E1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C65"/>
    <w:rPr>
      <w:sz w:val="18"/>
    </w:rPr>
  </w:style>
  <w:style w:type="paragraph" w:customStyle="1" w:styleId="BodySmallRight">
    <w:name w:val="Body Small Right"/>
    <w:basedOn w:val="BodyTextRight"/>
    <w:rsid w:val="000E1C65"/>
    <w:rPr>
      <w:sz w:val="18"/>
      <w:szCs w:val="18"/>
    </w:rPr>
  </w:style>
  <w:style w:type="paragraph" w:customStyle="1" w:styleId="MarginEdition">
    <w:name w:val="Margin Edition"/>
    <w:basedOn w:val="MarginNote"/>
    <w:rsid w:val="000E1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C65"/>
    <w:rPr>
      <w:sz w:val="2"/>
      <w:szCs w:val="2"/>
    </w:rPr>
  </w:style>
  <w:style w:type="character" w:customStyle="1" w:styleId="Small">
    <w:name w:val="Small"/>
    <w:basedOn w:val="DefaultParagraphFont"/>
    <w:rsid w:val="000E1C65"/>
    <w:rPr>
      <w:sz w:val="16"/>
    </w:rPr>
  </w:style>
  <w:style w:type="paragraph" w:customStyle="1" w:styleId="WideTable">
    <w:name w:val="Wide Table"/>
    <w:basedOn w:val="Normal"/>
    <w:rsid w:val="000E1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C65"/>
  </w:style>
  <w:style w:type="paragraph" w:styleId="Quote">
    <w:name w:val="Quote"/>
    <w:basedOn w:val="Heading1"/>
    <w:link w:val="QuoteChar"/>
    <w:qFormat/>
    <w:rsid w:val="000E1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C65"/>
    <w:pPr>
      <w:pageBreakBefore/>
    </w:pPr>
  </w:style>
  <w:style w:type="paragraph" w:customStyle="1" w:styleId="Border">
    <w:name w:val="Border"/>
    <w:basedOn w:val="Normal"/>
    <w:qFormat/>
    <w:rsid w:val="000E1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C65"/>
    <w:rPr>
      <w:u w:val="single"/>
    </w:rPr>
  </w:style>
  <w:style w:type="character" w:customStyle="1" w:styleId="BoldandItalics">
    <w:name w:val="Bold and Italics"/>
    <w:qFormat/>
    <w:rsid w:val="000E1C65"/>
    <w:rPr>
      <w:b/>
      <w:i/>
      <w:u w:val="none"/>
    </w:rPr>
  </w:style>
  <w:style w:type="paragraph" w:styleId="BalloonText">
    <w:name w:val="Balloon Text"/>
    <w:basedOn w:val="Normal"/>
    <w:link w:val="BalloonTextChar"/>
    <w:rsid w:val="000E1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C65"/>
    <w:pPr>
      <w:spacing w:before="0" w:after="0"/>
    </w:pPr>
  </w:style>
  <w:style w:type="paragraph" w:customStyle="1" w:styleId="BodyTextBold">
    <w:name w:val="Body Text Bold"/>
    <w:basedOn w:val="BodyText"/>
    <w:qFormat/>
    <w:rsid w:val="000E1C65"/>
    <w:rPr>
      <w:b/>
    </w:rPr>
  </w:style>
  <w:style w:type="character" w:styleId="Hyperlink">
    <w:name w:val="Hyperlink"/>
    <w:basedOn w:val="DefaultParagraphFont"/>
    <w:uiPriority w:val="99"/>
    <w:unhideWhenUsed/>
    <w:rsid w:val="00712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5524</Characters>
  <Application>Microsoft Office Word</Application>
  <DocSecurity>0</DocSecurity>
  <Lines>145</Lines>
  <Paragraphs>104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RIIBLA202F Support underground shotfiring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