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7E1A" w:rsidP="00537E1A">
      <w:pPr>
        <w:pStyle w:val="Title"/>
      </w:pPr>
      <w:r>
        <w:fldChar w:fldCharType="begin"/>
      </w:r>
      <w:r>
        <w:instrText xml:space="preserve"> TITLE   \* MERGEFORMAT </w:instrText>
      </w:r>
      <w:r>
        <w:fldChar w:fldCharType="separate"/>
      </w:r>
      <w:r>
        <w:t>Assessment Requirements for RIIBEF302D Monitor site production activities</w:t>
      </w:r>
      <w:r>
        <w:fldChar w:fldCharType="end"/>
      </w:r>
    </w:p>
    <w:p w:rsidR="00537E1A" w:rsidP="00537E1A">
      <w:pPr>
        <w:pStyle w:val="Version"/>
        <w:sectPr w:rsidSect="00C73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3997" w:rsidP="00C73997">
      <w:pPr>
        <w:pStyle w:val="SuperHeading"/>
      </w:pPr>
      <w:r w:rsidRPr="00C73997">
        <w:t>Assessment Requirements for RIIBEF302D Monitor site production activities</w:t>
      </w:r>
    </w:p>
    <w:p w:rsidR="00000000" w:rsidRPr="00C73997" w:rsidP="00C73997">
      <w:pPr>
        <w:pStyle w:val="Heading1"/>
      </w:pPr>
      <w:bookmarkStart w:id="1" w:name="O_673425"/>
      <w:bookmarkEnd w:id="1"/>
      <w:r w:rsidRPr="00C73997">
        <w:t>Modification History</w:t>
      </w:r>
    </w:p>
    <w:tbl>
      <w:tblPr>
        <w:tblW w:w="0" w:type="auto"/>
        <w:tblCellMar>
          <w:left w:w="62" w:type="dxa"/>
          <w:right w:w="62" w:type="dxa"/>
        </w:tblCellMar>
        <w:tblLook w:val="0000"/>
      </w:tblPr>
      <w:tblGrid>
        <w:gridCol w:w="1107"/>
        <w:gridCol w:w="8089"/>
      </w:tblGrid>
      <w:tr w:rsidTr="00537E1A">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997">
            <w:pPr>
              <w:pStyle w:val="Heading4"/>
              <w:rPr>
                <w:lang w:val="en-NZ"/>
              </w:rPr>
            </w:pPr>
            <w:r w:rsidRPr="00C7399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997">
            <w:pPr>
              <w:pStyle w:val="Heading4"/>
              <w:rPr>
                <w:lang w:val="en-NZ"/>
              </w:rPr>
            </w:pPr>
            <w:r w:rsidRPr="00C73997">
              <w:t>Comment</w:t>
            </w:r>
          </w:p>
        </w:tc>
      </w:tr>
      <w:tr w:rsidTr="00537E1A">
        <w:tblPrEx>
          <w:tblW w:w="0" w:type="auto"/>
          <w:tblCellMar>
            <w:left w:w="62" w:type="dxa"/>
            <w:right w:w="62" w:type="dxa"/>
          </w:tblCellMar>
          <w:tblLook w:val="0000"/>
        </w:tblPrEx>
        <w:trPr>
          <w:trHeight w:val="70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997">
            <w:pPr>
              <w:pStyle w:val="BodyText"/>
              <w:rPr>
                <w:lang w:val="en-NZ"/>
              </w:rPr>
            </w:pPr>
            <w:r w:rsidRPr="00C7399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997">
            <w:pPr>
              <w:pStyle w:val="BodyText"/>
              <w:rPr>
                <w:lang w:val="en-NZ"/>
              </w:rPr>
            </w:pPr>
            <w:r w:rsidRPr="00C73997">
              <w:t>This unit replaces RIIBEF302A Monitor site production activities</w:t>
            </w:r>
          </w:p>
        </w:tc>
      </w:tr>
      <w:tr w:rsidTr="00537E1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997">
            <w:pPr>
              <w:pStyle w:val="BodyText"/>
              <w:rPr>
                <w:lang w:val="en-NZ"/>
              </w:rPr>
            </w:pPr>
            <w:r w:rsidRPr="00C7399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997" w:rsidP="00C73997">
            <w:pPr>
              <w:pStyle w:val="BodyText"/>
            </w:pPr>
            <w:r w:rsidRPr="00C73997">
              <w:t>Required frequency and volume of evidence amended in Performance evidence.</w:t>
            </w:r>
          </w:p>
          <w:p w:rsidR="00000000" w:rsidRPr="00C73997" w:rsidP="00C73997">
            <w:pPr>
              <w:pStyle w:val="BodyText"/>
            </w:pPr>
            <w:r w:rsidRPr="00C73997">
              <w:t>Substantial amendments made in Assessment Conditions field, including: references to Industry Sectors, assessor and subject matter expert experience requirements, how assessment sho</w:t>
            </w:r>
            <w:r w:rsidRPr="00C73997">
              <w:t>uld be conducted and what it should confirm.</w:t>
            </w:r>
          </w:p>
        </w:tc>
      </w:tr>
    </w:tbl>
    <w:p w:rsidR="00000000" w:rsidRPr="00C73997" w:rsidP="00C73997">
      <w:pPr>
        <w:pStyle w:val="BodyText"/>
      </w:pPr>
    </w:p>
    <w:p w:rsidR="00000000" w:rsidRPr="00C73997" w:rsidP="00C73997">
      <w:pPr>
        <w:pStyle w:val="AllowPageBreak"/>
      </w:pPr>
    </w:p>
    <w:p w:rsidR="00000000" w:rsidRPr="00C73997" w:rsidP="00C73997">
      <w:pPr>
        <w:pStyle w:val="Heading1"/>
      </w:pPr>
      <w:bookmarkStart w:id="2" w:name="O_673424"/>
      <w:bookmarkEnd w:id="2"/>
      <w:r w:rsidRPr="00C73997">
        <w:t>Performance Evidence</w:t>
      </w:r>
    </w:p>
    <w:p w:rsidR="00000000" w:rsidRPr="00C73997" w:rsidP="00537E1A">
      <w:pPr>
        <w:pStyle w:val="BodyText"/>
      </w:pPr>
      <w:r w:rsidRPr="00C73997">
        <w:t>Evidence is required to be collected that demonstrates a candidate’s competency in this unit. Evidence must be relevant to the roles within this sector’</w:t>
      </w:r>
      <w:r w:rsidRPr="00C73997">
        <w:t>s work operations and satisfy all of the requirements of the performance criteria of this unit and include evidence that the candidate:</w:t>
      </w:r>
    </w:p>
    <w:p w:rsidR="00000000" w:rsidRPr="00C73997" w:rsidP="00C73997">
      <w:pPr>
        <w:pStyle w:val="ListBullet"/>
      </w:pPr>
      <w:r w:rsidRPr="00C73997">
        <w:t>locates and applies relevant documentation, policies and procedures</w:t>
      </w:r>
    </w:p>
    <w:p w:rsidR="00000000" w:rsidRPr="00C73997" w:rsidP="00C73997">
      <w:pPr>
        <w:pStyle w:val="ListBullet"/>
      </w:pPr>
      <w:r w:rsidRPr="00C73997">
        <w:t>implements the requirements, procedures and techniq</w:t>
      </w:r>
      <w:r w:rsidRPr="00C73997">
        <w:t>ues for the safe, effective and efficient completion of monitoring of site production activities including:</w:t>
      </w:r>
    </w:p>
    <w:p w:rsidR="00000000" w:rsidRPr="00C73997" w:rsidP="00C73997">
      <w:pPr>
        <w:pStyle w:val="ListBullet2"/>
      </w:pPr>
      <w:r w:rsidRPr="00C73997">
        <w:t>operating computers to communicate with others and monitor site production activities</w:t>
      </w:r>
    </w:p>
    <w:p w:rsidR="00000000" w:rsidRPr="00C73997" w:rsidP="00C73997">
      <w:pPr>
        <w:pStyle w:val="ListBullet"/>
      </w:pPr>
      <w:r w:rsidRPr="00C73997">
        <w:t>applying diagnostic techniques to improve and resolve issues</w:t>
      </w:r>
      <w:r w:rsidRPr="00C73997">
        <w:t xml:space="preserve"> for site production</w:t>
      </w:r>
    </w:p>
    <w:p w:rsidR="00000000" w:rsidRPr="00C73997" w:rsidP="00C73997">
      <w:pPr>
        <w:pStyle w:val="ListBullet"/>
      </w:pPr>
      <w:r w:rsidRPr="00C73997">
        <w:t>works effectively with others to undertake and complete the site production activities that meets all of the required outcomes including:</w:t>
      </w:r>
    </w:p>
    <w:p w:rsidR="00000000" w:rsidRPr="00C73997" w:rsidP="00C73997">
      <w:pPr>
        <w:pStyle w:val="ListBullet2"/>
      </w:pPr>
      <w:r w:rsidRPr="00C73997">
        <w:t>working effectively in a team to problem solve, monitor and maintain site production activities</w:t>
      </w:r>
    </w:p>
    <w:p w:rsidR="00000000" w:rsidRPr="00C73997" w:rsidP="00C73997">
      <w:pPr>
        <w:pStyle w:val="ListBullet2"/>
      </w:pPr>
      <w:r w:rsidRPr="00C73997">
        <w:t>participating in shift change over and communicates details clearly and concisely to others</w:t>
      </w:r>
    </w:p>
    <w:p w:rsidR="00000000" w:rsidRPr="00C73997" w:rsidP="00C73997">
      <w:pPr>
        <w:pStyle w:val="ListBullet"/>
      </w:pPr>
      <w:r w:rsidRPr="00C73997">
        <w:t>demonstrates completion of monitoring site production activities that safely, effectively and efficiently meets all of the required outcomes on more than one (1) o</w:t>
      </w:r>
      <w:r w:rsidRPr="00C73997">
        <w:t>ccasion including:</w:t>
      </w:r>
    </w:p>
    <w:p w:rsidR="00000000" w:rsidRPr="00C73997" w:rsidP="00C73997">
      <w:pPr>
        <w:pStyle w:val="ListBullet2"/>
      </w:pPr>
      <w:r w:rsidRPr="00C73997">
        <w:t>determining risks and hazards that may affect operations and takes action within their authority to remedy</w:t>
      </w:r>
    </w:p>
    <w:p w:rsidR="00000000" w:rsidRPr="00C73997" w:rsidP="00C73997">
      <w:pPr>
        <w:pStyle w:val="ListBullet2"/>
      </w:pPr>
      <w:r w:rsidRPr="00C73997">
        <w:t>reporting risks and hazards to others when unable to remedy</w:t>
      </w:r>
    </w:p>
    <w:p w:rsidR="00000000" w:rsidRPr="00C73997" w:rsidP="00C73997">
      <w:pPr>
        <w:pStyle w:val="ListBullet2"/>
      </w:pPr>
      <w:r w:rsidRPr="00C73997">
        <w:t>monitoring and reporting  plant and machinery activity</w:t>
      </w:r>
    </w:p>
    <w:p w:rsidR="00000000" w:rsidRPr="00C73997" w:rsidP="00C73997">
      <w:pPr>
        <w:pStyle w:val="ListBullet2"/>
      </w:pPr>
      <w:r w:rsidRPr="00C73997">
        <w:t>maintaining wr</w:t>
      </w:r>
      <w:r w:rsidRPr="00C73997">
        <w:t>itten logs of:</w:t>
      </w:r>
    </w:p>
    <w:p w:rsidR="00000000" w:rsidRPr="00C73997" w:rsidP="00C73997">
      <w:pPr>
        <w:pStyle w:val="ListBullet3"/>
      </w:pPr>
      <w:r w:rsidRPr="00C73997">
        <w:t>hauling equipment to loading equipment</w:t>
      </w:r>
    </w:p>
    <w:p w:rsidR="00000000" w:rsidRPr="00C73997" w:rsidP="00C73997">
      <w:pPr>
        <w:pStyle w:val="ListBullet3"/>
      </w:pPr>
      <w:r w:rsidRPr="00C73997">
        <w:t>the movement of plant/equipment and the quantities of materials moved</w:t>
      </w:r>
    </w:p>
    <w:p w:rsidR="00000000" w:rsidRPr="00C73997" w:rsidP="00C73997">
      <w:pPr>
        <w:pStyle w:val="ListBullet3"/>
      </w:pPr>
      <w:r w:rsidRPr="00C73997">
        <w:t>interpreting relevant data</w:t>
      </w:r>
    </w:p>
    <w:p w:rsidR="00000000" w:rsidRPr="00C73997" w:rsidP="00C73997">
      <w:pPr>
        <w:pStyle w:val="AllowPageBreak"/>
      </w:pPr>
    </w:p>
    <w:p w:rsidR="00000000" w:rsidRPr="00C73997" w:rsidP="00C73997">
      <w:pPr>
        <w:pStyle w:val="Heading1"/>
      </w:pPr>
      <w:bookmarkStart w:id="3" w:name="O_673423"/>
      <w:bookmarkEnd w:id="3"/>
      <w:r w:rsidRPr="00C73997">
        <w:t>Knowledge Evidence</w:t>
      </w:r>
    </w:p>
    <w:p w:rsidR="00000000" w:rsidRPr="00C73997" w:rsidP="00537E1A">
      <w:pPr>
        <w:pStyle w:val="BodyText"/>
      </w:pPr>
      <w:r w:rsidRPr="00C73997">
        <w:t>The candidate must demonstrate knowledge of monitoring site production activities through:</w:t>
      </w:r>
    </w:p>
    <w:p w:rsidR="00000000" w:rsidRPr="00C73997" w:rsidP="00C73997">
      <w:pPr>
        <w:pStyle w:val="ListBullet"/>
      </w:pPr>
      <w:r w:rsidRPr="00C73997">
        <w:t>relevant  organisational policy and procedures</w:t>
      </w:r>
    </w:p>
    <w:p w:rsidR="00000000" w:rsidRPr="00C73997" w:rsidP="00C73997">
      <w:pPr>
        <w:pStyle w:val="ListBullet"/>
      </w:pPr>
      <w:r w:rsidRPr="00C73997">
        <w:t>using computerised monitoring and control systems</w:t>
      </w:r>
    </w:p>
    <w:p w:rsidR="00000000" w:rsidRPr="00C73997" w:rsidP="00C73997">
      <w:pPr>
        <w:pStyle w:val="ListBullet"/>
      </w:pPr>
      <w:r w:rsidRPr="00C73997">
        <w:t>monitoring, recording and generating reports</w:t>
      </w:r>
    </w:p>
    <w:p w:rsidR="00000000" w:rsidRPr="00C73997" w:rsidP="00C73997">
      <w:pPr>
        <w:pStyle w:val="ListBullet"/>
      </w:pPr>
      <w:r w:rsidRPr="00C73997">
        <w:t>allocating and re-allo</w:t>
      </w:r>
      <w:r w:rsidRPr="00C73997">
        <w:t>cating site equipment and personnel</w:t>
      </w:r>
    </w:p>
    <w:p w:rsidR="00000000" w:rsidRPr="00C73997" w:rsidP="00C73997">
      <w:pPr>
        <w:pStyle w:val="ListBullet"/>
      </w:pPr>
      <w:r w:rsidRPr="00C73997">
        <w:t>consolidating end-of-shift reports</w:t>
      </w:r>
    </w:p>
    <w:p w:rsidR="00000000" w:rsidRPr="00C73997" w:rsidP="00C73997">
      <w:pPr>
        <w:pStyle w:val="ListBullet"/>
      </w:pPr>
      <w:r w:rsidRPr="00C73997">
        <w:t>managing and adapting shift production priorities</w:t>
      </w:r>
    </w:p>
    <w:p w:rsidR="00000000" w:rsidRPr="00C73997" w:rsidP="00C73997">
      <w:pPr>
        <w:pStyle w:val="ListBullet"/>
      </w:pPr>
      <w:r w:rsidRPr="00C73997">
        <w:t>complying with control and access to site</w:t>
      </w:r>
    </w:p>
    <w:p w:rsidR="00000000" w:rsidRPr="00C73997" w:rsidP="00C73997">
      <w:pPr>
        <w:pStyle w:val="AllowPageBreak"/>
      </w:pPr>
    </w:p>
    <w:p w:rsidR="00000000" w:rsidRPr="00C73997" w:rsidP="00C73997">
      <w:pPr>
        <w:pStyle w:val="Heading1"/>
      </w:pPr>
      <w:bookmarkStart w:id="4" w:name="O_673422"/>
      <w:bookmarkEnd w:id="4"/>
      <w:r w:rsidRPr="00C73997">
        <w:t>Assessment Conditions</w:t>
      </w:r>
    </w:p>
    <w:p w:rsidR="00000000" w:rsidRPr="00C73997" w:rsidP="00C73997">
      <w:pPr>
        <w:pStyle w:val="ListBullet"/>
      </w:pPr>
      <w:r w:rsidRPr="00C73997">
        <w:t xml:space="preserve">An assessor of this unit must satisfy the requirements of the NVR/AQTF or their successors; and Industry regulations for certification and licensing: and, </w:t>
      </w:r>
    </w:p>
    <w:p w:rsidR="00000000" w:rsidRPr="00C73997" w:rsidP="00C73997">
      <w:pPr>
        <w:pStyle w:val="ListBullet"/>
      </w:pPr>
      <w:r w:rsidRPr="00C73997">
        <w:t>this unit must be assessed in the context of this sector’s work environment; and,</w:t>
      </w:r>
    </w:p>
    <w:p w:rsidR="00000000" w:rsidRPr="00C73997" w:rsidP="00C73997">
      <w:pPr>
        <w:pStyle w:val="ListBullet"/>
      </w:pPr>
      <w:r w:rsidRPr="00C73997">
        <w:t xml:space="preserve">this unit must be </w:t>
      </w:r>
      <w:r w:rsidRPr="00C73997">
        <w:t>assessed in compliance with relevant legislation/regulation and using policies, procedures, processes and operational manuals directly related to the industry sector for which it is being assessed; and,</w:t>
      </w:r>
    </w:p>
    <w:p w:rsidR="00000000" w:rsidRPr="00C73997" w:rsidP="00C73997">
      <w:pPr>
        <w:pStyle w:val="ListBullet"/>
      </w:pPr>
      <w:r w:rsidRPr="00C73997">
        <w:t>assessment may be conducted in conjunction with the a</w:t>
      </w:r>
      <w:r w:rsidRPr="00C73997">
        <w:t>ssessment of other Units of Competency; and,</w:t>
      </w:r>
    </w:p>
    <w:p w:rsidR="00000000" w:rsidRPr="00C73997" w:rsidP="00C73997">
      <w:pPr>
        <w:pStyle w:val="ListBullet"/>
      </w:pPr>
      <w:r w:rsidRPr="00C73997">
        <w:t>assessment must confirm consistent performance can be applied in a range of relevant workplace circumstances; and,</w:t>
      </w:r>
    </w:p>
    <w:p w:rsidR="00000000" w:rsidRPr="00C73997" w:rsidP="00C73997">
      <w:pPr>
        <w:pStyle w:val="ListBullet"/>
      </w:pPr>
      <w:r w:rsidRPr="00C73997">
        <w:t xml:space="preserve">assessors must demonstrate the performance evidence, and knowledge evidence as outlined in this </w:t>
      </w:r>
      <w:r w:rsidRPr="00C73997">
        <w:t>Unit of Competency, and through the minimum years of current* work experience specified below in an Industry sector relevant to the outcomes of the unit; or,</w:t>
      </w:r>
    </w:p>
    <w:p w:rsidR="00000000" w:rsidRPr="00C73997" w:rsidP="00C73997">
      <w:pPr>
        <w:pStyle w:val="ListBullet"/>
      </w:pPr>
      <w:r w:rsidRPr="00C73997">
        <w:t>where the assessor does not meet experience requirements a co-assessment or partnership arrangemen</w:t>
      </w:r>
      <w:r w:rsidRPr="00C73997">
        <w:t>t must exist between the qualified assessor and an Industry subject matter expert. The Industry subject matter expert should hold the unit being assessed (or an equivalent unit) and/or demonstrate equivalence of skills and knowledge at the unit level. An I</w:t>
      </w:r>
      <w:r w:rsidRPr="00C73997">
        <w:t>ndustry technical expert must also demonstrate skills and knowledge from the minimum years of current work experience specified below in the Industry sector, including time spent in roles related to the unit being assessed; and,</w:t>
      </w:r>
    </w:p>
    <w:p w:rsidR="00000000" w:rsidRPr="00C73997" w:rsidP="00C73997">
      <w:pPr>
        <w:pStyle w:val="ListBullet"/>
      </w:pPr>
      <w:r w:rsidRPr="00C73997">
        <w:t>assessor and Industry subje</w:t>
      </w:r>
      <w:r w:rsidRPr="00C73997">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739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Heading4"/>
              <w:rPr>
                <w:lang w:val="en-NZ"/>
              </w:rPr>
            </w:pPr>
            <w:r w:rsidRPr="00C7399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Heading4"/>
              <w:rPr>
                <w:lang w:val="en-NZ"/>
              </w:rPr>
            </w:pPr>
            <w:r w:rsidRPr="00C7399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Heading4"/>
              <w:rPr>
                <w:lang w:val="en-NZ"/>
              </w:rPr>
            </w:pPr>
            <w:r w:rsidRPr="00C73997">
              <w:t>Required assessor or Industry subject matter expert exp</w:t>
            </w:r>
            <w:r w:rsidRPr="00C73997">
              <w:t>erience</w:t>
            </w:r>
          </w:p>
        </w:tc>
      </w:tr>
      <w:tr w:rsidTr="00C7399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 xml:space="preserve">Drilling, Metalliferous Mining, Coal </w:t>
            </w:r>
            <w:r w:rsidRPr="00C73997">
              <w:t>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1 Year</w:t>
            </w:r>
          </w:p>
        </w:tc>
      </w:tr>
      <w:tr w:rsidTr="00C7399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2 Years</w:t>
            </w:r>
          </w:p>
        </w:tc>
      </w:tr>
      <w:tr w:rsidTr="00C739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3 Years</w:t>
            </w:r>
          </w:p>
        </w:tc>
      </w:tr>
      <w:tr w:rsidTr="00C739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5 Years</w:t>
            </w:r>
          </w:p>
        </w:tc>
      </w:tr>
      <w:tr w:rsidTr="00C7399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3997">
            <w:pPr>
              <w:pStyle w:val="BodyText"/>
              <w:rPr>
                <w:lang w:val="en-NZ"/>
              </w:rPr>
            </w:pPr>
            <w:r w:rsidRPr="00C7399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3997" w:rsidP="00C73997">
            <w:pPr>
              <w:pStyle w:val="BodyText"/>
            </w:pPr>
            <w:r w:rsidRPr="00C73997">
              <w:t>Where this Unit is being assessed outside of the Resources and Infrastructure Sectors assessor and/or Industry subject matter expert experience should be in-line with industry standards for the sector in which it is being assessed and where no Industry sta</w:t>
            </w:r>
            <w:r w:rsidRPr="00C73997">
              <w:t>ndard is specified should comply with any relevant regulation.</w:t>
            </w:r>
          </w:p>
        </w:tc>
      </w:tr>
    </w:tbl>
    <w:p w:rsidR="00000000" w:rsidRPr="00C73997" w:rsidP="00537E1A">
      <w:pPr>
        <w:pStyle w:val="BodyText"/>
      </w:pPr>
      <w:r w:rsidRPr="00C73997">
        <w:t>*Assessors can demonstrate current work experience through employment within Industry in a role relevant to the outcomes of the Unit; or, for external assessors this can be demonstrated throu</w:t>
      </w:r>
      <w:r w:rsidRPr="00C73997">
        <w:t>gh exposure to Industry by conducting frequent site assessments across various locations.</w:t>
      </w:r>
    </w:p>
    <w:p w:rsidR="00000000" w:rsidRPr="00C73997" w:rsidP="00537E1A">
      <w:pPr>
        <w:pStyle w:val="BodyText"/>
      </w:pPr>
      <w:r w:rsidRPr="00C73997">
        <w:t>**Where a unit is being delivered outside of a Qualification the first numeric character in the Unit code should be considered to indicate the AQF level</w:t>
      </w:r>
    </w:p>
    <w:p w:rsidR="00000000" w:rsidRPr="00C73997" w:rsidP="00C73997">
      <w:pPr>
        <w:pStyle w:val="Heading1"/>
      </w:pPr>
      <w:bookmarkStart w:id="5" w:name="O_673433"/>
      <w:bookmarkEnd w:id="5"/>
      <w:r w:rsidRPr="00C73997">
        <w:t>Links</w:t>
      </w:r>
    </w:p>
    <w:p w:rsidR="00000000" w:rsidRPr="00C73997" w:rsidP="00537E1A">
      <w:pPr>
        <w:pStyle w:val="BodyText"/>
      </w:pPr>
      <w:r w:rsidRPr="00C7399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C63D7">
        <w:rPr>
          <w:rStyle w:val="Hyperlink"/>
        </w:rPr>
        <w:t>https://vetnet.gov.au/Pages/TrainingDocs.aspx?q=88a61002-9a21-4386-aaf8-69c76e675272</w:t>
      </w:r>
      <w:r>
        <w:fldChar w:fldCharType="end"/>
      </w:r>
    </w:p>
    <w:p w:rsidR="00000000" w:rsidRPr="00C73997" w:rsidP="00C73997"/>
    <w:sectPr w:rsidSect="00C73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97" w:rsidRPr="00537E1A" w:rsidP="00537E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1A" w:rsidP="00C73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7E1A" w:rsidP="00C7399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537E1A" w:rsidP="00C739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997" w:rsidRPr="00537E1A" w:rsidP="00537E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7E1A" w:rsidRPr="002D2AF8" w:rsidP="00C73997">
    <w:pPr>
      <w:pStyle w:val="Header"/>
      <w:framePr w:wrap="around"/>
    </w:pPr>
    <w:r>
      <w:fldChar w:fldCharType="begin"/>
    </w:r>
    <w:r>
      <w:instrText xml:space="preserve"> TITLE   \* MERGEFORMAT </w:instrText>
    </w:r>
    <w:r>
      <w:fldChar w:fldCharType="separate"/>
    </w:r>
    <w:r>
      <w:t>Assessment Requirements for RIIBEF302D Monitor site production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537E1A" w:rsidP="00C73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CE3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52294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CEFA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9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997"/>
    <w:pPr>
      <w:spacing w:before="360" w:after="60"/>
      <w:outlineLvl w:val="0"/>
    </w:pPr>
    <w:rPr>
      <w:sz w:val="32"/>
    </w:rPr>
  </w:style>
  <w:style w:type="paragraph" w:styleId="Heading2">
    <w:name w:val="heading 2"/>
    <w:basedOn w:val="HeadingBase"/>
    <w:next w:val="BodyText"/>
    <w:link w:val="Heading2Char"/>
    <w:qFormat/>
    <w:rsid w:val="00C73997"/>
    <w:pPr>
      <w:keepLines/>
      <w:spacing w:before="240" w:after="120"/>
      <w:outlineLvl w:val="1"/>
    </w:pPr>
    <w:rPr>
      <w:sz w:val="28"/>
      <w:szCs w:val="40"/>
    </w:rPr>
  </w:style>
  <w:style w:type="paragraph" w:styleId="Heading3">
    <w:name w:val="heading 3"/>
    <w:basedOn w:val="HeadingBase"/>
    <w:next w:val="BodyText"/>
    <w:link w:val="Heading3Char"/>
    <w:qFormat/>
    <w:rsid w:val="00C73997"/>
    <w:pPr>
      <w:spacing w:before="180" w:after="120"/>
      <w:outlineLvl w:val="2"/>
    </w:pPr>
    <w:rPr>
      <w:spacing w:val="-10"/>
      <w:kern w:val="32"/>
    </w:rPr>
  </w:style>
  <w:style w:type="paragraph" w:styleId="Heading4">
    <w:name w:val="heading 4"/>
    <w:basedOn w:val="HeadingBase"/>
    <w:next w:val="BodyText"/>
    <w:link w:val="Heading4Char"/>
    <w:qFormat/>
    <w:rsid w:val="00C73997"/>
    <w:pPr>
      <w:spacing w:before="160" w:after="120"/>
      <w:outlineLvl w:val="3"/>
    </w:pPr>
    <w:rPr>
      <w:sz w:val="22"/>
    </w:rPr>
  </w:style>
  <w:style w:type="paragraph" w:styleId="Heading5">
    <w:name w:val="heading 5"/>
    <w:basedOn w:val="HeadingBase"/>
    <w:next w:val="Normal"/>
    <w:link w:val="Heading5Char"/>
    <w:qFormat/>
    <w:rsid w:val="00C73997"/>
    <w:pPr>
      <w:spacing w:before="80"/>
      <w:outlineLvl w:val="4"/>
    </w:pPr>
    <w:rPr>
      <w:color w:val="918585"/>
      <w:sz w:val="20"/>
    </w:rPr>
  </w:style>
  <w:style w:type="paragraph" w:styleId="Heading6">
    <w:name w:val="heading 6"/>
    <w:basedOn w:val="HeadingBase"/>
    <w:next w:val="Normal"/>
    <w:link w:val="Heading6Char"/>
    <w:qFormat/>
    <w:rsid w:val="00C73997"/>
    <w:pPr>
      <w:spacing w:before="60"/>
      <w:outlineLvl w:val="5"/>
    </w:pPr>
    <w:rPr>
      <w:color w:val="918585"/>
      <w:sz w:val="20"/>
    </w:rPr>
  </w:style>
  <w:style w:type="paragraph" w:styleId="Heading7">
    <w:name w:val="heading 7"/>
    <w:basedOn w:val="Normal"/>
    <w:next w:val="Normal"/>
    <w:link w:val="Heading7Char"/>
    <w:qFormat/>
    <w:rsid w:val="00C73997"/>
    <w:pPr>
      <w:ind w:left="720"/>
      <w:outlineLvl w:val="6"/>
    </w:pPr>
    <w:rPr>
      <w:i/>
    </w:rPr>
  </w:style>
  <w:style w:type="paragraph" w:styleId="Heading8">
    <w:name w:val="heading 8"/>
    <w:basedOn w:val="Normal"/>
    <w:next w:val="Normal"/>
    <w:link w:val="Heading8Char"/>
    <w:qFormat/>
    <w:rsid w:val="00C73997"/>
    <w:pPr>
      <w:ind w:left="720"/>
      <w:outlineLvl w:val="7"/>
    </w:pPr>
    <w:rPr>
      <w:i/>
    </w:rPr>
  </w:style>
  <w:style w:type="paragraph" w:styleId="Heading9">
    <w:name w:val="heading 9"/>
    <w:basedOn w:val="Normal"/>
    <w:next w:val="Normal"/>
    <w:link w:val="Heading9Char"/>
    <w:qFormat/>
    <w:rsid w:val="00C73997"/>
    <w:pPr>
      <w:ind w:left="720"/>
      <w:outlineLvl w:val="8"/>
    </w:pPr>
    <w:rPr>
      <w:i/>
    </w:rPr>
  </w:style>
  <w:style w:type="character" w:default="1" w:styleId="DefaultParagraphFont">
    <w:name w:val="Default Paragraph Font"/>
    <w:uiPriority w:val="1"/>
    <w:unhideWhenUsed/>
    <w:rsid w:val="00C73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997"/>
  </w:style>
  <w:style w:type="character" w:customStyle="1" w:styleId="Heading1Char">
    <w:name w:val="Heading 1 Char"/>
    <w:basedOn w:val="DefaultParagraphFont"/>
    <w:link w:val="Heading1"/>
    <w:rsid w:val="00C7399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73997"/>
    <w:rPr>
      <w:rFonts w:ascii="Times New Roman" w:eastAsia="Times New Roman" w:hAnsi="Times New Roman" w:cs="Times New Roman"/>
      <w:b/>
      <w:szCs w:val="20"/>
      <w:lang w:eastAsia="en-US"/>
    </w:rPr>
  </w:style>
  <w:style w:type="paragraph" w:styleId="BodyText">
    <w:name w:val="Body Text"/>
    <w:basedOn w:val="Normal"/>
    <w:link w:val="BodyTextChar"/>
    <w:rsid w:val="00C739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997"/>
    <w:rPr>
      <w:rFonts w:ascii="Times New Roman" w:eastAsia="Times New Roman" w:hAnsi="Times New Roman" w:cs="Times New Roman"/>
      <w:sz w:val="24"/>
      <w:lang w:eastAsia="en-US"/>
    </w:rPr>
  </w:style>
  <w:style w:type="paragraph" w:styleId="ListBullet">
    <w:name w:val="List Bullet"/>
    <w:basedOn w:val="List"/>
    <w:rsid w:val="00C73997"/>
    <w:pPr>
      <w:numPr>
        <w:numId w:val="13"/>
      </w:numPr>
      <w:tabs>
        <w:tab w:val="clear" w:pos="340"/>
      </w:tabs>
      <w:spacing w:before="40" w:after="40"/>
    </w:pPr>
  </w:style>
  <w:style w:type="paragraph" w:styleId="ListBullet2">
    <w:name w:val="List Bullet 2"/>
    <w:basedOn w:val="List2"/>
    <w:rsid w:val="00C73997"/>
    <w:pPr>
      <w:numPr>
        <w:numId w:val="14"/>
      </w:numPr>
      <w:tabs>
        <w:tab w:val="clear" w:pos="680"/>
      </w:tabs>
    </w:pPr>
  </w:style>
  <w:style w:type="paragraph" w:customStyle="1" w:styleId="SuperHeading">
    <w:name w:val="SuperHeading"/>
    <w:basedOn w:val="Normal"/>
    <w:rsid w:val="00C73997"/>
    <w:pPr>
      <w:spacing w:before="240" w:after="120"/>
      <w:outlineLvl w:val="0"/>
    </w:pPr>
    <w:rPr>
      <w:rFonts w:ascii="Times New Roman" w:hAnsi="Times New Roman"/>
      <w:b/>
      <w:sz w:val="32"/>
    </w:rPr>
  </w:style>
  <w:style w:type="paragraph" w:customStyle="1" w:styleId="AllowPageBreak">
    <w:name w:val="AllowPageBreak"/>
    <w:rsid w:val="00C7399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3997"/>
    <w:pPr>
      <w:numPr>
        <w:numId w:val="3"/>
      </w:numPr>
      <w:tabs>
        <w:tab w:val="clear" w:pos="1021"/>
      </w:tabs>
      <w:ind w:left="1037" w:hanging="357"/>
    </w:pPr>
  </w:style>
  <w:style w:type="character" w:customStyle="1" w:styleId="Heading2Char">
    <w:name w:val="Heading 2 Char"/>
    <w:basedOn w:val="DefaultParagraphFont"/>
    <w:link w:val="Heading2"/>
    <w:rsid w:val="00C739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99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739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9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9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997"/>
    <w:rPr>
      <w:rFonts w:ascii="Courier New" w:eastAsia="Times New Roman" w:hAnsi="Courier New" w:cs="Times New Roman"/>
      <w:i/>
      <w:szCs w:val="20"/>
      <w:lang w:eastAsia="en-US"/>
    </w:rPr>
  </w:style>
  <w:style w:type="paragraph" w:customStyle="1" w:styleId="HeadingBase">
    <w:name w:val="Heading Base"/>
    <w:rsid w:val="00C73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997"/>
    <w:pPr>
      <w:tabs>
        <w:tab w:val="right" w:leader="dot" w:pos="9072"/>
      </w:tabs>
      <w:ind w:left="567"/>
    </w:pPr>
    <w:rPr>
      <w:szCs w:val="22"/>
    </w:rPr>
  </w:style>
  <w:style w:type="paragraph" w:customStyle="1" w:styleId="TOCBase">
    <w:name w:val="TOC Base"/>
    <w:rsid w:val="00C73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997"/>
    <w:pPr>
      <w:tabs>
        <w:tab w:val="right" w:leader="dot" w:pos="9072"/>
      </w:tabs>
      <w:spacing w:before="40" w:after="40"/>
      <w:ind w:left="284"/>
    </w:pPr>
    <w:rPr>
      <w:rFonts w:ascii="Times New Roman" w:hAnsi="Times New Roman"/>
    </w:rPr>
  </w:style>
  <w:style w:type="paragraph" w:styleId="TOC1">
    <w:name w:val="toc 1"/>
    <w:basedOn w:val="TOCBase"/>
    <w:next w:val="Normal"/>
    <w:rsid w:val="00C739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997"/>
    <w:rPr>
      <w:rFonts w:ascii="Times New Roman" w:eastAsia="Times New Roman" w:hAnsi="Times New Roman" w:cs="Times New Roman"/>
      <w:sz w:val="16"/>
      <w:lang w:eastAsia="en-US"/>
    </w:rPr>
  </w:style>
  <w:style w:type="paragraph" w:styleId="Title">
    <w:name w:val="Title"/>
    <w:basedOn w:val="HeadingBase"/>
    <w:link w:val="TitleChar"/>
    <w:qFormat/>
    <w:rsid w:val="00C73997"/>
    <w:pPr>
      <w:spacing w:before="5040"/>
      <w:jc w:val="center"/>
    </w:pPr>
    <w:rPr>
      <w:sz w:val="48"/>
      <w:szCs w:val="72"/>
      <w:lang w:val="en-US"/>
    </w:rPr>
  </w:style>
  <w:style w:type="character" w:customStyle="1" w:styleId="TitleChar">
    <w:name w:val="Title Char"/>
    <w:basedOn w:val="DefaultParagraphFont"/>
    <w:link w:val="Title"/>
    <w:rsid w:val="00C73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997"/>
    <w:pPr>
      <w:tabs>
        <w:tab w:val="left" w:pos="3600"/>
        <w:tab w:val="left" w:pos="3958"/>
      </w:tabs>
    </w:pPr>
  </w:style>
  <w:style w:type="paragraph" w:styleId="List">
    <w:name w:val="List"/>
    <w:basedOn w:val="BodyText"/>
    <w:next w:val="BodyText"/>
    <w:rsid w:val="00C73997"/>
    <w:pPr>
      <w:tabs>
        <w:tab w:val="left" w:pos="340"/>
      </w:tabs>
      <w:spacing w:before="60" w:after="60"/>
      <w:ind w:left="340" w:hanging="340"/>
    </w:pPr>
  </w:style>
  <w:style w:type="paragraph" w:customStyle="1" w:styleId="Note">
    <w:name w:val="Note"/>
    <w:basedOn w:val="BodyText"/>
    <w:rsid w:val="00C7399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3997"/>
    <w:rPr>
      <w:b/>
      <w:spacing w:val="0"/>
    </w:rPr>
  </w:style>
  <w:style w:type="paragraph" w:customStyle="1" w:styleId="SuperTitle">
    <w:name w:val="SuperTitle"/>
    <w:basedOn w:val="Title"/>
    <w:rsid w:val="00C73997"/>
    <w:pPr>
      <w:framePr w:wrap="auto" w:hAnchor="text" w:y="6049"/>
    </w:pPr>
    <w:rPr>
      <w:color w:val="000000"/>
      <w:sz w:val="40"/>
    </w:rPr>
  </w:style>
  <w:style w:type="paragraph" w:customStyle="1" w:styleId="TOCTitle">
    <w:name w:val="TOCTitle"/>
    <w:basedOn w:val="Heading1"/>
    <w:rsid w:val="00C73997"/>
    <w:pPr>
      <w:spacing w:after="240"/>
      <w:jc w:val="center"/>
      <w:outlineLvl w:val="9"/>
    </w:pPr>
    <w:rPr>
      <w:caps/>
    </w:rPr>
  </w:style>
  <w:style w:type="paragraph" w:customStyle="1" w:styleId="Version">
    <w:name w:val="Version"/>
    <w:rsid w:val="00C73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997"/>
    <w:pPr>
      <w:keepNext w:val="0"/>
      <w:tabs>
        <w:tab w:val="right" w:pos="4176"/>
      </w:tabs>
      <w:ind w:left="198" w:hanging="198"/>
    </w:pPr>
    <w:rPr>
      <w:rFonts w:ascii="Garamond" w:hAnsi="Garamond"/>
    </w:rPr>
  </w:style>
  <w:style w:type="paragraph" w:styleId="IndexHeading">
    <w:name w:val="index heading"/>
    <w:basedOn w:val="Normal"/>
    <w:next w:val="Index1"/>
    <w:semiHidden/>
    <w:rsid w:val="00C73997"/>
    <w:pPr>
      <w:spacing w:before="120" w:after="120"/>
    </w:pPr>
    <w:rPr>
      <w:rFonts w:ascii="Arial" w:hAnsi="Arial"/>
      <w:b/>
      <w:color w:val="918585"/>
      <w:sz w:val="24"/>
    </w:rPr>
  </w:style>
  <w:style w:type="paragraph" w:styleId="Header">
    <w:name w:val="header"/>
    <w:basedOn w:val="Normal"/>
    <w:link w:val="HeaderChar"/>
    <w:rsid w:val="00C73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997"/>
    <w:rPr>
      <w:rFonts w:ascii="Times New Roman" w:eastAsia="Times New Roman" w:hAnsi="Times New Roman" w:cs="Times New Roman"/>
      <w:sz w:val="16"/>
      <w:szCs w:val="20"/>
      <w:lang w:val="en-GB" w:eastAsia="en-US"/>
    </w:rPr>
  </w:style>
  <w:style w:type="paragraph" w:customStyle="1" w:styleId="Chapter">
    <w:name w:val="Chapter"/>
    <w:basedOn w:val="Normal"/>
    <w:rsid w:val="00C73997"/>
    <w:pPr>
      <w:spacing w:before="240"/>
    </w:pPr>
    <w:rPr>
      <w:rFonts w:ascii="Times New Roman" w:hAnsi="Times New Roman"/>
      <w:smallCaps/>
      <w:spacing w:val="80"/>
      <w:sz w:val="28"/>
    </w:rPr>
  </w:style>
  <w:style w:type="paragraph" w:customStyle="1" w:styleId="InChapter">
    <w:name w:val="InChapter"/>
    <w:basedOn w:val="Heading3"/>
    <w:rsid w:val="00C73997"/>
    <w:pPr>
      <w:spacing w:after="240"/>
      <w:outlineLvl w:val="9"/>
    </w:pPr>
    <w:rPr>
      <w:noProof/>
    </w:rPr>
  </w:style>
  <w:style w:type="paragraph" w:styleId="Index2">
    <w:name w:val="index 2"/>
    <w:basedOn w:val="Normal"/>
    <w:next w:val="Normal"/>
    <w:semiHidden/>
    <w:rsid w:val="00C73997"/>
    <w:pPr>
      <w:tabs>
        <w:tab w:val="right" w:pos="4176"/>
      </w:tabs>
      <w:ind w:left="568" w:hanging="284"/>
    </w:pPr>
    <w:rPr>
      <w:rFonts w:ascii="Garamond" w:hAnsi="Garamond"/>
    </w:rPr>
  </w:style>
  <w:style w:type="paragraph" w:customStyle="1" w:styleId="Byline">
    <w:name w:val="Byline"/>
    <w:rsid w:val="00C73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997"/>
    <w:pPr>
      <w:tabs>
        <w:tab w:val="clear" w:pos="3600"/>
        <w:tab w:val="clear" w:pos="3958"/>
      </w:tabs>
      <w:jc w:val="right"/>
    </w:pPr>
  </w:style>
  <w:style w:type="character" w:styleId="Emphasis">
    <w:name w:val="Emphasis"/>
    <w:basedOn w:val="DefaultParagraphFont"/>
    <w:qFormat/>
    <w:rsid w:val="00C73997"/>
    <w:rPr>
      <w:i/>
    </w:rPr>
  </w:style>
  <w:style w:type="paragraph" w:styleId="Caption">
    <w:name w:val="caption"/>
    <w:basedOn w:val="BodyText"/>
    <w:next w:val="Normal"/>
    <w:qFormat/>
    <w:rsid w:val="00C73997"/>
    <w:pPr>
      <w:framePr w:w="2268" w:hSpace="181" w:vSpace="181" w:wrap="around" w:vAnchor="text" w:hAnchor="page" w:x="1135" w:y="285" w:anchorLock="1"/>
    </w:pPr>
    <w:rPr>
      <w:i/>
    </w:rPr>
  </w:style>
  <w:style w:type="paragraph" w:customStyle="1" w:styleId="MiniTOCTitle">
    <w:name w:val="MiniTOCTitle"/>
    <w:basedOn w:val="Heading4"/>
    <w:rsid w:val="00C73997"/>
    <w:pPr>
      <w:spacing w:before="240"/>
      <w:outlineLvl w:val="9"/>
    </w:pPr>
    <w:rPr>
      <w:noProof/>
      <w:sz w:val="24"/>
    </w:rPr>
  </w:style>
  <w:style w:type="paragraph" w:customStyle="1" w:styleId="MiniTOCItem">
    <w:name w:val="MiniTOCItem"/>
    <w:basedOn w:val="ListBullet"/>
    <w:rsid w:val="00C73997"/>
    <w:pPr>
      <w:numPr>
        <w:numId w:val="0"/>
      </w:numPr>
      <w:tabs>
        <w:tab w:val="right" w:leader="dot" w:pos="6521"/>
      </w:tabs>
      <w:spacing w:before="0" w:after="0"/>
    </w:pPr>
  </w:style>
  <w:style w:type="paragraph" w:customStyle="1" w:styleId="TOFTitle">
    <w:name w:val="TOFTitle"/>
    <w:basedOn w:val="TOCTitle"/>
    <w:rsid w:val="00C73997"/>
  </w:style>
  <w:style w:type="paragraph" w:styleId="TableofFigures">
    <w:name w:val="table of figures"/>
    <w:basedOn w:val="Normal"/>
    <w:next w:val="Normal"/>
    <w:semiHidden/>
    <w:rsid w:val="00C73997"/>
    <w:pPr>
      <w:tabs>
        <w:tab w:val="right" w:leader="dot" w:pos="9072"/>
      </w:tabs>
      <w:ind w:left="970" w:hanging="403"/>
    </w:pPr>
    <w:rPr>
      <w:rFonts w:ascii="Times New Roman" w:hAnsi="Times New Roman"/>
      <w:b/>
    </w:rPr>
  </w:style>
  <w:style w:type="paragraph" w:styleId="ListNumber">
    <w:name w:val="List Number"/>
    <w:basedOn w:val="List"/>
    <w:rsid w:val="00C73997"/>
    <w:pPr>
      <w:numPr>
        <w:numId w:val="16"/>
      </w:numPr>
      <w:tabs>
        <w:tab w:val="clear" w:pos="340"/>
      </w:tabs>
    </w:pPr>
  </w:style>
  <w:style w:type="character" w:customStyle="1" w:styleId="WingdingSymbols">
    <w:name w:val="Wingding Symbols"/>
    <w:rsid w:val="00C73997"/>
    <w:rPr>
      <w:rFonts w:ascii="Wingdings" w:hAnsi="Wingdings"/>
    </w:rPr>
  </w:style>
  <w:style w:type="paragraph" w:customStyle="1" w:styleId="TableHeading">
    <w:name w:val="Table Heading"/>
    <w:basedOn w:val="HeadingBase"/>
    <w:rsid w:val="00C73997"/>
    <w:pPr>
      <w:keepLines/>
      <w:pBdr>
        <w:bottom w:val="single" w:sz="6" w:space="1" w:color="918585"/>
      </w:pBdr>
      <w:spacing w:before="240"/>
    </w:pPr>
  </w:style>
  <w:style w:type="character" w:customStyle="1" w:styleId="HotSpot">
    <w:name w:val="HotSpot"/>
    <w:rsid w:val="00C73997"/>
    <w:rPr>
      <w:color w:val="0033CC"/>
      <w:u w:val="none"/>
    </w:rPr>
  </w:style>
  <w:style w:type="paragraph" w:customStyle="1" w:styleId="BodyTextRight">
    <w:name w:val="Body Text Right"/>
    <w:basedOn w:val="BodyText"/>
    <w:rsid w:val="00C73997"/>
    <w:pPr>
      <w:spacing w:before="0" w:after="0"/>
      <w:jc w:val="right"/>
    </w:pPr>
  </w:style>
  <w:style w:type="paragraph" w:styleId="Index3">
    <w:name w:val="index 3"/>
    <w:basedOn w:val="ListNumber2"/>
    <w:next w:val="Normal"/>
    <w:semiHidden/>
    <w:rsid w:val="00C73997"/>
    <w:pPr>
      <w:numPr>
        <w:numId w:val="0"/>
      </w:numPr>
      <w:tabs>
        <w:tab w:val="right" w:leader="dot" w:pos="4176"/>
      </w:tabs>
    </w:pPr>
  </w:style>
  <w:style w:type="paragraph" w:styleId="ListNumber2">
    <w:name w:val="List Number 2"/>
    <w:basedOn w:val="List2"/>
    <w:rsid w:val="00C73997"/>
    <w:pPr>
      <w:numPr>
        <w:numId w:val="11"/>
      </w:numPr>
      <w:tabs>
        <w:tab w:val="clear" w:pos="1060"/>
      </w:tabs>
    </w:pPr>
  </w:style>
  <w:style w:type="paragraph" w:customStyle="1" w:styleId="MarginNote">
    <w:name w:val="Margin Note"/>
    <w:basedOn w:val="BodyText"/>
    <w:rsid w:val="00C73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9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997"/>
    <w:rPr>
      <w:sz w:val="32"/>
    </w:rPr>
  </w:style>
  <w:style w:type="paragraph" w:customStyle="1" w:styleId="HeadingProcedure">
    <w:name w:val="Heading Procedure"/>
    <w:basedOn w:val="HeadingBase"/>
    <w:next w:val="Normal"/>
    <w:rsid w:val="00C73997"/>
    <w:pPr>
      <w:tabs>
        <w:tab w:val="left" w:pos="0"/>
      </w:tabs>
      <w:spacing w:before="120" w:after="60"/>
    </w:pPr>
    <w:rPr>
      <w:i/>
      <w:color w:val="918585"/>
      <w:sz w:val="22"/>
    </w:rPr>
  </w:style>
  <w:style w:type="paragraph" w:customStyle="1" w:styleId="TableBodyText">
    <w:name w:val="Table Body Text"/>
    <w:basedOn w:val="BodyText"/>
    <w:rsid w:val="00C73997"/>
    <w:pPr>
      <w:spacing w:before="60" w:after="60"/>
    </w:pPr>
  </w:style>
  <w:style w:type="paragraph" w:styleId="ListContinue">
    <w:name w:val="List Continue"/>
    <w:basedOn w:val="List"/>
    <w:rsid w:val="00C73997"/>
    <w:pPr>
      <w:ind w:firstLine="0"/>
    </w:pPr>
  </w:style>
  <w:style w:type="paragraph" w:customStyle="1" w:styleId="ListNote">
    <w:name w:val="List Note"/>
    <w:basedOn w:val="List"/>
    <w:rsid w:val="00C73997"/>
    <w:pPr>
      <w:pBdr>
        <w:top w:val="single" w:sz="6" w:space="2" w:color="918585"/>
        <w:bottom w:val="single" w:sz="6" w:space="2" w:color="918585"/>
      </w:pBdr>
      <w:tabs>
        <w:tab w:val="left" w:pos="1021"/>
      </w:tabs>
      <w:ind w:firstLine="0"/>
    </w:pPr>
  </w:style>
  <w:style w:type="paragraph" w:customStyle="1" w:styleId="Warning">
    <w:name w:val="Warning"/>
    <w:basedOn w:val="BodyText"/>
    <w:rsid w:val="00C73997"/>
    <w:pPr>
      <w:shd w:val="clear" w:color="auto" w:fill="D9D9D9"/>
      <w:tabs>
        <w:tab w:val="left" w:pos="992"/>
      </w:tabs>
      <w:ind w:left="119" w:right="119"/>
    </w:pPr>
    <w:rPr>
      <w:sz w:val="20"/>
    </w:rPr>
  </w:style>
  <w:style w:type="paragraph" w:customStyle="1" w:styleId="MarginIcons">
    <w:name w:val="Margin Icons"/>
    <w:basedOn w:val="BodyText"/>
    <w:rsid w:val="00C739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997"/>
    <w:rPr>
      <w:rFonts w:ascii="Courier New" w:hAnsi="Courier New"/>
    </w:rPr>
  </w:style>
  <w:style w:type="paragraph" w:customStyle="1" w:styleId="NoteBullet">
    <w:name w:val="Note Bullet"/>
    <w:basedOn w:val="Note"/>
    <w:rsid w:val="00C73997"/>
    <w:pPr>
      <w:tabs>
        <w:tab w:val="clear" w:pos="680"/>
      </w:tabs>
      <w:spacing w:before="60" w:after="60"/>
    </w:pPr>
  </w:style>
  <w:style w:type="paragraph" w:customStyle="1" w:styleId="SubHeading2">
    <w:name w:val="SubHeading2"/>
    <w:basedOn w:val="HeadingBase"/>
    <w:rsid w:val="00C73997"/>
    <w:pPr>
      <w:spacing w:before="240" w:after="60"/>
    </w:pPr>
    <w:rPr>
      <w:sz w:val="20"/>
    </w:rPr>
  </w:style>
  <w:style w:type="paragraph" w:customStyle="1" w:styleId="SubHeading1">
    <w:name w:val="SubHeading1"/>
    <w:basedOn w:val="HeadingBase"/>
    <w:rsid w:val="00C73997"/>
    <w:pPr>
      <w:spacing w:before="240" w:after="60"/>
    </w:pPr>
    <w:rPr>
      <w:color w:val="918585"/>
      <w:sz w:val="22"/>
    </w:rPr>
  </w:style>
  <w:style w:type="paragraph" w:customStyle="1" w:styleId="SideHeading">
    <w:name w:val="Side Heading"/>
    <w:basedOn w:val="HeadingBase"/>
    <w:rsid w:val="00C73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997"/>
    <w:pPr>
      <w:numPr>
        <w:numId w:val="12"/>
      </w:numPr>
    </w:pPr>
  </w:style>
  <w:style w:type="paragraph" w:styleId="PlainText">
    <w:name w:val="Plain Text"/>
    <w:basedOn w:val="Normal"/>
    <w:link w:val="PlainTextChar"/>
    <w:rsid w:val="00C73997"/>
    <w:rPr>
      <w:sz w:val="20"/>
    </w:rPr>
  </w:style>
  <w:style w:type="character" w:customStyle="1" w:styleId="PlainTextChar">
    <w:name w:val="Plain Text Char"/>
    <w:basedOn w:val="DefaultParagraphFont"/>
    <w:link w:val="PlainText"/>
    <w:rsid w:val="00C73997"/>
    <w:rPr>
      <w:rFonts w:ascii="Courier New" w:eastAsia="Times New Roman" w:hAnsi="Courier New" w:cs="Times New Roman"/>
      <w:sz w:val="20"/>
      <w:szCs w:val="20"/>
      <w:lang w:eastAsia="en-US"/>
    </w:rPr>
  </w:style>
  <w:style w:type="character" w:customStyle="1" w:styleId="MenuOption">
    <w:name w:val="Menu Option"/>
    <w:basedOn w:val="DefaultParagraphFont"/>
    <w:rsid w:val="00C73997"/>
    <w:rPr>
      <w:b/>
      <w:smallCaps/>
    </w:rPr>
  </w:style>
  <w:style w:type="paragraph" w:customStyle="1" w:styleId="TableListNumber">
    <w:name w:val="Table List Number"/>
    <w:basedOn w:val="ListNumber"/>
    <w:rsid w:val="00C73997"/>
    <w:pPr>
      <w:numPr>
        <w:numId w:val="0"/>
      </w:numPr>
    </w:pPr>
  </w:style>
  <w:style w:type="paragraph" w:styleId="TOC4">
    <w:name w:val="toc 4"/>
    <w:basedOn w:val="TOCBase"/>
    <w:next w:val="Normal"/>
    <w:semiHidden/>
    <w:rsid w:val="00C73997"/>
    <w:pPr>
      <w:tabs>
        <w:tab w:val="right" w:leader="dot" w:pos="9071"/>
      </w:tabs>
      <w:ind w:left="1701"/>
    </w:pPr>
  </w:style>
  <w:style w:type="paragraph" w:customStyle="1" w:styleId="ListAlpha">
    <w:name w:val="List Alpha"/>
    <w:basedOn w:val="List"/>
    <w:rsid w:val="00C73997"/>
    <w:pPr>
      <w:numPr>
        <w:numId w:val="10"/>
      </w:numPr>
    </w:pPr>
  </w:style>
  <w:style w:type="paragraph" w:customStyle="1" w:styleId="ListAlpha2">
    <w:name w:val="List Alpha 2"/>
    <w:basedOn w:val="List2"/>
    <w:rsid w:val="00C73997"/>
    <w:pPr>
      <w:numPr>
        <w:numId w:val="9"/>
      </w:numPr>
    </w:pPr>
  </w:style>
  <w:style w:type="paragraph" w:styleId="List2">
    <w:name w:val="List 2"/>
    <w:basedOn w:val="BodyText"/>
    <w:rsid w:val="00C73997"/>
    <w:pPr>
      <w:tabs>
        <w:tab w:val="left" w:pos="680"/>
      </w:tabs>
      <w:spacing w:before="60" w:after="60"/>
      <w:ind w:left="680" w:hanging="340"/>
    </w:pPr>
  </w:style>
  <w:style w:type="paragraph" w:styleId="List3">
    <w:name w:val="List 3"/>
    <w:basedOn w:val="BodyText"/>
    <w:rsid w:val="00C73997"/>
    <w:pPr>
      <w:tabs>
        <w:tab w:val="left" w:pos="1021"/>
      </w:tabs>
      <w:spacing w:before="60" w:after="60"/>
      <w:ind w:left="1020" w:hanging="340"/>
    </w:pPr>
  </w:style>
  <w:style w:type="paragraph" w:styleId="List4">
    <w:name w:val="List 4"/>
    <w:basedOn w:val="BodyText"/>
    <w:rsid w:val="00C73997"/>
    <w:pPr>
      <w:tabs>
        <w:tab w:val="left" w:pos="1361"/>
      </w:tabs>
      <w:spacing w:before="60" w:after="60"/>
      <w:ind w:left="1361" w:hanging="340"/>
    </w:pPr>
  </w:style>
  <w:style w:type="paragraph" w:styleId="List5">
    <w:name w:val="List 5"/>
    <w:basedOn w:val="BodyText"/>
    <w:rsid w:val="00C73997"/>
    <w:pPr>
      <w:tabs>
        <w:tab w:val="left" w:pos="1701"/>
      </w:tabs>
      <w:spacing w:before="60" w:after="60"/>
      <w:ind w:left="1701" w:hanging="340"/>
    </w:pPr>
  </w:style>
  <w:style w:type="paragraph" w:styleId="ListBullet4">
    <w:name w:val="List Bullet 4"/>
    <w:basedOn w:val="List4"/>
    <w:rsid w:val="00C73997"/>
    <w:pPr>
      <w:numPr>
        <w:numId w:val="4"/>
      </w:numPr>
      <w:tabs>
        <w:tab w:val="clear" w:pos="1361"/>
      </w:tabs>
    </w:pPr>
  </w:style>
  <w:style w:type="paragraph" w:styleId="ListBullet5">
    <w:name w:val="List Bullet 5"/>
    <w:basedOn w:val="List5"/>
    <w:rsid w:val="00C73997"/>
    <w:pPr>
      <w:numPr>
        <w:numId w:val="5"/>
      </w:numPr>
    </w:pPr>
  </w:style>
  <w:style w:type="paragraph" w:styleId="ListContinue2">
    <w:name w:val="List Continue 2"/>
    <w:basedOn w:val="List2"/>
    <w:rsid w:val="00C73997"/>
    <w:pPr>
      <w:ind w:firstLine="0"/>
    </w:pPr>
  </w:style>
  <w:style w:type="paragraph" w:styleId="ListContinue3">
    <w:name w:val="List Continue 3"/>
    <w:basedOn w:val="List3"/>
    <w:rsid w:val="00C73997"/>
    <w:pPr>
      <w:ind w:left="1021" w:firstLine="0"/>
    </w:pPr>
  </w:style>
  <w:style w:type="paragraph" w:styleId="ListContinue4">
    <w:name w:val="List Continue 4"/>
    <w:basedOn w:val="List4"/>
    <w:rsid w:val="00C73997"/>
    <w:pPr>
      <w:ind w:firstLine="0"/>
    </w:pPr>
  </w:style>
  <w:style w:type="paragraph" w:styleId="ListContinue5">
    <w:name w:val="List Continue 5"/>
    <w:basedOn w:val="List5"/>
    <w:rsid w:val="00C73997"/>
    <w:pPr>
      <w:ind w:firstLine="0"/>
    </w:pPr>
  </w:style>
  <w:style w:type="paragraph" w:styleId="ListNumber3">
    <w:name w:val="List Number 3"/>
    <w:basedOn w:val="List3"/>
    <w:rsid w:val="00C73997"/>
    <w:pPr>
      <w:numPr>
        <w:numId w:val="6"/>
      </w:numPr>
    </w:pPr>
  </w:style>
  <w:style w:type="paragraph" w:styleId="ListNumber4">
    <w:name w:val="List Number 4"/>
    <w:basedOn w:val="List4"/>
    <w:rsid w:val="00C73997"/>
    <w:pPr>
      <w:numPr>
        <w:numId w:val="7"/>
      </w:numPr>
    </w:pPr>
  </w:style>
  <w:style w:type="paragraph" w:styleId="ListNumber5">
    <w:name w:val="List Number 5"/>
    <w:basedOn w:val="List5"/>
    <w:rsid w:val="00C73997"/>
    <w:pPr>
      <w:numPr>
        <w:numId w:val="8"/>
      </w:numPr>
    </w:pPr>
  </w:style>
  <w:style w:type="paragraph" w:styleId="BlockText">
    <w:name w:val="Block Text"/>
    <w:basedOn w:val="Normal"/>
    <w:rsid w:val="00C73997"/>
    <w:pPr>
      <w:spacing w:after="120"/>
      <w:ind w:left="1440" w:right="1440"/>
    </w:pPr>
  </w:style>
  <w:style w:type="character" w:customStyle="1" w:styleId="Subscript">
    <w:name w:val="Subscript"/>
    <w:basedOn w:val="DefaultParagraphFont"/>
    <w:rsid w:val="00C73997"/>
    <w:rPr>
      <w:sz w:val="16"/>
      <w:vertAlign w:val="subscript"/>
    </w:rPr>
  </w:style>
  <w:style w:type="character" w:customStyle="1" w:styleId="Superscript">
    <w:name w:val="Superscript"/>
    <w:basedOn w:val="DefaultParagraphFont"/>
    <w:rsid w:val="00C73997"/>
    <w:rPr>
      <w:sz w:val="16"/>
      <w:vertAlign w:val="superscript"/>
    </w:rPr>
  </w:style>
  <w:style w:type="character" w:customStyle="1" w:styleId="Symbols">
    <w:name w:val="Symbols"/>
    <w:basedOn w:val="DefaultParagraphFont"/>
    <w:rsid w:val="00C73997"/>
    <w:rPr>
      <w:rFonts w:ascii="Symbol" w:hAnsi="Symbol"/>
    </w:rPr>
  </w:style>
  <w:style w:type="character" w:customStyle="1" w:styleId="MenuOptions">
    <w:name w:val="Menu Options"/>
    <w:basedOn w:val="DefaultParagraphFont"/>
    <w:rsid w:val="00C73997"/>
    <w:rPr>
      <w:rFonts w:ascii="Arial Narrow" w:hAnsi="Arial Narrow"/>
      <w:smallCaps/>
    </w:rPr>
  </w:style>
  <w:style w:type="character" w:customStyle="1" w:styleId="Buttons">
    <w:name w:val="Buttons"/>
    <w:basedOn w:val="DefaultParagraphFont"/>
    <w:rsid w:val="00C73997"/>
    <w:rPr>
      <w:b/>
    </w:rPr>
  </w:style>
  <w:style w:type="character" w:customStyle="1" w:styleId="Underlined">
    <w:name w:val="Underlined"/>
    <w:basedOn w:val="DefaultParagraphFont"/>
    <w:rsid w:val="00C73997"/>
    <w:rPr>
      <w:u w:val="single"/>
    </w:rPr>
  </w:style>
  <w:style w:type="paragraph" w:customStyle="1" w:styleId="TableBodyTextRight">
    <w:name w:val="Table Body Text Right"/>
    <w:basedOn w:val="TableBodyText"/>
    <w:rsid w:val="00C73997"/>
    <w:pPr>
      <w:widowControl w:val="0"/>
      <w:autoSpaceDE w:val="0"/>
      <w:autoSpaceDN w:val="0"/>
      <w:adjustRightInd w:val="0"/>
      <w:jc w:val="right"/>
    </w:pPr>
    <w:rPr>
      <w:rFonts w:cs="Arial"/>
      <w:szCs w:val="18"/>
    </w:rPr>
  </w:style>
  <w:style w:type="paragraph" w:customStyle="1" w:styleId="CopyrightText">
    <w:name w:val="Copyright Text"/>
    <w:basedOn w:val="BodyText"/>
    <w:rsid w:val="00C73997"/>
    <w:rPr>
      <w:sz w:val="18"/>
    </w:rPr>
  </w:style>
  <w:style w:type="paragraph" w:customStyle="1" w:styleId="BodySmallRight">
    <w:name w:val="Body Small Right"/>
    <w:basedOn w:val="BodyTextRight"/>
    <w:rsid w:val="00C73997"/>
    <w:rPr>
      <w:sz w:val="18"/>
      <w:szCs w:val="18"/>
    </w:rPr>
  </w:style>
  <w:style w:type="paragraph" w:customStyle="1" w:styleId="MarginEdition">
    <w:name w:val="Margin Edition"/>
    <w:basedOn w:val="MarginNote"/>
    <w:rsid w:val="00C73997"/>
    <w:pPr>
      <w:spacing w:before="0" w:after="0"/>
    </w:pPr>
    <w:rPr>
      <w:rFonts w:ascii="Times New Roman" w:hAnsi="Times New Roman"/>
      <w:color w:val="999999"/>
    </w:rPr>
  </w:style>
  <w:style w:type="paragraph" w:customStyle="1" w:styleId="Spacer">
    <w:name w:val="Spacer"/>
    <w:basedOn w:val="Normal"/>
    <w:rsid w:val="00C73997"/>
    <w:rPr>
      <w:sz w:val="2"/>
      <w:szCs w:val="2"/>
    </w:rPr>
  </w:style>
  <w:style w:type="character" w:customStyle="1" w:styleId="Small">
    <w:name w:val="Small"/>
    <w:basedOn w:val="DefaultParagraphFont"/>
    <w:rsid w:val="00C73997"/>
    <w:rPr>
      <w:sz w:val="16"/>
    </w:rPr>
  </w:style>
  <w:style w:type="paragraph" w:customStyle="1" w:styleId="WideTable">
    <w:name w:val="Wide Table"/>
    <w:basedOn w:val="Normal"/>
    <w:rsid w:val="00C73997"/>
    <w:pPr>
      <w:ind w:left="-1418"/>
    </w:pPr>
    <w:rPr>
      <w:sz w:val="2"/>
      <w:szCs w:val="2"/>
    </w:rPr>
  </w:style>
  <w:style w:type="character" w:styleId="PageNumber">
    <w:name w:val="page number"/>
    <w:basedOn w:val="DefaultParagraphFont"/>
    <w:rsid w:val="00C73997"/>
  </w:style>
  <w:style w:type="paragraph" w:styleId="Quote">
    <w:name w:val="Quote"/>
    <w:basedOn w:val="Heading1"/>
    <w:link w:val="QuoteChar"/>
    <w:qFormat/>
    <w:rsid w:val="00C73997"/>
    <w:rPr>
      <w:b w:val="0"/>
      <w:sz w:val="72"/>
      <w:szCs w:val="72"/>
      <w:lang w:val="en-NZ"/>
    </w:rPr>
  </w:style>
  <w:style w:type="character" w:customStyle="1" w:styleId="QuoteChar">
    <w:name w:val="Quote Char"/>
    <w:basedOn w:val="DefaultParagraphFont"/>
    <w:link w:val="Quote"/>
    <w:rsid w:val="00C73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997"/>
    <w:pPr>
      <w:pageBreakBefore/>
    </w:pPr>
  </w:style>
  <w:style w:type="paragraph" w:customStyle="1" w:styleId="Border">
    <w:name w:val="Border"/>
    <w:basedOn w:val="Normal"/>
    <w:qFormat/>
    <w:rsid w:val="00C739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997"/>
    <w:rPr>
      <w:b/>
      <w:bCs/>
      <w:i/>
      <w:iCs/>
      <w:color w:val="auto"/>
    </w:rPr>
  </w:style>
  <w:style w:type="paragraph" w:styleId="IntenseQuote">
    <w:name w:val="Intense Quote"/>
    <w:basedOn w:val="Normal"/>
    <w:next w:val="Normal"/>
    <w:link w:val="IntenseQuoteChar"/>
    <w:uiPriority w:val="30"/>
    <w:qFormat/>
    <w:rsid w:val="00C739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9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997"/>
    <w:rPr>
      <w:smallCaps/>
      <w:color w:val="auto"/>
      <w:u w:val="single"/>
    </w:rPr>
  </w:style>
  <w:style w:type="character" w:styleId="IntenseReference">
    <w:name w:val="Intense Reference"/>
    <w:basedOn w:val="DefaultParagraphFont"/>
    <w:uiPriority w:val="32"/>
    <w:qFormat/>
    <w:rsid w:val="00C73997"/>
    <w:rPr>
      <w:b/>
      <w:bCs/>
      <w:smallCaps/>
      <w:color w:val="auto"/>
      <w:spacing w:val="5"/>
      <w:u w:val="single"/>
    </w:rPr>
  </w:style>
  <w:style w:type="paragraph" w:customStyle="1" w:styleId="2ColumnHeading">
    <w:name w:val="2Column Heading"/>
    <w:basedOn w:val="BodyText"/>
    <w:qFormat/>
    <w:rsid w:val="00C73997"/>
    <w:pPr>
      <w:spacing w:after="60"/>
      <w:ind w:left="-2268"/>
    </w:pPr>
    <w:rPr>
      <w:b/>
    </w:rPr>
  </w:style>
  <w:style w:type="paragraph" w:customStyle="1" w:styleId="Heading1TOC">
    <w:name w:val="Heading1 TOC"/>
    <w:basedOn w:val="Normal"/>
    <w:qFormat/>
    <w:rsid w:val="00C73997"/>
    <w:pPr>
      <w:spacing w:before="240" w:after="120"/>
    </w:pPr>
    <w:rPr>
      <w:rFonts w:ascii="Times New Roman" w:hAnsi="Times New Roman"/>
      <w:b/>
      <w:sz w:val="32"/>
    </w:rPr>
  </w:style>
  <w:style w:type="paragraph" w:customStyle="1" w:styleId="Heading2TOC">
    <w:name w:val="Heading2 TOC"/>
    <w:basedOn w:val="Normal"/>
    <w:qFormat/>
    <w:rsid w:val="00C73997"/>
    <w:pPr>
      <w:spacing w:before="240" w:after="60"/>
    </w:pPr>
    <w:rPr>
      <w:rFonts w:ascii="Times New Roman" w:hAnsi="Times New Roman"/>
      <w:b/>
      <w:sz w:val="28"/>
    </w:rPr>
  </w:style>
  <w:style w:type="character" w:customStyle="1" w:styleId="Underline">
    <w:name w:val="Underline"/>
    <w:basedOn w:val="DefaultParagraphFont"/>
    <w:qFormat/>
    <w:rsid w:val="00C73997"/>
    <w:rPr>
      <w:u w:val="single"/>
    </w:rPr>
  </w:style>
  <w:style w:type="character" w:customStyle="1" w:styleId="BoldandItalics">
    <w:name w:val="Bold and Italics"/>
    <w:qFormat/>
    <w:rsid w:val="00C73997"/>
    <w:rPr>
      <w:b/>
      <w:i/>
      <w:u w:val="none"/>
    </w:rPr>
  </w:style>
  <w:style w:type="paragraph" w:styleId="BalloonText">
    <w:name w:val="Balloon Text"/>
    <w:basedOn w:val="Normal"/>
    <w:link w:val="BalloonTextChar"/>
    <w:rsid w:val="00C73997"/>
    <w:rPr>
      <w:rFonts w:ascii="Tahoma" w:hAnsi="Tahoma" w:cs="Tahoma"/>
      <w:sz w:val="16"/>
      <w:szCs w:val="16"/>
    </w:rPr>
  </w:style>
  <w:style w:type="character" w:customStyle="1" w:styleId="BalloonTextChar">
    <w:name w:val="Balloon Text Char"/>
    <w:basedOn w:val="DefaultParagraphFont"/>
    <w:link w:val="BalloonText"/>
    <w:rsid w:val="00C739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9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9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997"/>
    <w:rPr>
      <w:b/>
      <w:color w:val="660033"/>
      <w:spacing w:val="0"/>
    </w:rPr>
  </w:style>
  <w:style w:type="paragraph" w:customStyle="1" w:styleId="Nameditemlist">
    <w:name w:val="Named item list"/>
    <w:basedOn w:val="BodyText"/>
    <w:qFormat/>
    <w:rsid w:val="00C73997"/>
    <w:pPr>
      <w:tabs>
        <w:tab w:val="left" w:pos="2835"/>
      </w:tabs>
      <w:ind w:left="2835" w:hanging="2835"/>
    </w:pPr>
  </w:style>
  <w:style w:type="paragraph" w:customStyle="1" w:styleId="BodyTextnopadding">
    <w:name w:val="Body Text no padding"/>
    <w:basedOn w:val="BodyText"/>
    <w:qFormat/>
    <w:rsid w:val="00C73997"/>
    <w:pPr>
      <w:spacing w:before="0" w:after="0"/>
    </w:pPr>
  </w:style>
  <w:style w:type="paragraph" w:customStyle="1" w:styleId="BodyTextBold">
    <w:name w:val="Body Text Bold"/>
    <w:basedOn w:val="BodyText"/>
    <w:qFormat/>
    <w:rsid w:val="00C73997"/>
    <w:rPr>
      <w:b/>
    </w:rPr>
  </w:style>
  <w:style w:type="character" w:styleId="Hyperlink">
    <w:name w:val="Hyperlink"/>
    <w:basedOn w:val="DefaultParagraphFont"/>
    <w:uiPriority w:val="99"/>
    <w:unhideWhenUsed/>
    <w:rsid w:val="00537E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4961</Characters>
  <Application>Microsoft Office Word</Application>
  <DocSecurity>0</DocSecurity>
  <Lines>124</Lines>
  <Paragraphs>77</Paragraphs>
  <ScaleCrop>false</ScaleCrop>
  <Company>Author-it Software Corporation Ltd.</Company>
  <LinksUpToDate>false</LinksUpToDate>
  <CharactersWithSpaces>5678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RIIBEF302D Monitor site production activities</dc:title>
  <dc:subject>Approved</dc:subject>
  <dc:creator>PwC’s Skills for Australia</dc:creator>
  <cp:keywords>Release: 2</cp:keywords>
  <dc:description>Review Date: 12 April 2008</dc:description>
  <cp:lastModifiedBy>HSD_TPCMSd.prod</cp:lastModifiedBy>
  <cp:revision>3</cp:revision>
  <dcterms:created xsi:type="dcterms:W3CDTF">2020-07-08T05:35:00Z</dcterms:created>
  <dcterms:modified xsi:type="dcterms:W3CDTF">2020-07-08T05:35:00Z</dcterms:modified>
</cp:coreProperties>
</file>