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2B89" w:rsidP="00182B89">
      <w:pPr>
        <w:pStyle w:val="Title"/>
      </w:pPr>
      <w:r>
        <w:fldChar w:fldCharType="begin"/>
      </w:r>
      <w:r>
        <w:instrText xml:space="preserve"> TITLE   \* MERGEFORMAT </w:instrText>
      </w:r>
      <w:r>
        <w:fldChar w:fldCharType="separate"/>
      </w:r>
      <w:r>
        <w:t>Assessment Requirements for RIIARO410 Control safety risks in autonomous operations</w:t>
      </w:r>
      <w:r>
        <w:fldChar w:fldCharType="end"/>
      </w:r>
    </w:p>
    <w:p w:rsidR="00182B89" w:rsidP="00182B89">
      <w:pPr>
        <w:pStyle w:val="Version"/>
        <w:sectPr w:rsidSect="00C432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3256" w:rsidP="00C43256">
      <w:pPr>
        <w:pStyle w:val="SuperHeading"/>
      </w:pPr>
      <w:r w:rsidRPr="00C43256">
        <w:t>Assessment Requirements for RIIARO410 Control safety risks in autonomous operations</w:t>
      </w:r>
    </w:p>
    <w:p w:rsidR="00000000" w:rsidRPr="00C43256" w:rsidP="00C43256">
      <w:pPr>
        <w:pStyle w:val="Heading1"/>
      </w:pPr>
      <w:bookmarkStart w:id="1" w:name="O_1257107"/>
      <w:bookmarkEnd w:id="1"/>
      <w:r w:rsidRPr="00C43256">
        <w:t>Modification History</w:t>
      </w:r>
    </w:p>
    <w:tbl>
      <w:tblPr>
        <w:tblW w:w="0" w:type="auto"/>
        <w:tblLayout w:type="fixed"/>
        <w:tblCellMar>
          <w:left w:w="62" w:type="dxa"/>
          <w:right w:w="62" w:type="dxa"/>
        </w:tblCellMar>
        <w:tblLook w:val="0000"/>
      </w:tblPr>
      <w:tblGrid>
        <w:gridCol w:w="2684"/>
        <w:gridCol w:w="6388"/>
      </w:tblGrid>
      <w:tr w:rsidTr="00C43256">
        <w:tblPrEx>
          <w:tblW w:w="0" w:type="auto"/>
          <w:tblLayout w:type="fixed"/>
          <w:tblCellMar>
            <w:left w:w="62" w:type="dxa"/>
            <w:right w:w="62" w:type="dxa"/>
          </w:tblCellMar>
          <w:tblLook w:val="0000"/>
        </w:tblPrEx>
        <w:tc>
          <w:tcPr>
            <w:tcW w:w="2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256">
            <w:pPr>
              <w:pStyle w:val="BodyText"/>
              <w:rPr>
                <w:lang w:val="en-NZ"/>
              </w:rPr>
            </w:pPr>
            <w:r w:rsidRPr="00C43256">
              <w:t>Release 1</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3256" w:rsidP="00C43256">
            <w:pPr>
              <w:pStyle w:val="BodyText"/>
            </w:pPr>
            <w:r w:rsidRPr="00C43256">
              <w:t>This version first released with RII Resources and Infrastructure Industry Training Package Version 9.0.</w:t>
            </w:r>
          </w:p>
          <w:p w:rsidR="00000000" w:rsidRPr="00C43256" w:rsidP="00C43256">
            <w:pPr>
              <w:pStyle w:val="BodyText"/>
            </w:pPr>
            <w:r w:rsidRPr="00C43256">
              <w:t>Newly created unit.</w:t>
            </w:r>
          </w:p>
        </w:tc>
      </w:tr>
    </w:tbl>
    <w:p w:rsidR="00000000" w:rsidRPr="00C43256" w:rsidP="00C43256">
      <w:pPr>
        <w:pStyle w:val="BodyText"/>
      </w:pPr>
    </w:p>
    <w:p w:rsidR="00000000" w:rsidRPr="00C43256" w:rsidP="00C43256">
      <w:pPr>
        <w:pStyle w:val="AllowPageBreak"/>
      </w:pPr>
    </w:p>
    <w:p w:rsidR="00000000" w:rsidRPr="00C43256" w:rsidP="00C43256">
      <w:pPr>
        <w:pStyle w:val="Heading1"/>
      </w:pPr>
      <w:bookmarkStart w:id="2" w:name="O_1257108"/>
      <w:bookmarkEnd w:id="2"/>
      <w:r w:rsidRPr="00C43256">
        <w:t>Performance Evidence</w:t>
      </w:r>
    </w:p>
    <w:p w:rsidR="00000000" w:rsidRPr="00C43256" w:rsidP="00182B89">
      <w:pPr>
        <w:pStyle w:val="BodyText"/>
      </w:pPr>
      <w:r w:rsidRPr="00C43256">
        <w:t>The candidate must demonstrate the ability to complete the tasks outlined in the elements, performance criteria and foundation skills of this unit, including evidence of the ability to:</w:t>
      </w:r>
    </w:p>
    <w:p w:rsidR="00000000" w:rsidRPr="00C43256" w:rsidP="00C43256">
      <w:pPr>
        <w:pStyle w:val="ListBullet"/>
      </w:pPr>
      <w:r w:rsidRPr="00C43256">
        <w:t>monitor</w:t>
      </w:r>
      <w:r w:rsidRPr="00C43256">
        <w:t xml:space="preserve"> and respond to safety risks on at least 2 occasions, at least 1 of which must relate to an emergency situation involving:</w:t>
      </w:r>
    </w:p>
    <w:p w:rsidR="00000000" w:rsidRPr="00C43256" w:rsidP="00C43256">
      <w:pPr>
        <w:pStyle w:val="ListBullet2"/>
      </w:pPr>
      <w:r w:rsidRPr="00C43256">
        <w:t>equipment, or</w:t>
      </w:r>
    </w:p>
    <w:p w:rsidR="00000000" w:rsidRPr="00C43256" w:rsidP="00C43256">
      <w:pPr>
        <w:pStyle w:val="ListBullet2"/>
      </w:pPr>
      <w:r w:rsidRPr="00C43256">
        <w:t>personnel, or</w:t>
      </w:r>
    </w:p>
    <w:p w:rsidR="00000000" w:rsidRPr="00C43256" w:rsidP="00C43256">
      <w:pPr>
        <w:pStyle w:val="ListBullet2"/>
      </w:pPr>
      <w:r w:rsidRPr="00C43256">
        <w:t>environmental conditions, or</w:t>
      </w:r>
    </w:p>
    <w:p w:rsidR="00000000" w:rsidRPr="00C43256" w:rsidP="00C43256">
      <w:pPr>
        <w:pStyle w:val="ListBullet2"/>
      </w:pPr>
      <w:r w:rsidRPr="00C43256">
        <w:t>a combination of the above.</w:t>
      </w:r>
    </w:p>
    <w:p w:rsidR="00000000" w:rsidRPr="00C43256" w:rsidP="00C43256">
      <w:pPr>
        <w:pStyle w:val="AllowPageBreak"/>
      </w:pPr>
    </w:p>
    <w:p w:rsidR="00000000" w:rsidRPr="00C43256" w:rsidP="00C43256">
      <w:pPr>
        <w:pStyle w:val="Heading1"/>
      </w:pPr>
      <w:bookmarkStart w:id="3" w:name="O_1257109"/>
      <w:bookmarkEnd w:id="3"/>
      <w:r w:rsidRPr="00C43256">
        <w:t>Knowledge Evidence</w:t>
      </w:r>
    </w:p>
    <w:p w:rsidR="00000000" w:rsidRPr="00C43256" w:rsidP="00182B89">
      <w:pPr>
        <w:pStyle w:val="BodyText"/>
      </w:pPr>
      <w:r w:rsidRPr="00C43256">
        <w:t>The candidate must be able to demonstrate knowledge to complete the tasks outlined in the elements, performance criteria and foundation skills of this unit, including knowledge of:</w:t>
      </w:r>
    </w:p>
    <w:p w:rsidR="00000000" w:rsidRPr="00C43256" w:rsidP="00C43256">
      <w:pPr>
        <w:pStyle w:val="ListBullet"/>
      </w:pPr>
      <w:r w:rsidRPr="00C43256">
        <w:t>organisational health and safety requirements relating to own role, includ</w:t>
      </w:r>
      <w:r w:rsidRPr="00C43256">
        <w:t>ing those detailed in:</w:t>
      </w:r>
    </w:p>
    <w:p w:rsidR="00000000" w:rsidRPr="00C43256" w:rsidP="00C43256">
      <w:pPr>
        <w:pStyle w:val="ListBullet2"/>
      </w:pPr>
      <w:r w:rsidRPr="00C43256">
        <w:t>policies and procedures</w:t>
      </w:r>
    </w:p>
    <w:p w:rsidR="00000000" w:rsidRPr="00C43256" w:rsidP="00C43256">
      <w:pPr>
        <w:pStyle w:val="ListBullet2"/>
      </w:pPr>
      <w:r w:rsidRPr="00C43256">
        <w:t>industry standards</w:t>
      </w:r>
    </w:p>
    <w:p w:rsidR="00000000" w:rsidRPr="00C43256" w:rsidP="00C43256">
      <w:pPr>
        <w:pStyle w:val="ListBullet2"/>
      </w:pPr>
      <w:r w:rsidRPr="00C43256">
        <w:t>guidelines</w:t>
      </w:r>
    </w:p>
    <w:p w:rsidR="00000000" w:rsidRPr="00C43256" w:rsidP="00C43256">
      <w:pPr>
        <w:pStyle w:val="ListBullet2"/>
      </w:pPr>
      <w:r w:rsidRPr="00C43256">
        <w:t>public statements</w:t>
      </w:r>
    </w:p>
    <w:p w:rsidR="00000000" w:rsidRPr="00C43256" w:rsidP="00C43256">
      <w:pPr>
        <w:pStyle w:val="ListBullet2"/>
      </w:pPr>
      <w:r w:rsidRPr="00C43256">
        <w:t>emergency response plans</w:t>
      </w:r>
    </w:p>
    <w:p w:rsidR="00000000" w:rsidRPr="00C43256" w:rsidP="00C43256">
      <w:pPr>
        <w:pStyle w:val="ListBullet"/>
      </w:pPr>
      <w:r w:rsidRPr="00C43256">
        <w:t>industry standards and guidelines relating to safety in own role in autonomous workplaces, including or equivalent to:</w:t>
      </w:r>
    </w:p>
    <w:p w:rsidR="00000000" w:rsidRPr="00C43256" w:rsidP="00C43256">
      <w:pPr>
        <w:pStyle w:val="ListBullet2"/>
      </w:pPr>
      <w:r w:rsidRPr="00C43256">
        <w:t>IEC 61508 / AS</w:t>
      </w:r>
      <w:r w:rsidRPr="00C43256">
        <w:t xml:space="preserve"> 61508 Functional Safety of electrical/electronic/programmable electronic safety- related systems</w:t>
      </w:r>
    </w:p>
    <w:p w:rsidR="00000000" w:rsidRPr="00C43256" w:rsidP="00C43256">
      <w:pPr>
        <w:pStyle w:val="ListBullet2"/>
      </w:pPr>
      <w:r w:rsidRPr="00C43256">
        <w:t>ISO 17757 Earth moving machinery and mining – Autonomous and semi-autonomous machine system safety</w:t>
      </w:r>
    </w:p>
    <w:p w:rsidR="00000000" w:rsidRPr="00C43256" w:rsidP="00C43256">
      <w:pPr>
        <w:pStyle w:val="ListBullet"/>
      </w:pPr>
      <w:r w:rsidRPr="00C43256">
        <w:t>legislative, regulatory and compliance requirements, including or equivalent to:</w:t>
      </w:r>
    </w:p>
    <w:p w:rsidR="00000000" w:rsidRPr="00C43256" w:rsidP="00C43256">
      <w:pPr>
        <w:pStyle w:val="ListBullet2"/>
      </w:pPr>
      <w:r w:rsidRPr="00C43256">
        <w:t>national Work Health and Safety Act 2011</w:t>
      </w:r>
    </w:p>
    <w:p w:rsidR="00000000" w:rsidRPr="00C43256" w:rsidP="00C43256">
      <w:pPr>
        <w:pStyle w:val="ListBullet2"/>
      </w:pPr>
      <w:r w:rsidRPr="00C43256">
        <w:t>licence to operate</w:t>
      </w:r>
    </w:p>
    <w:p w:rsidR="00000000" w:rsidRPr="00C43256" w:rsidP="00C43256">
      <w:pPr>
        <w:pStyle w:val="ListBullet2"/>
      </w:pPr>
      <w:r w:rsidRPr="00C43256">
        <w:t>partnership to operate</w:t>
      </w:r>
    </w:p>
    <w:p w:rsidR="00000000" w:rsidRPr="00C43256" w:rsidP="00C43256">
      <w:pPr>
        <w:pStyle w:val="ListBullet2"/>
      </w:pPr>
      <w:r w:rsidRPr="00C43256">
        <w:t>required legislation in operational jurisdiction</w:t>
      </w:r>
    </w:p>
    <w:p w:rsidR="00000000" w:rsidRPr="00C43256" w:rsidP="00C43256">
      <w:pPr>
        <w:pStyle w:val="ListBullet"/>
      </w:pPr>
      <w:r w:rsidRPr="00C43256">
        <w:t>hazards relating to:</w:t>
      </w:r>
    </w:p>
    <w:p w:rsidR="00000000" w:rsidRPr="00C43256" w:rsidP="00C43256">
      <w:pPr>
        <w:pStyle w:val="ListBullet2"/>
      </w:pPr>
      <w:r w:rsidRPr="00C43256">
        <w:t>product</w:t>
      </w:r>
    </w:p>
    <w:p w:rsidR="00000000" w:rsidRPr="00C43256" w:rsidP="00C43256">
      <w:pPr>
        <w:pStyle w:val="ListBullet2"/>
      </w:pPr>
      <w:r w:rsidRPr="00C43256">
        <w:t>equipment</w:t>
      </w:r>
    </w:p>
    <w:p w:rsidR="00000000" w:rsidRPr="00C43256" w:rsidP="00C43256">
      <w:pPr>
        <w:pStyle w:val="ListBullet2"/>
      </w:pPr>
      <w:r w:rsidRPr="00C43256">
        <w:t>h</w:t>
      </w:r>
      <w:r w:rsidRPr="00C43256">
        <w:t>uman factors</w:t>
      </w:r>
    </w:p>
    <w:p w:rsidR="00000000" w:rsidRPr="00C43256" w:rsidP="00C43256">
      <w:pPr>
        <w:pStyle w:val="ListBullet2"/>
      </w:pPr>
      <w:r w:rsidRPr="00C43256">
        <w:t>environmental conditions</w:t>
      </w:r>
    </w:p>
    <w:p w:rsidR="00000000" w:rsidRPr="00C43256" w:rsidP="00C43256">
      <w:pPr>
        <w:pStyle w:val="ListBullet"/>
      </w:pPr>
      <w:r w:rsidRPr="00C43256">
        <w:t>safety risk controls, including:</w:t>
      </w:r>
    </w:p>
    <w:p w:rsidR="00000000" w:rsidRPr="00C43256" w:rsidP="00C43256">
      <w:pPr>
        <w:pStyle w:val="ListBullet2"/>
      </w:pPr>
      <w:r w:rsidRPr="00C43256">
        <w:t>hazard identification and risk assessment process</w:t>
      </w:r>
    </w:p>
    <w:p w:rsidR="00000000" w:rsidRPr="00C43256" w:rsidP="00C43256">
      <w:pPr>
        <w:pStyle w:val="ListBullet2"/>
      </w:pPr>
      <w:r w:rsidRPr="00C43256">
        <w:t>isolation processes</w:t>
      </w:r>
    </w:p>
    <w:p w:rsidR="00000000" w:rsidRPr="00C43256" w:rsidP="00C43256">
      <w:pPr>
        <w:pStyle w:val="ListBullet2"/>
      </w:pPr>
      <w:r w:rsidRPr="00C43256">
        <w:t>exclusion zones</w:t>
      </w:r>
    </w:p>
    <w:p w:rsidR="00000000" w:rsidRPr="00C43256" w:rsidP="00C43256">
      <w:pPr>
        <w:pStyle w:val="ListBullet2"/>
      </w:pPr>
      <w:r w:rsidRPr="00C43256">
        <w:t>risk response plan</w:t>
      </w:r>
    </w:p>
    <w:p w:rsidR="00000000" w:rsidRPr="00C43256" w:rsidP="00C43256">
      <w:pPr>
        <w:pStyle w:val="ListBullet2"/>
      </w:pPr>
      <w:r w:rsidRPr="00C43256">
        <w:t>risk control reporting</w:t>
      </w:r>
    </w:p>
    <w:p w:rsidR="00000000" w:rsidRPr="00C43256" w:rsidP="00C43256">
      <w:pPr>
        <w:pStyle w:val="ListBullet"/>
      </w:pPr>
      <w:r w:rsidRPr="00C43256">
        <w:t>emergency response requirements, including:</w:t>
      </w:r>
    </w:p>
    <w:p w:rsidR="00000000" w:rsidRPr="00C43256" w:rsidP="00C43256">
      <w:pPr>
        <w:pStyle w:val="ListBullet2"/>
      </w:pPr>
      <w:r w:rsidRPr="00C43256">
        <w:t>assessing and prioritising emergencies</w:t>
      </w:r>
    </w:p>
    <w:p w:rsidR="00000000" w:rsidRPr="00C43256" w:rsidP="00C43256">
      <w:pPr>
        <w:pStyle w:val="ListBullet2"/>
      </w:pPr>
      <w:r w:rsidRPr="00C43256">
        <w:t>emergency roles, including own role in emergency response</w:t>
      </w:r>
    </w:p>
    <w:p w:rsidR="00000000" w:rsidRPr="00C43256" w:rsidP="00C43256">
      <w:pPr>
        <w:pStyle w:val="ListBullet2"/>
      </w:pPr>
      <w:r w:rsidRPr="00C43256">
        <w:t>emergency response or Mayday procedures</w:t>
      </w:r>
    </w:p>
    <w:p w:rsidR="00000000" w:rsidRPr="00C43256" w:rsidP="00C43256">
      <w:pPr>
        <w:pStyle w:val="ListBullet2"/>
      </w:pPr>
      <w:r w:rsidRPr="00C43256">
        <w:t>escalation procedures</w:t>
      </w:r>
    </w:p>
    <w:p w:rsidR="00000000" w:rsidRPr="00C43256" w:rsidP="00C43256">
      <w:pPr>
        <w:pStyle w:val="ListBullet2"/>
      </w:pPr>
      <w:r w:rsidRPr="00C43256">
        <w:t>broadcasts that need to be made</w:t>
      </w:r>
    </w:p>
    <w:p w:rsidR="00000000" w:rsidRPr="00C43256" w:rsidP="00C43256">
      <w:pPr>
        <w:pStyle w:val="ListBullet2"/>
      </w:pPr>
      <w:r w:rsidRPr="00C43256">
        <w:t>when and how to activate emergency tones</w:t>
      </w:r>
    </w:p>
    <w:p w:rsidR="00000000" w:rsidRPr="00C43256" w:rsidP="00C43256">
      <w:pPr>
        <w:pStyle w:val="ListBullet2"/>
      </w:pPr>
      <w:r w:rsidRPr="00C43256">
        <w:t xml:space="preserve">location and completion </w:t>
      </w:r>
      <w:r w:rsidRPr="00C43256">
        <w:t>procedures for emergency logs and other required information/documentation</w:t>
      </w:r>
    </w:p>
    <w:p w:rsidR="00000000" w:rsidRPr="00C43256" w:rsidP="00C43256">
      <w:pPr>
        <w:pStyle w:val="ListBullet"/>
      </w:pPr>
      <w:r w:rsidRPr="00C43256">
        <w:t>key policies and procedures relating to various post-incident activities, including:</w:t>
      </w:r>
    </w:p>
    <w:p w:rsidR="00000000" w:rsidRPr="00C43256" w:rsidP="00C43256">
      <w:pPr>
        <w:pStyle w:val="ListBullet2"/>
      </w:pPr>
      <w:r w:rsidRPr="00C43256">
        <w:t>debriefing</w:t>
      </w:r>
    </w:p>
    <w:p w:rsidR="00000000" w:rsidRPr="00C43256" w:rsidP="00C43256">
      <w:pPr>
        <w:pStyle w:val="ListBullet2"/>
      </w:pPr>
      <w:r w:rsidRPr="00C43256">
        <w:t>determining impacts</w:t>
      </w:r>
    </w:p>
    <w:p w:rsidR="00000000" w:rsidRPr="00C43256" w:rsidP="00C43256">
      <w:pPr>
        <w:pStyle w:val="ListBullet2"/>
      </w:pPr>
      <w:r w:rsidRPr="00C43256">
        <w:t>self-evaluation or reflection on safe work processes followed</w:t>
      </w:r>
    </w:p>
    <w:p w:rsidR="00000000" w:rsidRPr="00C43256" w:rsidP="00C43256">
      <w:pPr>
        <w:pStyle w:val="ListBullet2"/>
      </w:pPr>
      <w:r w:rsidRPr="00C43256">
        <w:t>c</w:t>
      </w:r>
      <w:r w:rsidRPr="00C43256">
        <w:t>ounselling</w:t>
      </w:r>
    </w:p>
    <w:p w:rsidR="00000000" w:rsidRPr="00C43256" w:rsidP="00C43256">
      <w:pPr>
        <w:pStyle w:val="ListBullet2"/>
      </w:pPr>
      <w:r w:rsidRPr="00C43256">
        <w:t>contributing to incident investigations.</w:t>
      </w:r>
    </w:p>
    <w:p w:rsidR="00000000" w:rsidRPr="00C43256" w:rsidP="00C43256">
      <w:pPr>
        <w:pStyle w:val="AllowPageBreak"/>
      </w:pPr>
    </w:p>
    <w:p w:rsidR="00000000" w:rsidRPr="00C43256" w:rsidP="00C43256">
      <w:pPr>
        <w:pStyle w:val="Heading1"/>
      </w:pPr>
      <w:bookmarkStart w:id="4" w:name="O_1257110"/>
      <w:bookmarkEnd w:id="4"/>
      <w:r w:rsidRPr="00C43256">
        <w:t>Assessment Conditions</w:t>
      </w:r>
    </w:p>
    <w:p w:rsidR="00000000" w:rsidRPr="00C43256" w:rsidP="00182B89">
      <w:pPr>
        <w:pStyle w:val="BodyText"/>
      </w:pPr>
      <w:r w:rsidRPr="00C43256">
        <w:t>Mandatory conditions for assessment of this unit are stipulated below. The assessment must:</w:t>
      </w:r>
    </w:p>
    <w:p w:rsidR="00000000" w:rsidRPr="00C43256" w:rsidP="00C43256">
      <w:pPr>
        <w:pStyle w:val="ListBullet"/>
      </w:pPr>
      <w:r w:rsidRPr="00C43256">
        <w:t>include access to:</w:t>
      </w:r>
    </w:p>
    <w:p w:rsidR="00000000" w:rsidRPr="00C43256" w:rsidP="00C43256">
      <w:pPr>
        <w:pStyle w:val="ListBullet2"/>
      </w:pPr>
      <w:r w:rsidRPr="00C43256">
        <w:t>personal protective equipment</w:t>
      </w:r>
    </w:p>
    <w:p w:rsidR="00000000" w:rsidRPr="00C43256" w:rsidP="00C43256">
      <w:pPr>
        <w:pStyle w:val="ListBullet2"/>
      </w:pPr>
      <w:r w:rsidRPr="00C43256">
        <w:t>control system/s</w:t>
      </w:r>
    </w:p>
    <w:p w:rsidR="00000000" w:rsidRPr="00C43256" w:rsidP="00C43256">
      <w:pPr>
        <w:pStyle w:val="ListBullet2"/>
      </w:pPr>
      <w:r w:rsidRPr="00C43256">
        <w:t>policies, procedures, and protocols relating to health, safety, environment and emergency response</w:t>
      </w:r>
    </w:p>
    <w:p w:rsidR="00000000" w:rsidRPr="00C43256" w:rsidP="00C43256">
      <w:pPr>
        <w:pStyle w:val="ListBullet2"/>
      </w:pPr>
      <w:r w:rsidRPr="00C43256">
        <w:t>communications technology</w:t>
      </w:r>
    </w:p>
    <w:p w:rsidR="00000000" w:rsidRPr="00C43256" w:rsidP="00C43256">
      <w:pPr>
        <w:pStyle w:val="ListBullet"/>
      </w:pPr>
      <w:r w:rsidRPr="00C43256">
        <w:t>be conducted in a safe environment; and,</w:t>
      </w:r>
    </w:p>
    <w:p w:rsidR="00000000" w:rsidRPr="00C43256" w:rsidP="00C43256">
      <w:pPr>
        <w:pStyle w:val="ListBullet"/>
      </w:pPr>
      <w:r w:rsidRPr="00C43256">
        <w:t>be assessed in the context of this sector’s work environment; and,</w:t>
      </w:r>
    </w:p>
    <w:p w:rsidR="00000000" w:rsidRPr="00C43256" w:rsidP="00C43256">
      <w:pPr>
        <w:pStyle w:val="ListBullet"/>
      </w:pPr>
      <w:r w:rsidRPr="00C43256">
        <w:t>be assessed in complia</w:t>
      </w:r>
      <w:r w:rsidRPr="00C43256">
        <w:t>nce with legislative and regulatory requirements and using policies, procedures and processes directly related to the industry sector for which the unit is being assessed; and,</w:t>
      </w:r>
    </w:p>
    <w:p w:rsidR="00000000" w:rsidRPr="00C43256" w:rsidP="00C43256">
      <w:pPr>
        <w:pStyle w:val="ListBullet"/>
      </w:pPr>
      <w:r w:rsidRPr="00C43256">
        <w:t xml:space="preserve">confirm consistent performance can be applied in a range of relevant workplace </w:t>
      </w:r>
      <w:r w:rsidRPr="00C43256">
        <w:t>circumstances.</w:t>
      </w:r>
    </w:p>
    <w:p w:rsidR="00000000" w:rsidRPr="00C43256" w:rsidP="00C43256">
      <w:pPr>
        <w:pStyle w:val="BodyText"/>
      </w:pPr>
    </w:p>
    <w:p w:rsidR="00000000" w:rsidRPr="00C43256" w:rsidP="00182B89">
      <w:pPr>
        <w:pStyle w:val="BodyText"/>
      </w:pPr>
      <w:r w:rsidRPr="00C43256">
        <w:t>Where personal safety or environmental damage are limiting factors, assessment may occur in a simulated work environment* provided it is realistic and sufficiently rigorous to cover all aspects of this sector’</w:t>
      </w:r>
      <w:r w:rsidRPr="00C43256">
        <w:t>s workplace performance, including environment, task skills, task management skills, contingency management skills and job role environment skills.</w:t>
      </w:r>
    </w:p>
    <w:p w:rsidR="00000000" w:rsidRPr="00C43256" w:rsidP="00C43256">
      <w:pPr>
        <w:pStyle w:val="Heading3"/>
      </w:pPr>
      <w:r w:rsidRPr="00C43256">
        <w:t>Assessor requirements</w:t>
      </w:r>
    </w:p>
    <w:p w:rsidR="00000000" w:rsidRPr="00C43256" w:rsidP="00182B89">
      <w:pPr>
        <w:pStyle w:val="BodyText"/>
      </w:pPr>
      <w:r w:rsidRPr="00C43256">
        <w:t xml:space="preserve">Assessors must be able to clearly demonstrate current and relevant industry knowledge </w:t>
      </w:r>
      <w:r w:rsidRPr="00C43256">
        <w:t>and experience to satisfy the mandatory regulatory standards as set out in the Standards for Registered Training Organisations 2015/Australian Quality Training Framework mandatory requirements for assessors current at the time of assessment and any relevan</w:t>
      </w:r>
      <w:r w:rsidRPr="00C43256">
        <w:t>t licensing and certification requirements.</w:t>
      </w:r>
    </w:p>
    <w:p w:rsidR="00000000" w:rsidRPr="00C43256" w:rsidP="00182B89">
      <w:pPr>
        <w:pStyle w:val="BodyText"/>
      </w:pPr>
      <w:r w:rsidRPr="00C43256">
        <w:t>This includes:</w:t>
      </w:r>
    </w:p>
    <w:p w:rsidR="00000000" w:rsidRPr="00C43256" w:rsidP="00C43256">
      <w:pPr>
        <w:pStyle w:val="ListBullet"/>
      </w:pPr>
      <w:r w:rsidRPr="00C43256">
        <w:t>the minimum years of current** work experience after competency has been obtained as specified below in an industry sector relevant to the outcomes of the unit.</w:t>
      </w:r>
    </w:p>
    <w:p w:rsidR="00000000" w:rsidRPr="00C43256" w:rsidP="00C43256">
      <w:pPr>
        <w:pStyle w:val="BodyText"/>
      </w:pPr>
    </w:p>
    <w:p w:rsidR="00000000" w:rsidRPr="00C43256" w:rsidP="00182B89">
      <w:pPr>
        <w:pStyle w:val="BodyText"/>
      </w:pPr>
      <w:r w:rsidRPr="00C43256">
        <w:t>It is also acceptable for the appr</w:t>
      </w:r>
      <w:r w:rsidRPr="00C43256">
        <w:t xml:space="preserve">opriately qualified assessor to work with an industry expert to conduct assessment together and for the industry expert to be involved in the assessment judgement. The industry expert must have current industry skills directly relevant to the training and </w:t>
      </w:r>
      <w:r w:rsidRPr="00C43256">
        <w:t>assessment being provided. This means the industry subject matter expert must demonstrate skills and knowledge from the minimum years of current work experience after competency has been obtained as specified below, including time spent in roles related to</w:t>
      </w:r>
      <w:r w:rsidRPr="00C43256">
        <w:t xml:space="preserve"> the unit being assessed:</w:t>
      </w:r>
    </w:p>
    <w:tbl>
      <w:tblPr>
        <w:tblW w:w="9568" w:type="dxa"/>
        <w:tblLayout w:type="fixed"/>
        <w:tblCellMar>
          <w:left w:w="62" w:type="dxa"/>
          <w:right w:w="62" w:type="dxa"/>
        </w:tblCellMar>
        <w:tblLook w:val="0000"/>
      </w:tblPr>
      <w:tblGrid>
        <w:gridCol w:w="4472"/>
        <w:gridCol w:w="1698"/>
        <w:gridCol w:w="3398"/>
      </w:tblGrid>
      <w:tr w:rsidTr="00C43256">
        <w:tblPrEx>
          <w:tblW w:w="9568" w:type="dxa"/>
          <w:tblLayout w:type="fixed"/>
          <w:tblCellMar>
            <w:left w:w="62" w:type="dxa"/>
            <w:right w:w="62" w:type="dxa"/>
          </w:tblCellMar>
          <w:tblLook w:val="0000"/>
        </w:tblPrEx>
        <w:trPr>
          <w:tblHeader/>
        </w:trPr>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256">
            <w:pPr>
              <w:pStyle w:val="TableHeading"/>
              <w:rPr>
                <w:lang w:val="en-NZ"/>
              </w:rPr>
            </w:pPr>
            <w:r w:rsidRPr="00C43256">
              <w:t>Industry sector/Unit sector</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256">
            <w:pPr>
              <w:pStyle w:val="TableHeading"/>
              <w:rPr>
                <w:lang w:val="en-NZ"/>
              </w:rPr>
            </w:pPr>
            <w:r w:rsidRPr="00C43256">
              <w:t>AQF indicator leveL</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256">
            <w:pPr>
              <w:pStyle w:val="TableHeading"/>
              <w:rPr>
                <w:lang w:val="en-NZ"/>
              </w:rPr>
            </w:pPr>
            <w:r w:rsidRPr="00C43256">
              <w:t>Required assessor or industry subject matter expert experience</w:t>
            </w:r>
          </w:p>
        </w:tc>
      </w:tr>
      <w:tr w:rsidTr="00C43256">
        <w:tblPrEx>
          <w:tblW w:w="9568" w:type="dxa"/>
          <w:tblLayout w:type="fixed"/>
          <w:tblCellMar>
            <w:left w:w="62" w:type="dxa"/>
            <w:right w:w="62" w:type="dxa"/>
          </w:tblCellMar>
          <w:tblLook w:val="0000"/>
        </w:tblPrEx>
        <w:tc>
          <w:tcPr>
            <w:tcW w:w="447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256">
            <w:pPr>
              <w:pStyle w:val="BodyText"/>
              <w:rPr>
                <w:lang w:val="en-NZ"/>
              </w:rPr>
            </w:pPr>
            <w:r w:rsidRPr="00C43256">
              <w:t>Drilling, Metalliferous Mining, Coal Mining, Extractive (Quarrying)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256">
            <w:pPr>
              <w:pStyle w:val="BodyText"/>
              <w:rPr>
                <w:lang w:val="en-NZ"/>
              </w:rPr>
            </w:pPr>
            <w:r w:rsidRPr="00C43256">
              <w:t>1</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256">
            <w:pPr>
              <w:pStyle w:val="BodyText"/>
              <w:rPr>
                <w:lang w:val="en-NZ"/>
              </w:rPr>
            </w:pPr>
            <w:r w:rsidRPr="00C43256">
              <w:t>1 year</w:t>
            </w:r>
          </w:p>
        </w:tc>
      </w:tr>
      <w:tr w:rsidTr="00C43256">
        <w:tblPrEx>
          <w:tblW w:w="9568" w:type="dxa"/>
          <w:tblLayout w:type="fixed"/>
          <w:tblCellMar>
            <w:left w:w="62" w:type="dxa"/>
            <w:right w:w="62" w:type="dxa"/>
          </w:tblCellMar>
          <w:tblLook w:val="0000"/>
        </w:tblPrEx>
        <w:tc>
          <w:tcPr>
            <w:tcW w:w="447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256">
            <w:pPr>
              <w:pStyle w:val="BodyText"/>
              <w:rPr>
                <w:lang w:val="en-NZ"/>
              </w:rPr>
            </w:pPr>
            <w:r w:rsidRPr="00C43256">
              <w:t>2</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256">
            <w:pPr>
              <w:pStyle w:val="BodyText"/>
              <w:rPr>
                <w:lang w:val="en-NZ"/>
              </w:rPr>
            </w:pPr>
            <w:r w:rsidRPr="00C43256">
              <w:t>2 years</w:t>
            </w:r>
          </w:p>
        </w:tc>
      </w:tr>
      <w:tr w:rsidTr="00C43256">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256">
            <w:pPr>
              <w:pStyle w:val="BodyText"/>
              <w:rPr>
                <w:lang w:val="en-NZ"/>
              </w:rPr>
            </w:pPr>
            <w:r w:rsidRPr="00C43256">
              <w:t>Drilling, Coal Mining, Extractive (Quarrying), Metalliferous Mining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256">
            <w:pPr>
              <w:pStyle w:val="BodyText"/>
              <w:rPr>
                <w:lang w:val="en-NZ"/>
              </w:rPr>
            </w:pPr>
            <w:r w:rsidRPr="00C43256">
              <w:t>3-6</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256">
            <w:pPr>
              <w:pStyle w:val="BodyText"/>
              <w:rPr>
                <w:lang w:val="en-NZ"/>
              </w:rPr>
            </w:pPr>
            <w:r w:rsidRPr="00C43256">
              <w:t>3 years</w:t>
            </w:r>
          </w:p>
        </w:tc>
      </w:tr>
      <w:tr w:rsidTr="00C43256">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256">
            <w:pPr>
              <w:pStyle w:val="BodyText"/>
              <w:rPr>
                <w:lang w:val="en-NZ"/>
              </w:rPr>
            </w:pPr>
            <w:r w:rsidRPr="00C43256">
              <w:t>Units coded ‘RIIARO’ (Autonomous and Remote Operations)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256">
            <w:pPr>
              <w:pStyle w:val="BodyText"/>
              <w:rPr>
                <w:lang w:val="en-NZ"/>
              </w:rPr>
            </w:pPr>
            <w:r w:rsidRPr="00C43256">
              <w:t>Given that this is an emerging industry area, assessors are required to demonstrate vocational competencies at least to the level being assessed, and current industry skills directly relevant to the assessment being provided.</w:t>
            </w:r>
          </w:p>
        </w:tc>
      </w:tr>
      <w:tr w:rsidTr="00C43256">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256">
            <w:pPr>
              <w:pStyle w:val="BodyText"/>
              <w:rPr>
                <w:lang w:val="en-NZ"/>
              </w:rPr>
            </w:pPr>
            <w:r w:rsidRPr="00C43256">
              <w:t>Other sectors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43256" w:rsidP="00C43256">
            <w:pPr>
              <w:pStyle w:val="BodyText"/>
            </w:pPr>
            <w:r w:rsidRPr="00C43256">
              <w:t>Where this uni</w:t>
            </w:r>
            <w:r w:rsidRPr="00C43256">
              <w:t>t is being assessed outside of the resources and infrastructure sectors assessor and/or industry subject matter expert experience should be in line with industry standards for the sector in which it is being assessed and where no industry standard is speci</w:t>
            </w:r>
            <w:r w:rsidRPr="00C43256">
              <w:t>fied should comply with any relevant regulation.</w:t>
            </w:r>
          </w:p>
        </w:tc>
      </w:tr>
    </w:tbl>
    <w:p w:rsidR="00000000" w:rsidRPr="00C43256" w:rsidP="00182B89">
      <w:pPr>
        <w:pStyle w:val="BodyText"/>
      </w:pPr>
      <w:r w:rsidRPr="00C43256">
        <w:t>*Guidance on simulated environments has been stipulated in the Companion Volume Implementation Guide located on VETNet.</w:t>
      </w:r>
    </w:p>
    <w:p w:rsidR="00000000" w:rsidRPr="00C43256" w:rsidP="00182B89">
      <w:pPr>
        <w:pStyle w:val="BodyText"/>
      </w:pPr>
      <w:r w:rsidRPr="00C43256">
        <w:t>**Assessors can demonstrate current work experience through employment within industr</w:t>
      </w:r>
      <w:r w:rsidRPr="00C43256">
        <w:t>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C43256" w:rsidP="00182B89">
      <w:pPr>
        <w:pStyle w:val="BodyText"/>
      </w:pPr>
      <w:r w:rsidRPr="00C43256">
        <w:t>*</w:t>
      </w:r>
      <w:r w:rsidRPr="00C43256">
        <w:t>**Excluding units coded ‘RIIARO’ (Autonomous and Remote Operations</w:t>
      </w:r>
    </w:p>
    <w:p w:rsidR="00000000" w:rsidRPr="00C43256" w:rsidP="00C43256">
      <w:pPr>
        <w:pStyle w:val="Heading1"/>
      </w:pPr>
      <w:bookmarkStart w:id="5" w:name="O_1257113"/>
      <w:bookmarkEnd w:id="5"/>
      <w:r w:rsidRPr="00C43256">
        <w:t>Links</w:t>
      </w:r>
    </w:p>
    <w:p w:rsidR="00000000" w:rsidRPr="00C43256" w:rsidP="00182B89">
      <w:pPr>
        <w:pStyle w:val="BodyText"/>
      </w:pPr>
      <w:r w:rsidRPr="00C43256">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E1343E">
        <w:rPr>
          <w:rStyle w:val="Hyperlink"/>
        </w:rPr>
        <w:t>https://vetnet.gov.au/Pages/TrainingDocs.aspx?q=88a61002-9a21-4386-aaf8-69c76e675272</w:t>
      </w:r>
      <w:r>
        <w:fldChar w:fldCharType="end"/>
      </w:r>
    </w:p>
    <w:p w:rsidR="00000000" w:rsidRPr="00C43256" w:rsidP="00C43256"/>
    <w:sectPr w:rsidSect="00C4325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2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256" w:rsidRPr="00182B89" w:rsidP="00182B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2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B89" w:rsidP="00C432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2B89" w:rsidP="00C4325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82B89" w:rsidP="00C432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2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B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3256" w:rsidRPr="00182B89" w:rsidP="00182B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2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B89" w:rsidRPr="002D2AF8" w:rsidP="00C43256">
    <w:pPr>
      <w:pStyle w:val="Header"/>
      <w:framePr w:wrap="around"/>
    </w:pPr>
    <w:r>
      <w:fldChar w:fldCharType="begin"/>
    </w:r>
    <w:r>
      <w:instrText xml:space="preserve"> TITLE   \* MERGEFORMAT </w:instrText>
    </w:r>
    <w:r>
      <w:fldChar w:fldCharType="separate"/>
    </w:r>
    <w:r>
      <w:t>Assessment Requirements for RIIARO410 Control safety risks in autonomous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82B89" w:rsidP="00C432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8ADA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52E4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3C50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2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3256"/>
    <w:pPr>
      <w:spacing w:before="360" w:after="60"/>
      <w:outlineLvl w:val="0"/>
    </w:pPr>
    <w:rPr>
      <w:sz w:val="32"/>
    </w:rPr>
  </w:style>
  <w:style w:type="paragraph" w:styleId="Heading2">
    <w:name w:val="heading 2"/>
    <w:basedOn w:val="HeadingBase"/>
    <w:next w:val="BodyText"/>
    <w:link w:val="Heading2Char"/>
    <w:qFormat/>
    <w:rsid w:val="00C43256"/>
    <w:pPr>
      <w:keepLines/>
      <w:spacing w:before="240" w:after="120"/>
      <w:outlineLvl w:val="1"/>
    </w:pPr>
    <w:rPr>
      <w:sz w:val="28"/>
      <w:szCs w:val="40"/>
    </w:rPr>
  </w:style>
  <w:style w:type="paragraph" w:styleId="Heading3">
    <w:name w:val="heading 3"/>
    <w:basedOn w:val="HeadingBase"/>
    <w:next w:val="BodyText"/>
    <w:link w:val="Heading3Char"/>
    <w:qFormat/>
    <w:rsid w:val="00C43256"/>
    <w:pPr>
      <w:spacing w:before="180" w:after="120"/>
      <w:outlineLvl w:val="2"/>
    </w:pPr>
    <w:rPr>
      <w:spacing w:val="-10"/>
      <w:kern w:val="32"/>
    </w:rPr>
  </w:style>
  <w:style w:type="paragraph" w:styleId="Heading4">
    <w:name w:val="heading 4"/>
    <w:basedOn w:val="HeadingBase"/>
    <w:next w:val="BodyText"/>
    <w:link w:val="Heading4Char"/>
    <w:qFormat/>
    <w:rsid w:val="00C43256"/>
    <w:pPr>
      <w:spacing w:before="160" w:after="120"/>
      <w:outlineLvl w:val="3"/>
    </w:pPr>
    <w:rPr>
      <w:sz w:val="22"/>
    </w:rPr>
  </w:style>
  <w:style w:type="paragraph" w:styleId="Heading5">
    <w:name w:val="heading 5"/>
    <w:basedOn w:val="HeadingBase"/>
    <w:next w:val="Normal"/>
    <w:link w:val="Heading5Char"/>
    <w:qFormat/>
    <w:rsid w:val="00C43256"/>
    <w:pPr>
      <w:spacing w:before="80"/>
      <w:outlineLvl w:val="4"/>
    </w:pPr>
    <w:rPr>
      <w:color w:val="918585"/>
      <w:sz w:val="20"/>
    </w:rPr>
  </w:style>
  <w:style w:type="paragraph" w:styleId="Heading6">
    <w:name w:val="heading 6"/>
    <w:basedOn w:val="HeadingBase"/>
    <w:next w:val="Normal"/>
    <w:link w:val="Heading6Char"/>
    <w:qFormat/>
    <w:rsid w:val="00C43256"/>
    <w:pPr>
      <w:spacing w:before="60"/>
      <w:outlineLvl w:val="5"/>
    </w:pPr>
    <w:rPr>
      <w:color w:val="918585"/>
      <w:sz w:val="20"/>
    </w:rPr>
  </w:style>
  <w:style w:type="paragraph" w:styleId="Heading7">
    <w:name w:val="heading 7"/>
    <w:basedOn w:val="Normal"/>
    <w:next w:val="Normal"/>
    <w:link w:val="Heading7Char"/>
    <w:qFormat/>
    <w:rsid w:val="00C43256"/>
    <w:pPr>
      <w:ind w:left="720"/>
      <w:outlineLvl w:val="6"/>
    </w:pPr>
    <w:rPr>
      <w:i/>
    </w:rPr>
  </w:style>
  <w:style w:type="paragraph" w:styleId="Heading8">
    <w:name w:val="heading 8"/>
    <w:basedOn w:val="Normal"/>
    <w:next w:val="Normal"/>
    <w:link w:val="Heading8Char"/>
    <w:qFormat/>
    <w:rsid w:val="00C43256"/>
    <w:pPr>
      <w:ind w:left="720"/>
      <w:outlineLvl w:val="7"/>
    </w:pPr>
    <w:rPr>
      <w:i/>
    </w:rPr>
  </w:style>
  <w:style w:type="paragraph" w:styleId="Heading9">
    <w:name w:val="heading 9"/>
    <w:basedOn w:val="Normal"/>
    <w:next w:val="Normal"/>
    <w:link w:val="Heading9Char"/>
    <w:qFormat/>
    <w:rsid w:val="00C43256"/>
    <w:pPr>
      <w:ind w:left="720"/>
      <w:outlineLvl w:val="8"/>
    </w:pPr>
    <w:rPr>
      <w:i/>
    </w:rPr>
  </w:style>
  <w:style w:type="character" w:default="1" w:styleId="DefaultParagraphFont">
    <w:name w:val="Default Paragraph Font"/>
    <w:uiPriority w:val="1"/>
    <w:unhideWhenUsed/>
    <w:rsid w:val="00C432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3256"/>
  </w:style>
  <w:style w:type="character" w:customStyle="1" w:styleId="Heading1Char">
    <w:name w:val="Heading 1 Char"/>
    <w:basedOn w:val="DefaultParagraphFont"/>
    <w:link w:val="Heading1"/>
    <w:rsid w:val="00C43256"/>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C43256"/>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C432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3256"/>
    <w:rPr>
      <w:rFonts w:ascii="Times New Roman" w:eastAsia="Times New Roman" w:hAnsi="Times New Roman" w:cs="Times New Roman"/>
      <w:sz w:val="24"/>
      <w:lang w:eastAsia="en-US"/>
    </w:rPr>
  </w:style>
  <w:style w:type="paragraph" w:styleId="ListBullet">
    <w:name w:val="List Bullet"/>
    <w:basedOn w:val="List"/>
    <w:rsid w:val="00C43256"/>
    <w:pPr>
      <w:numPr>
        <w:numId w:val="12"/>
      </w:numPr>
      <w:tabs>
        <w:tab w:val="clear" w:pos="340"/>
      </w:tabs>
      <w:spacing w:before="40" w:after="40"/>
    </w:pPr>
  </w:style>
  <w:style w:type="paragraph" w:styleId="ListBullet2">
    <w:name w:val="List Bullet 2"/>
    <w:basedOn w:val="List2"/>
    <w:rsid w:val="00C43256"/>
    <w:pPr>
      <w:numPr>
        <w:numId w:val="13"/>
      </w:numPr>
      <w:tabs>
        <w:tab w:val="clear" w:pos="680"/>
      </w:tabs>
    </w:pPr>
  </w:style>
  <w:style w:type="paragraph" w:customStyle="1" w:styleId="SuperHeading">
    <w:name w:val="SuperHeading"/>
    <w:basedOn w:val="Normal"/>
    <w:rsid w:val="00C43256"/>
    <w:pPr>
      <w:spacing w:before="240" w:after="120"/>
      <w:outlineLvl w:val="0"/>
    </w:pPr>
    <w:rPr>
      <w:rFonts w:ascii="Times New Roman" w:hAnsi="Times New Roman"/>
      <w:b/>
      <w:sz w:val="32"/>
    </w:rPr>
  </w:style>
  <w:style w:type="paragraph" w:customStyle="1" w:styleId="TableHeading">
    <w:name w:val="Table Heading"/>
    <w:basedOn w:val="HeadingBase"/>
    <w:rsid w:val="00C43256"/>
    <w:pPr>
      <w:keepLines/>
      <w:pBdr>
        <w:bottom w:val="single" w:sz="6" w:space="1" w:color="918585"/>
      </w:pBdr>
      <w:spacing w:before="240"/>
    </w:pPr>
  </w:style>
  <w:style w:type="paragraph" w:customStyle="1" w:styleId="AllowPageBreak">
    <w:name w:val="AllowPageBreak"/>
    <w:rsid w:val="00C432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3256"/>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C432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32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32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32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32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3256"/>
    <w:rPr>
      <w:rFonts w:ascii="Courier New" w:eastAsia="Times New Roman" w:hAnsi="Courier New" w:cs="Times New Roman"/>
      <w:i/>
      <w:szCs w:val="20"/>
      <w:lang w:eastAsia="en-US"/>
    </w:rPr>
  </w:style>
  <w:style w:type="paragraph" w:customStyle="1" w:styleId="HeadingBase">
    <w:name w:val="Heading Base"/>
    <w:rsid w:val="00C432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3256"/>
    <w:pPr>
      <w:tabs>
        <w:tab w:val="right" w:leader="dot" w:pos="9072"/>
      </w:tabs>
      <w:ind w:left="567"/>
    </w:pPr>
    <w:rPr>
      <w:szCs w:val="22"/>
    </w:rPr>
  </w:style>
  <w:style w:type="paragraph" w:customStyle="1" w:styleId="TOCBase">
    <w:name w:val="TOC Base"/>
    <w:rsid w:val="00C432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3256"/>
    <w:pPr>
      <w:tabs>
        <w:tab w:val="right" w:leader="dot" w:pos="9072"/>
      </w:tabs>
      <w:spacing w:before="40" w:after="40"/>
      <w:ind w:left="284"/>
    </w:pPr>
    <w:rPr>
      <w:rFonts w:ascii="Times New Roman" w:hAnsi="Times New Roman"/>
    </w:rPr>
  </w:style>
  <w:style w:type="paragraph" w:styleId="TOC1">
    <w:name w:val="toc 1"/>
    <w:basedOn w:val="TOCBase"/>
    <w:next w:val="Normal"/>
    <w:rsid w:val="00C432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32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3256"/>
    <w:rPr>
      <w:rFonts w:ascii="Times New Roman" w:eastAsia="Times New Roman" w:hAnsi="Times New Roman" w:cs="Times New Roman"/>
      <w:sz w:val="16"/>
      <w:lang w:eastAsia="en-US"/>
    </w:rPr>
  </w:style>
  <w:style w:type="paragraph" w:styleId="Title">
    <w:name w:val="Title"/>
    <w:basedOn w:val="HeadingBase"/>
    <w:link w:val="TitleChar"/>
    <w:qFormat/>
    <w:rsid w:val="00C43256"/>
    <w:pPr>
      <w:spacing w:before="5040"/>
      <w:jc w:val="center"/>
    </w:pPr>
    <w:rPr>
      <w:sz w:val="48"/>
      <w:szCs w:val="72"/>
      <w:lang w:val="en-US"/>
    </w:rPr>
  </w:style>
  <w:style w:type="character" w:customStyle="1" w:styleId="TitleChar">
    <w:name w:val="Title Char"/>
    <w:basedOn w:val="DefaultParagraphFont"/>
    <w:link w:val="Title"/>
    <w:rsid w:val="00C432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3256"/>
    <w:pPr>
      <w:tabs>
        <w:tab w:val="left" w:pos="3600"/>
        <w:tab w:val="left" w:pos="3958"/>
      </w:tabs>
    </w:pPr>
  </w:style>
  <w:style w:type="paragraph" w:styleId="List">
    <w:name w:val="List"/>
    <w:basedOn w:val="BodyText"/>
    <w:next w:val="BodyText"/>
    <w:rsid w:val="00C43256"/>
    <w:pPr>
      <w:tabs>
        <w:tab w:val="left" w:pos="340"/>
      </w:tabs>
      <w:spacing w:before="60" w:after="60"/>
      <w:ind w:left="340" w:hanging="340"/>
    </w:pPr>
  </w:style>
  <w:style w:type="paragraph" w:customStyle="1" w:styleId="Note">
    <w:name w:val="Note"/>
    <w:basedOn w:val="BodyText"/>
    <w:rsid w:val="00C4325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43256"/>
    <w:rPr>
      <w:b/>
      <w:spacing w:val="0"/>
    </w:rPr>
  </w:style>
  <w:style w:type="paragraph" w:customStyle="1" w:styleId="SuperTitle">
    <w:name w:val="SuperTitle"/>
    <w:basedOn w:val="Title"/>
    <w:rsid w:val="00C43256"/>
    <w:pPr>
      <w:framePr w:wrap="auto" w:hAnchor="text" w:y="6049"/>
    </w:pPr>
    <w:rPr>
      <w:color w:val="000000"/>
      <w:sz w:val="40"/>
    </w:rPr>
  </w:style>
  <w:style w:type="paragraph" w:customStyle="1" w:styleId="TOCTitle">
    <w:name w:val="TOCTitle"/>
    <w:basedOn w:val="Heading1"/>
    <w:rsid w:val="00C43256"/>
    <w:pPr>
      <w:spacing w:after="240"/>
      <w:jc w:val="center"/>
      <w:outlineLvl w:val="9"/>
    </w:pPr>
    <w:rPr>
      <w:caps/>
    </w:rPr>
  </w:style>
  <w:style w:type="paragraph" w:customStyle="1" w:styleId="Version">
    <w:name w:val="Version"/>
    <w:rsid w:val="00C432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3256"/>
    <w:pPr>
      <w:keepNext w:val="0"/>
      <w:tabs>
        <w:tab w:val="right" w:pos="4176"/>
      </w:tabs>
      <w:ind w:left="198" w:hanging="198"/>
    </w:pPr>
    <w:rPr>
      <w:rFonts w:ascii="Garamond" w:hAnsi="Garamond"/>
    </w:rPr>
  </w:style>
  <w:style w:type="paragraph" w:styleId="IndexHeading">
    <w:name w:val="index heading"/>
    <w:basedOn w:val="Normal"/>
    <w:next w:val="Index1"/>
    <w:semiHidden/>
    <w:rsid w:val="00C43256"/>
    <w:pPr>
      <w:spacing w:before="120" w:after="120"/>
    </w:pPr>
    <w:rPr>
      <w:rFonts w:ascii="Arial" w:hAnsi="Arial"/>
      <w:b/>
      <w:color w:val="918585"/>
      <w:sz w:val="24"/>
    </w:rPr>
  </w:style>
  <w:style w:type="paragraph" w:styleId="Header">
    <w:name w:val="header"/>
    <w:basedOn w:val="Normal"/>
    <w:link w:val="HeaderChar"/>
    <w:rsid w:val="00C432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3256"/>
    <w:rPr>
      <w:rFonts w:ascii="Times New Roman" w:eastAsia="Times New Roman" w:hAnsi="Times New Roman" w:cs="Times New Roman"/>
      <w:sz w:val="16"/>
      <w:szCs w:val="20"/>
      <w:lang w:val="en-GB" w:eastAsia="en-US"/>
    </w:rPr>
  </w:style>
  <w:style w:type="paragraph" w:customStyle="1" w:styleId="Chapter">
    <w:name w:val="Chapter"/>
    <w:basedOn w:val="Normal"/>
    <w:rsid w:val="00C43256"/>
    <w:pPr>
      <w:spacing w:before="240"/>
    </w:pPr>
    <w:rPr>
      <w:rFonts w:ascii="Times New Roman" w:hAnsi="Times New Roman"/>
      <w:smallCaps/>
      <w:spacing w:val="80"/>
      <w:sz w:val="28"/>
    </w:rPr>
  </w:style>
  <w:style w:type="paragraph" w:customStyle="1" w:styleId="InChapter">
    <w:name w:val="InChapter"/>
    <w:basedOn w:val="Heading3"/>
    <w:rsid w:val="00C43256"/>
    <w:pPr>
      <w:spacing w:after="240"/>
      <w:outlineLvl w:val="9"/>
    </w:pPr>
    <w:rPr>
      <w:noProof/>
    </w:rPr>
  </w:style>
  <w:style w:type="paragraph" w:styleId="Index2">
    <w:name w:val="index 2"/>
    <w:basedOn w:val="Normal"/>
    <w:next w:val="Normal"/>
    <w:semiHidden/>
    <w:rsid w:val="00C43256"/>
    <w:pPr>
      <w:tabs>
        <w:tab w:val="right" w:pos="4176"/>
      </w:tabs>
      <w:ind w:left="568" w:hanging="284"/>
    </w:pPr>
    <w:rPr>
      <w:rFonts w:ascii="Garamond" w:hAnsi="Garamond"/>
    </w:rPr>
  </w:style>
  <w:style w:type="paragraph" w:customStyle="1" w:styleId="Byline">
    <w:name w:val="Byline"/>
    <w:rsid w:val="00C432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3256"/>
    <w:pPr>
      <w:tabs>
        <w:tab w:val="clear" w:pos="3600"/>
        <w:tab w:val="clear" w:pos="3958"/>
      </w:tabs>
      <w:jc w:val="right"/>
    </w:pPr>
  </w:style>
  <w:style w:type="character" w:styleId="Emphasis">
    <w:name w:val="Emphasis"/>
    <w:basedOn w:val="DefaultParagraphFont"/>
    <w:qFormat/>
    <w:rsid w:val="00C43256"/>
    <w:rPr>
      <w:i/>
    </w:rPr>
  </w:style>
  <w:style w:type="paragraph" w:styleId="Caption">
    <w:name w:val="caption"/>
    <w:basedOn w:val="BodyText"/>
    <w:next w:val="Normal"/>
    <w:qFormat/>
    <w:rsid w:val="00C43256"/>
    <w:pPr>
      <w:framePr w:w="2268" w:hSpace="181" w:vSpace="181" w:wrap="around" w:vAnchor="text" w:hAnchor="page" w:x="1135" w:y="285" w:anchorLock="1"/>
    </w:pPr>
    <w:rPr>
      <w:i/>
    </w:rPr>
  </w:style>
  <w:style w:type="paragraph" w:customStyle="1" w:styleId="MiniTOCTitle">
    <w:name w:val="MiniTOCTitle"/>
    <w:basedOn w:val="Heading4"/>
    <w:rsid w:val="00C43256"/>
    <w:pPr>
      <w:spacing w:before="240"/>
      <w:outlineLvl w:val="9"/>
    </w:pPr>
    <w:rPr>
      <w:noProof/>
      <w:sz w:val="24"/>
    </w:rPr>
  </w:style>
  <w:style w:type="paragraph" w:customStyle="1" w:styleId="MiniTOCItem">
    <w:name w:val="MiniTOCItem"/>
    <w:basedOn w:val="ListBullet"/>
    <w:rsid w:val="00C43256"/>
    <w:pPr>
      <w:numPr>
        <w:numId w:val="0"/>
      </w:numPr>
      <w:tabs>
        <w:tab w:val="right" w:leader="dot" w:pos="6521"/>
      </w:tabs>
      <w:spacing w:before="0" w:after="0"/>
    </w:pPr>
  </w:style>
  <w:style w:type="paragraph" w:customStyle="1" w:styleId="TOFTitle">
    <w:name w:val="TOFTitle"/>
    <w:basedOn w:val="TOCTitle"/>
    <w:rsid w:val="00C43256"/>
  </w:style>
  <w:style w:type="paragraph" w:styleId="TableofFigures">
    <w:name w:val="table of figures"/>
    <w:basedOn w:val="Normal"/>
    <w:next w:val="Normal"/>
    <w:semiHidden/>
    <w:rsid w:val="00C43256"/>
    <w:pPr>
      <w:tabs>
        <w:tab w:val="right" w:leader="dot" w:pos="9072"/>
      </w:tabs>
      <w:ind w:left="970" w:hanging="403"/>
    </w:pPr>
    <w:rPr>
      <w:rFonts w:ascii="Times New Roman" w:hAnsi="Times New Roman"/>
      <w:b/>
    </w:rPr>
  </w:style>
  <w:style w:type="paragraph" w:styleId="ListNumber">
    <w:name w:val="List Number"/>
    <w:basedOn w:val="List"/>
    <w:rsid w:val="00C43256"/>
    <w:pPr>
      <w:numPr>
        <w:numId w:val="15"/>
      </w:numPr>
      <w:tabs>
        <w:tab w:val="clear" w:pos="340"/>
      </w:tabs>
    </w:pPr>
  </w:style>
  <w:style w:type="character" w:customStyle="1" w:styleId="WingdingSymbols">
    <w:name w:val="Wingding Symbols"/>
    <w:rsid w:val="00C43256"/>
    <w:rPr>
      <w:rFonts w:ascii="Wingdings" w:hAnsi="Wingdings"/>
    </w:rPr>
  </w:style>
  <w:style w:type="character" w:customStyle="1" w:styleId="HotSpot">
    <w:name w:val="HotSpot"/>
    <w:rsid w:val="00C43256"/>
    <w:rPr>
      <w:color w:val="0033CC"/>
      <w:u w:val="none"/>
    </w:rPr>
  </w:style>
  <w:style w:type="paragraph" w:customStyle="1" w:styleId="BodyTextRight">
    <w:name w:val="Body Text Right"/>
    <w:basedOn w:val="BodyText"/>
    <w:rsid w:val="00C43256"/>
    <w:pPr>
      <w:spacing w:before="0" w:after="0"/>
      <w:jc w:val="right"/>
    </w:pPr>
  </w:style>
  <w:style w:type="paragraph" w:styleId="Index3">
    <w:name w:val="index 3"/>
    <w:basedOn w:val="ListNumber2"/>
    <w:next w:val="Normal"/>
    <w:semiHidden/>
    <w:rsid w:val="00C43256"/>
    <w:pPr>
      <w:numPr>
        <w:numId w:val="0"/>
      </w:numPr>
      <w:tabs>
        <w:tab w:val="right" w:leader="dot" w:pos="4176"/>
      </w:tabs>
    </w:pPr>
  </w:style>
  <w:style w:type="paragraph" w:styleId="ListNumber2">
    <w:name w:val="List Number 2"/>
    <w:basedOn w:val="List2"/>
    <w:rsid w:val="00C43256"/>
    <w:pPr>
      <w:numPr>
        <w:numId w:val="10"/>
      </w:numPr>
      <w:tabs>
        <w:tab w:val="clear" w:pos="1060"/>
      </w:tabs>
    </w:pPr>
  </w:style>
  <w:style w:type="paragraph" w:customStyle="1" w:styleId="MarginNote">
    <w:name w:val="Margin Note"/>
    <w:basedOn w:val="BodyText"/>
    <w:rsid w:val="00C432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32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32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3256"/>
    <w:rPr>
      <w:sz w:val="32"/>
    </w:rPr>
  </w:style>
  <w:style w:type="paragraph" w:customStyle="1" w:styleId="HeadingProcedure">
    <w:name w:val="Heading Procedure"/>
    <w:basedOn w:val="HeadingBase"/>
    <w:next w:val="Normal"/>
    <w:rsid w:val="00C43256"/>
    <w:pPr>
      <w:tabs>
        <w:tab w:val="left" w:pos="0"/>
      </w:tabs>
      <w:spacing w:before="120" w:after="60"/>
    </w:pPr>
    <w:rPr>
      <w:i/>
      <w:color w:val="918585"/>
      <w:sz w:val="22"/>
    </w:rPr>
  </w:style>
  <w:style w:type="paragraph" w:customStyle="1" w:styleId="TableBodyText">
    <w:name w:val="Table Body Text"/>
    <w:basedOn w:val="BodyText"/>
    <w:rsid w:val="00C43256"/>
    <w:pPr>
      <w:spacing w:before="60" w:after="60"/>
    </w:pPr>
  </w:style>
  <w:style w:type="paragraph" w:styleId="ListContinue">
    <w:name w:val="List Continue"/>
    <w:basedOn w:val="List"/>
    <w:rsid w:val="00C43256"/>
    <w:pPr>
      <w:ind w:firstLine="0"/>
    </w:pPr>
  </w:style>
  <w:style w:type="paragraph" w:customStyle="1" w:styleId="ListNote">
    <w:name w:val="List Note"/>
    <w:basedOn w:val="List"/>
    <w:rsid w:val="00C43256"/>
    <w:pPr>
      <w:pBdr>
        <w:top w:val="single" w:sz="6" w:space="2" w:color="918585"/>
        <w:bottom w:val="single" w:sz="6" w:space="2" w:color="918585"/>
      </w:pBdr>
      <w:tabs>
        <w:tab w:val="left" w:pos="1021"/>
      </w:tabs>
      <w:ind w:firstLine="0"/>
    </w:pPr>
  </w:style>
  <w:style w:type="paragraph" w:customStyle="1" w:styleId="Warning">
    <w:name w:val="Warning"/>
    <w:basedOn w:val="BodyText"/>
    <w:rsid w:val="00C43256"/>
    <w:pPr>
      <w:shd w:val="clear" w:color="auto" w:fill="D9D9D9"/>
      <w:tabs>
        <w:tab w:val="left" w:pos="992"/>
      </w:tabs>
      <w:ind w:left="119" w:right="119"/>
    </w:pPr>
    <w:rPr>
      <w:sz w:val="20"/>
    </w:rPr>
  </w:style>
  <w:style w:type="paragraph" w:customStyle="1" w:styleId="MarginIcons">
    <w:name w:val="Margin Icons"/>
    <w:basedOn w:val="BodyText"/>
    <w:rsid w:val="00C432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3256"/>
    <w:rPr>
      <w:rFonts w:ascii="Courier New" w:hAnsi="Courier New"/>
    </w:rPr>
  </w:style>
  <w:style w:type="paragraph" w:customStyle="1" w:styleId="NoteBullet">
    <w:name w:val="Note Bullet"/>
    <w:basedOn w:val="Note"/>
    <w:rsid w:val="00C43256"/>
    <w:pPr>
      <w:tabs>
        <w:tab w:val="clear" w:pos="680"/>
      </w:tabs>
      <w:spacing w:before="60" w:after="60"/>
    </w:pPr>
  </w:style>
  <w:style w:type="paragraph" w:customStyle="1" w:styleId="SubHeading2">
    <w:name w:val="SubHeading2"/>
    <w:basedOn w:val="HeadingBase"/>
    <w:rsid w:val="00C43256"/>
    <w:pPr>
      <w:spacing w:before="240" w:after="60"/>
    </w:pPr>
    <w:rPr>
      <w:sz w:val="20"/>
    </w:rPr>
  </w:style>
  <w:style w:type="paragraph" w:customStyle="1" w:styleId="SubHeading1">
    <w:name w:val="SubHeading1"/>
    <w:basedOn w:val="HeadingBase"/>
    <w:rsid w:val="00C43256"/>
    <w:pPr>
      <w:spacing w:before="240" w:after="60"/>
    </w:pPr>
    <w:rPr>
      <w:color w:val="918585"/>
      <w:sz w:val="22"/>
    </w:rPr>
  </w:style>
  <w:style w:type="paragraph" w:customStyle="1" w:styleId="SideHeading">
    <w:name w:val="Side Heading"/>
    <w:basedOn w:val="HeadingBase"/>
    <w:rsid w:val="00C432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3256"/>
    <w:pPr>
      <w:tabs>
        <w:tab w:val="num" w:pos="360"/>
      </w:tabs>
    </w:pPr>
  </w:style>
  <w:style w:type="paragraph" w:styleId="PlainText">
    <w:name w:val="Plain Text"/>
    <w:basedOn w:val="Normal"/>
    <w:link w:val="PlainTextChar"/>
    <w:rsid w:val="00C43256"/>
    <w:rPr>
      <w:sz w:val="20"/>
    </w:rPr>
  </w:style>
  <w:style w:type="character" w:customStyle="1" w:styleId="PlainTextChar">
    <w:name w:val="Plain Text Char"/>
    <w:basedOn w:val="DefaultParagraphFont"/>
    <w:link w:val="PlainText"/>
    <w:rsid w:val="00C43256"/>
    <w:rPr>
      <w:rFonts w:ascii="Courier New" w:eastAsia="Times New Roman" w:hAnsi="Courier New" w:cs="Times New Roman"/>
      <w:sz w:val="20"/>
      <w:szCs w:val="20"/>
      <w:lang w:eastAsia="en-US"/>
    </w:rPr>
  </w:style>
  <w:style w:type="character" w:customStyle="1" w:styleId="MenuOption">
    <w:name w:val="Menu Option"/>
    <w:basedOn w:val="DefaultParagraphFont"/>
    <w:rsid w:val="00C43256"/>
    <w:rPr>
      <w:b/>
      <w:smallCaps/>
    </w:rPr>
  </w:style>
  <w:style w:type="paragraph" w:customStyle="1" w:styleId="TableListNumber">
    <w:name w:val="Table List Number"/>
    <w:basedOn w:val="ListNumber"/>
    <w:rsid w:val="00C43256"/>
    <w:pPr>
      <w:numPr>
        <w:numId w:val="0"/>
      </w:numPr>
    </w:pPr>
  </w:style>
  <w:style w:type="paragraph" w:styleId="TOC4">
    <w:name w:val="toc 4"/>
    <w:basedOn w:val="TOCBase"/>
    <w:next w:val="Normal"/>
    <w:semiHidden/>
    <w:rsid w:val="00C43256"/>
    <w:pPr>
      <w:tabs>
        <w:tab w:val="right" w:leader="dot" w:pos="9071"/>
      </w:tabs>
      <w:ind w:left="1701"/>
    </w:pPr>
  </w:style>
  <w:style w:type="paragraph" w:customStyle="1" w:styleId="ListAlpha">
    <w:name w:val="List Alpha"/>
    <w:basedOn w:val="List"/>
    <w:rsid w:val="00C43256"/>
    <w:pPr>
      <w:numPr>
        <w:numId w:val="9"/>
      </w:numPr>
    </w:pPr>
  </w:style>
  <w:style w:type="paragraph" w:customStyle="1" w:styleId="ListAlpha2">
    <w:name w:val="List Alpha 2"/>
    <w:basedOn w:val="List2"/>
    <w:rsid w:val="00C43256"/>
    <w:pPr>
      <w:numPr>
        <w:numId w:val="8"/>
      </w:numPr>
    </w:pPr>
  </w:style>
  <w:style w:type="paragraph" w:styleId="List2">
    <w:name w:val="List 2"/>
    <w:basedOn w:val="BodyText"/>
    <w:rsid w:val="00C43256"/>
    <w:pPr>
      <w:tabs>
        <w:tab w:val="left" w:pos="680"/>
      </w:tabs>
      <w:spacing w:before="60" w:after="60"/>
      <w:ind w:left="680" w:hanging="340"/>
    </w:pPr>
  </w:style>
  <w:style w:type="paragraph" w:styleId="List3">
    <w:name w:val="List 3"/>
    <w:basedOn w:val="BodyText"/>
    <w:rsid w:val="00C43256"/>
    <w:pPr>
      <w:tabs>
        <w:tab w:val="left" w:pos="1021"/>
      </w:tabs>
      <w:spacing w:before="60" w:after="60"/>
      <w:ind w:left="1020" w:hanging="340"/>
    </w:pPr>
  </w:style>
  <w:style w:type="paragraph" w:styleId="List4">
    <w:name w:val="List 4"/>
    <w:basedOn w:val="BodyText"/>
    <w:rsid w:val="00C43256"/>
    <w:pPr>
      <w:tabs>
        <w:tab w:val="left" w:pos="1361"/>
      </w:tabs>
      <w:spacing w:before="60" w:after="60"/>
      <w:ind w:left="1361" w:hanging="340"/>
    </w:pPr>
  </w:style>
  <w:style w:type="paragraph" w:styleId="List5">
    <w:name w:val="List 5"/>
    <w:basedOn w:val="BodyText"/>
    <w:rsid w:val="00C43256"/>
    <w:pPr>
      <w:tabs>
        <w:tab w:val="left" w:pos="1701"/>
      </w:tabs>
      <w:spacing w:before="60" w:after="60"/>
      <w:ind w:left="1701" w:hanging="340"/>
    </w:pPr>
  </w:style>
  <w:style w:type="paragraph" w:styleId="ListBullet3">
    <w:name w:val="List Bullet 3"/>
    <w:basedOn w:val="List3"/>
    <w:rsid w:val="00C43256"/>
    <w:pPr>
      <w:numPr>
        <w:numId w:val="14"/>
      </w:numPr>
      <w:tabs>
        <w:tab w:val="clear" w:pos="1021"/>
      </w:tabs>
      <w:ind w:left="1037" w:hanging="357"/>
    </w:pPr>
  </w:style>
  <w:style w:type="paragraph" w:styleId="ListBullet4">
    <w:name w:val="List Bullet 4"/>
    <w:basedOn w:val="List4"/>
    <w:rsid w:val="00C43256"/>
    <w:pPr>
      <w:numPr>
        <w:numId w:val="3"/>
      </w:numPr>
      <w:tabs>
        <w:tab w:val="clear" w:pos="1361"/>
      </w:tabs>
    </w:pPr>
  </w:style>
  <w:style w:type="paragraph" w:styleId="ListBullet5">
    <w:name w:val="List Bullet 5"/>
    <w:basedOn w:val="List5"/>
    <w:rsid w:val="00C43256"/>
    <w:pPr>
      <w:numPr>
        <w:numId w:val="4"/>
      </w:numPr>
    </w:pPr>
  </w:style>
  <w:style w:type="paragraph" w:styleId="ListContinue2">
    <w:name w:val="List Continue 2"/>
    <w:basedOn w:val="List2"/>
    <w:rsid w:val="00C43256"/>
    <w:pPr>
      <w:ind w:firstLine="0"/>
    </w:pPr>
  </w:style>
  <w:style w:type="paragraph" w:styleId="ListContinue3">
    <w:name w:val="List Continue 3"/>
    <w:basedOn w:val="List3"/>
    <w:rsid w:val="00C43256"/>
    <w:pPr>
      <w:ind w:left="1021" w:firstLine="0"/>
    </w:pPr>
  </w:style>
  <w:style w:type="paragraph" w:styleId="ListContinue4">
    <w:name w:val="List Continue 4"/>
    <w:basedOn w:val="List4"/>
    <w:rsid w:val="00C43256"/>
    <w:pPr>
      <w:ind w:firstLine="0"/>
    </w:pPr>
  </w:style>
  <w:style w:type="paragraph" w:styleId="ListContinue5">
    <w:name w:val="List Continue 5"/>
    <w:basedOn w:val="List5"/>
    <w:rsid w:val="00C43256"/>
    <w:pPr>
      <w:ind w:firstLine="0"/>
    </w:pPr>
  </w:style>
  <w:style w:type="paragraph" w:styleId="ListNumber3">
    <w:name w:val="List Number 3"/>
    <w:basedOn w:val="List3"/>
    <w:rsid w:val="00C43256"/>
    <w:pPr>
      <w:numPr>
        <w:numId w:val="5"/>
      </w:numPr>
    </w:pPr>
  </w:style>
  <w:style w:type="paragraph" w:styleId="ListNumber4">
    <w:name w:val="List Number 4"/>
    <w:basedOn w:val="List4"/>
    <w:rsid w:val="00C43256"/>
    <w:pPr>
      <w:numPr>
        <w:numId w:val="6"/>
      </w:numPr>
    </w:pPr>
  </w:style>
  <w:style w:type="paragraph" w:styleId="ListNumber5">
    <w:name w:val="List Number 5"/>
    <w:basedOn w:val="List5"/>
    <w:rsid w:val="00C43256"/>
    <w:pPr>
      <w:numPr>
        <w:numId w:val="7"/>
      </w:numPr>
    </w:pPr>
  </w:style>
  <w:style w:type="paragraph" w:styleId="BlockText">
    <w:name w:val="Block Text"/>
    <w:basedOn w:val="Normal"/>
    <w:rsid w:val="00C43256"/>
    <w:pPr>
      <w:spacing w:after="120"/>
      <w:ind w:left="1440" w:right="1440"/>
    </w:pPr>
  </w:style>
  <w:style w:type="character" w:customStyle="1" w:styleId="Subscript">
    <w:name w:val="Subscript"/>
    <w:basedOn w:val="DefaultParagraphFont"/>
    <w:rsid w:val="00C43256"/>
    <w:rPr>
      <w:sz w:val="16"/>
      <w:vertAlign w:val="subscript"/>
    </w:rPr>
  </w:style>
  <w:style w:type="character" w:customStyle="1" w:styleId="Superscript">
    <w:name w:val="Superscript"/>
    <w:basedOn w:val="DefaultParagraphFont"/>
    <w:rsid w:val="00C43256"/>
    <w:rPr>
      <w:sz w:val="16"/>
      <w:vertAlign w:val="superscript"/>
    </w:rPr>
  </w:style>
  <w:style w:type="character" w:customStyle="1" w:styleId="Symbols">
    <w:name w:val="Symbols"/>
    <w:basedOn w:val="DefaultParagraphFont"/>
    <w:rsid w:val="00C43256"/>
    <w:rPr>
      <w:rFonts w:ascii="Symbol" w:hAnsi="Symbol"/>
    </w:rPr>
  </w:style>
  <w:style w:type="character" w:customStyle="1" w:styleId="MenuOptions">
    <w:name w:val="Menu Options"/>
    <w:basedOn w:val="DefaultParagraphFont"/>
    <w:rsid w:val="00C43256"/>
    <w:rPr>
      <w:rFonts w:ascii="Arial Narrow" w:hAnsi="Arial Narrow"/>
      <w:smallCaps/>
    </w:rPr>
  </w:style>
  <w:style w:type="character" w:customStyle="1" w:styleId="Buttons">
    <w:name w:val="Buttons"/>
    <w:basedOn w:val="DefaultParagraphFont"/>
    <w:rsid w:val="00C43256"/>
    <w:rPr>
      <w:b/>
    </w:rPr>
  </w:style>
  <w:style w:type="character" w:customStyle="1" w:styleId="Underlined">
    <w:name w:val="Underlined"/>
    <w:basedOn w:val="DefaultParagraphFont"/>
    <w:rsid w:val="00C43256"/>
    <w:rPr>
      <w:u w:val="single"/>
    </w:rPr>
  </w:style>
  <w:style w:type="paragraph" w:customStyle="1" w:styleId="TableBodyTextRight">
    <w:name w:val="Table Body Text Right"/>
    <w:basedOn w:val="TableBodyText"/>
    <w:rsid w:val="00C43256"/>
    <w:pPr>
      <w:widowControl w:val="0"/>
      <w:autoSpaceDE w:val="0"/>
      <w:autoSpaceDN w:val="0"/>
      <w:adjustRightInd w:val="0"/>
      <w:jc w:val="right"/>
    </w:pPr>
    <w:rPr>
      <w:rFonts w:cs="Arial"/>
      <w:szCs w:val="18"/>
    </w:rPr>
  </w:style>
  <w:style w:type="paragraph" w:customStyle="1" w:styleId="CopyrightText">
    <w:name w:val="Copyright Text"/>
    <w:basedOn w:val="BodyText"/>
    <w:rsid w:val="00C43256"/>
    <w:rPr>
      <w:sz w:val="18"/>
    </w:rPr>
  </w:style>
  <w:style w:type="paragraph" w:customStyle="1" w:styleId="BodySmallRight">
    <w:name w:val="Body Small Right"/>
    <w:basedOn w:val="BodyTextRight"/>
    <w:rsid w:val="00C43256"/>
    <w:rPr>
      <w:sz w:val="18"/>
      <w:szCs w:val="18"/>
    </w:rPr>
  </w:style>
  <w:style w:type="paragraph" w:customStyle="1" w:styleId="MarginEdition">
    <w:name w:val="Margin Edition"/>
    <w:basedOn w:val="MarginNote"/>
    <w:rsid w:val="00C43256"/>
    <w:pPr>
      <w:spacing w:before="0" w:after="0"/>
    </w:pPr>
    <w:rPr>
      <w:rFonts w:ascii="Times New Roman" w:hAnsi="Times New Roman"/>
      <w:color w:val="999999"/>
    </w:rPr>
  </w:style>
  <w:style w:type="paragraph" w:customStyle="1" w:styleId="Spacer">
    <w:name w:val="Spacer"/>
    <w:basedOn w:val="Normal"/>
    <w:rsid w:val="00C43256"/>
    <w:rPr>
      <w:sz w:val="2"/>
      <w:szCs w:val="2"/>
    </w:rPr>
  </w:style>
  <w:style w:type="character" w:customStyle="1" w:styleId="Small">
    <w:name w:val="Small"/>
    <w:basedOn w:val="DefaultParagraphFont"/>
    <w:rsid w:val="00C43256"/>
    <w:rPr>
      <w:sz w:val="16"/>
    </w:rPr>
  </w:style>
  <w:style w:type="paragraph" w:customStyle="1" w:styleId="WideTable">
    <w:name w:val="Wide Table"/>
    <w:basedOn w:val="Normal"/>
    <w:rsid w:val="00C43256"/>
    <w:pPr>
      <w:ind w:left="-1418"/>
    </w:pPr>
    <w:rPr>
      <w:sz w:val="2"/>
      <w:szCs w:val="2"/>
    </w:rPr>
  </w:style>
  <w:style w:type="character" w:styleId="PageNumber">
    <w:name w:val="page number"/>
    <w:basedOn w:val="DefaultParagraphFont"/>
    <w:rsid w:val="00C43256"/>
  </w:style>
  <w:style w:type="paragraph" w:styleId="Quote">
    <w:name w:val="Quote"/>
    <w:basedOn w:val="Heading1"/>
    <w:link w:val="QuoteChar"/>
    <w:qFormat/>
    <w:rsid w:val="00C43256"/>
    <w:rPr>
      <w:b w:val="0"/>
      <w:sz w:val="72"/>
      <w:szCs w:val="72"/>
      <w:lang w:val="en-NZ"/>
    </w:rPr>
  </w:style>
  <w:style w:type="character" w:customStyle="1" w:styleId="QuoteChar">
    <w:name w:val="Quote Char"/>
    <w:basedOn w:val="DefaultParagraphFont"/>
    <w:link w:val="Quote"/>
    <w:rsid w:val="00C432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3256"/>
    <w:pPr>
      <w:pageBreakBefore/>
    </w:pPr>
  </w:style>
  <w:style w:type="paragraph" w:customStyle="1" w:styleId="Border">
    <w:name w:val="Border"/>
    <w:basedOn w:val="Normal"/>
    <w:qFormat/>
    <w:rsid w:val="00C432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3256"/>
    <w:rPr>
      <w:b/>
      <w:bCs/>
      <w:i/>
      <w:iCs/>
      <w:color w:val="auto"/>
    </w:rPr>
  </w:style>
  <w:style w:type="paragraph" w:styleId="IntenseQuote">
    <w:name w:val="Intense Quote"/>
    <w:basedOn w:val="Normal"/>
    <w:next w:val="Normal"/>
    <w:link w:val="IntenseQuoteChar"/>
    <w:uiPriority w:val="30"/>
    <w:qFormat/>
    <w:rsid w:val="00C432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32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3256"/>
    <w:rPr>
      <w:smallCaps/>
      <w:color w:val="auto"/>
      <w:u w:val="single"/>
    </w:rPr>
  </w:style>
  <w:style w:type="character" w:styleId="IntenseReference">
    <w:name w:val="Intense Reference"/>
    <w:basedOn w:val="DefaultParagraphFont"/>
    <w:uiPriority w:val="32"/>
    <w:qFormat/>
    <w:rsid w:val="00C43256"/>
    <w:rPr>
      <w:b/>
      <w:bCs/>
      <w:smallCaps/>
      <w:color w:val="auto"/>
      <w:spacing w:val="5"/>
      <w:u w:val="single"/>
    </w:rPr>
  </w:style>
  <w:style w:type="paragraph" w:customStyle="1" w:styleId="2ColumnHeading">
    <w:name w:val="2Column Heading"/>
    <w:basedOn w:val="BodyText"/>
    <w:qFormat/>
    <w:rsid w:val="00C43256"/>
    <w:pPr>
      <w:spacing w:after="60"/>
      <w:ind w:left="-2268"/>
    </w:pPr>
    <w:rPr>
      <w:b/>
    </w:rPr>
  </w:style>
  <w:style w:type="paragraph" w:customStyle="1" w:styleId="Heading1TOC">
    <w:name w:val="Heading1 TOC"/>
    <w:basedOn w:val="Normal"/>
    <w:qFormat/>
    <w:rsid w:val="00C43256"/>
    <w:pPr>
      <w:spacing w:before="240" w:after="120"/>
    </w:pPr>
    <w:rPr>
      <w:rFonts w:ascii="Times New Roman" w:hAnsi="Times New Roman"/>
      <w:b/>
      <w:sz w:val="32"/>
    </w:rPr>
  </w:style>
  <w:style w:type="paragraph" w:customStyle="1" w:styleId="Heading2TOC">
    <w:name w:val="Heading2 TOC"/>
    <w:basedOn w:val="Normal"/>
    <w:qFormat/>
    <w:rsid w:val="00C43256"/>
    <w:pPr>
      <w:spacing w:before="240" w:after="60"/>
    </w:pPr>
    <w:rPr>
      <w:rFonts w:ascii="Times New Roman" w:hAnsi="Times New Roman"/>
      <w:b/>
      <w:sz w:val="28"/>
    </w:rPr>
  </w:style>
  <w:style w:type="character" w:customStyle="1" w:styleId="Underline">
    <w:name w:val="Underline"/>
    <w:basedOn w:val="DefaultParagraphFont"/>
    <w:qFormat/>
    <w:rsid w:val="00C43256"/>
    <w:rPr>
      <w:u w:val="single"/>
    </w:rPr>
  </w:style>
  <w:style w:type="character" w:customStyle="1" w:styleId="BoldandItalics">
    <w:name w:val="Bold and Italics"/>
    <w:qFormat/>
    <w:rsid w:val="00C43256"/>
    <w:rPr>
      <w:b/>
      <w:i/>
      <w:u w:val="none"/>
    </w:rPr>
  </w:style>
  <w:style w:type="paragraph" w:styleId="BalloonText">
    <w:name w:val="Balloon Text"/>
    <w:basedOn w:val="Normal"/>
    <w:link w:val="BalloonTextChar"/>
    <w:rsid w:val="00C43256"/>
    <w:rPr>
      <w:rFonts w:ascii="Tahoma" w:hAnsi="Tahoma" w:cs="Tahoma"/>
      <w:sz w:val="16"/>
      <w:szCs w:val="16"/>
    </w:rPr>
  </w:style>
  <w:style w:type="character" w:customStyle="1" w:styleId="BalloonTextChar">
    <w:name w:val="Balloon Text Char"/>
    <w:basedOn w:val="DefaultParagraphFont"/>
    <w:link w:val="BalloonText"/>
    <w:rsid w:val="00C432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32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32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3256"/>
    <w:rPr>
      <w:b/>
      <w:color w:val="660033"/>
      <w:spacing w:val="0"/>
    </w:rPr>
  </w:style>
  <w:style w:type="paragraph" w:customStyle="1" w:styleId="Nameditemlist">
    <w:name w:val="Named item list"/>
    <w:basedOn w:val="BodyText"/>
    <w:qFormat/>
    <w:rsid w:val="00C43256"/>
    <w:pPr>
      <w:tabs>
        <w:tab w:val="left" w:pos="2835"/>
      </w:tabs>
      <w:ind w:left="2835" w:hanging="2835"/>
    </w:pPr>
  </w:style>
  <w:style w:type="paragraph" w:customStyle="1" w:styleId="BodyTextnopadding">
    <w:name w:val="Body Text no padding"/>
    <w:basedOn w:val="BodyText"/>
    <w:qFormat/>
    <w:rsid w:val="00C43256"/>
    <w:pPr>
      <w:spacing w:before="0" w:after="0"/>
    </w:pPr>
  </w:style>
  <w:style w:type="paragraph" w:customStyle="1" w:styleId="BodyTextBold">
    <w:name w:val="Body Text Bold"/>
    <w:basedOn w:val="BodyText"/>
    <w:qFormat/>
    <w:rsid w:val="00C43256"/>
    <w:rPr>
      <w:b/>
    </w:rPr>
  </w:style>
  <w:style w:type="character" w:styleId="Hyperlink">
    <w:name w:val="Hyperlink"/>
    <w:basedOn w:val="DefaultParagraphFont"/>
    <w:uiPriority w:val="99"/>
    <w:unhideWhenUsed/>
    <w:rsid w:val="00182B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883</Words>
  <Characters>5687</Characters>
  <Application>Microsoft Office Word</Application>
  <DocSecurity>0</DocSecurity>
  <Lines>162</Lines>
  <Paragraphs>107</Paragraphs>
  <ScaleCrop>false</ScaleCrop>
  <Company>Author-it Software Corporation Ltd.</Company>
  <LinksUpToDate>false</LinksUpToDate>
  <CharactersWithSpaces>6463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RIIARO410 Control safety risks in autonomous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2022-10-18T13:47:00Z</dcterms:created>
  <dcterms:modified xsi:type="dcterms:W3CDTF">2022-10-18T13:47:00Z</dcterms:modified>
</cp:coreProperties>
</file>