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9B2" w:rsidP="00F259B2">
      <w:pPr>
        <w:pStyle w:val="Title"/>
      </w:pPr>
      <w:r>
        <w:fldChar w:fldCharType="begin"/>
      </w:r>
      <w:r>
        <w:instrText xml:space="preserve"> TITLE   \* MERGEFORMAT </w:instrText>
      </w:r>
      <w:r>
        <w:fldChar w:fldCharType="separate"/>
      </w:r>
      <w:r>
        <w:t>Assessment Requirements for RIIARO406 Optimise automated haulage operations</w:t>
      </w:r>
      <w:r>
        <w:fldChar w:fldCharType="end"/>
      </w:r>
    </w:p>
    <w:p w:rsidR="00F259B2" w:rsidP="00F259B2">
      <w:pPr>
        <w:pStyle w:val="Version"/>
        <w:sectPr w:rsidSect="00805E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E5E" w:rsidP="00805E5E">
      <w:pPr>
        <w:pStyle w:val="SuperHeading"/>
      </w:pPr>
      <w:r w:rsidRPr="00805E5E">
        <w:t>Assessment Requirements for RIIARO406 Optimise automated haulage operations</w:t>
      </w:r>
    </w:p>
    <w:p w:rsidR="00000000" w:rsidRPr="00805E5E" w:rsidP="00805E5E">
      <w:pPr>
        <w:pStyle w:val="Heading1"/>
      </w:pPr>
      <w:bookmarkStart w:id="1" w:name="O_1255812"/>
      <w:bookmarkEnd w:id="1"/>
      <w:r w:rsidRPr="00805E5E">
        <w:t>Modification History</w:t>
      </w:r>
    </w:p>
    <w:tbl>
      <w:tblPr>
        <w:tblW w:w="0" w:type="auto"/>
        <w:tblLayout w:type="fixed"/>
        <w:tblCellMar>
          <w:left w:w="62" w:type="dxa"/>
          <w:right w:w="62" w:type="dxa"/>
        </w:tblCellMar>
        <w:tblLook w:val="0000"/>
      </w:tblPr>
      <w:tblGrid>
        <w:gridCol w:w="2728"/>
        <w:gridCol w:w="6344"/>
      </w:tblGrid>
      <w:tr w:rsidTr="00805E5E">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05E5E">
            <w:pPr>
              <w:pStyle w:val="BodyText"/>
              <w:rPr>
                <w:lang w:val="en-NZ"/>
              </w:rPr>
            </w:pPr>
            <w:r w:rsidRPr="00805E5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05E5E" w:rsidP="00805E5E">
            <w:pPr>
              <w:pStyle w:val="BodyText"/>
            </w:pPr>
            <w:r w:rsidRPr="00805E5E">
              <w:t>This version first released with RII Resources and Infrastructure Industry Training Package Version 9.0.</w:t>
            </w:r>
          </w:p>
          <w:p w:rsidR="00000000" w:rsidRPr="00805E5E" w:rsidP="00805E5E">
            <w:pPr>
              <w:pStyle w:val="BodyText"/>
            </w:pPr>
            <w:r w:rsidRPr="00805E5E">
              <w:t>Newly created unit.</w:t>
            </w:r>
          </w:p>
        </w:tc>
      </w:tr>
    </w:tbl>
    <w:p w:rsidR="00000000" w:rsidRPr="00805E5E" w:rsidP="00805E5E">
      <w:pPr>
        <w:pStyle w:val="BodyText"/>
      </w:pPr>
    </w:p>
    <w:p w:rsidR="00000000" w:rsidRPr="00805E5E" w:rsidP="00805E5E">
      <w:pPr>
        <w:pStyle w:val="AllowPageBreak"/>
      </w:pPr>
    </w:p>
    <w:p w:rsidR="00000000" w:rsidRPr="00805E5E" w:rsidP="00805E5E">
      <w:pPr>
        <w:pStyle w:val="Heading1"/>
      </w:pPr>
      <w:bookmarkStart w:id="2" w:name="O_1255813"/>
      <w:bookmarkEnd w:id="2"/>
      <w:r w:rsidRPr="00805E5E">
        <w:t>Performance Evidence</w:t>
      </w:r>
    </w:p>
    <w:p w:rsidR="00000000" w:rsidRPr="00805E5E" w:rsidP="00F259B2">
      <w:pPr>
        <w:pStyle w:val="BodyText"/>
      </w:pPr>
      <w:r w:rsidRPr="00805E5E">
        <w:t>The candidate must demonstrate the ability to complete the tasks outlined in the elements, performance criteria and foundation skills of this unit, including evidence of the ability to:</w:t>
      </w:r>
    </w:p>
    <w:p w:rsidR="00000000" w:rsidRPr="00805E5E" w:rsidP="00805E5E">
      <w:pPr>
        <w:pStyle w:val="ListBullet"/>
      </w:pPr>
      <w:r w:rsidRPr="00805E5E">
        <w:t>optimise automated haulage ope</w:t>
      </w:r>
      <w:r w:rsidRPr="00805E5E">
        <w:t>rations, and/or aspects thereof, on at least 2 different occasions.</w:t>
      </w:r>
    </w:p>
    <w:p w:rsidR="00000000" w:rsidRPr="00805E5E" w:rsidP="00805E5E">
      <w:pPr>
        <w:pStyle w:val="BodyText"/>
      </w:pPr>
    </w:p>
    <w:p w:rsidR="00000000" w:rsidRPr="00805E5E" w:rsidP="00F259B2">
      <w:pPr>
        <w:pStyle w:val="BodyText"/>
      </w:pPr>
      <w:r w:rsidRPr="00805E5E">
        <w:t>During the above, the candidate must:</w:t>
      </w:r>
    </w:p>
    <w:p w:rsidR="00000000" w:rsidRPr="00805E5E" w:rsidP="00805E5E">
      <w:pPr>
        <w:pStyle w:val="ListBullet"/>
      </w:pPr>
      <w:r w:rsidRPr="00805E5E">
        <w:t>update and/or validate a spatial mine model</w:t>
      </w:r>
    </w:p>
    <w:p w:rsidR="00000000" w:rsidRPr="00805E5E" w:rsidP="00805E5E">
      <w:pPr>
        <w:pStyle w:val="ListBullet"/>
      </w:pPr>
      <w:r w:rsidRPr="00805E5E">
        <w:t>interpret and execute mine shift plans and targets</w:t>
      </w:r>
    </w:p>
    <w:p w:rsidR="00000000" w:rsidRPr="00805E5E" w:rsidP="00805E5E">
      <w:pPr>
        <w:pStyle w:val="ListBullet"/>
      </w:pPr>
      <w:r w:rsidRPr="00805E5E">
        <w:t>direct vehicles to dig units, plant interfaces, stockpile or waste dump</w:t>
      </w:r>
    </w:p>
    <w:p w:rsidR="00000000" w:rsidRPr="00805E5E" w:rsidP="00805E5E">
      <w:pPr>
        <w:pStyle w:val="ListBullet"/>
      </w:pPr>
      <w:r w:rsidRPr="00805E5E">
        <w:t>control access to pit/s</w:t>
      </w:r>
    </w:p>
    <w:p w:rsidR="00000000" w:rsidRPr="00805E5E" w:rsidP="00805E5E">
      <w:pPr>
        <w:pStyle w:val="ListBullet"/>
      </w:pPr>
      <w:r w:rsidRPr="00805E5E">
        <w:t>interpret system data, prioritise and resolve alarms, warning devices and systems</w:t>
      </w:r>
    </w:p>
    <w:p w:rsidR="00000000" w:rsidRPr="00805E5E" w:rsidP="00805E5E">
      <w:pPr>
        <w:pStyle w:val="ListBullet"/>
      </w:pPr>
      <w:r w:rsidRPr="00805E5E">
        <w:t>respond to changed conditions in line with organisational protocols.</w:t>
      </w:r>
    </w:p>
    <w:p w:rsidR="00000000" w:rsidRPr="00805E5E" w:rsidP="00805E5E">
      <w:pPr>
        <w:pStyle w:val="AllowPageBreak"/>
      </w:pPr>
    </w:p>
    <w:p w:rsidR="00000000" w:rsidRPr="00805E5E" w:rsidP="00805E5E">
      <w:pPr>
        <w:pStyle w:val="Heading1"/>
      </w:pPr>
      <w:bookmarkStart w:id="3" w:name="O_1255814"/>
      <w:bookmarkEnd w:id="3"/>
      <w:r w:rsidRPr="00805E5E">
        <w:t>Knowledge Evidence</w:t>
      </w:r>
    </w:p>
    <w:p w:rsidR="00000000" w:rsidRPr="00805E5E" w:rsidP="00F259B2">
      <w:pPr>
        <w:pStyle w:val="BodyText"/>
      </w:pPr>
      <w:r w:rsidRPr="00805E5E">
        <w:t>The candidate must be able to demonstrate knowledge to complete the tasks outlined in the elements, performance criteria and foundation skills of this unit, including knowledge of:</w:t>
      </w:r>
    </w:p>
    <w:p w:rsidR="00000000" w:rsidRPr="00805E5E" w:rsidP="00805E5E">
      <w:pPr>
        <w:pStyle w:val="ListBullet"/>
      </w:pPr>
      <w:r w:rsidRPr="00805E5E">
        <w:t>industry standards and guidelines relating to</w:t>
      </w:r>
      <w:r w:rsidRPr="00805E5E">
        <w:t xml:space="preserve"> safety in own role, including or equivalent to:</w:t>
      </w:r>
    </w:p>
    <w:p w:rsidR="00000000" w:rsidRPr="00805E5E" w:rsidP="00805E5E">
      <w:pPr>
        <w:pStyle w:val="ListBullet2"/>
      </w:pPr>
      <w:r w:rsidRPr="00805E5E">
        <w:t>IEC 61508 / AS 61508 Functional Safety of electrical/electronic/programmable electronic safety-related systems</w:t>
      </w:r>
    </w:p>
    <w:p w:rsidR="00000000" w:rsidRPr="00805E5E" w:rsidP="00805E5E">
      <w:pPr>
        <w:pStyle w:val="ListBullet2"/>
      </w:pPr>
      <w:r w:rsidRPr="00805E5E">
        <w:t>ISO 17757 Earth moving machinery and mining – Autonomous and semi-autonomous machine system saf</w:t>
      </w:r>
      <w:r w:rsidRPr="00805E5E">
        <w:t>ety</w:t>
      </w:r>
    </w:p>
    <w:p w:rsidR="00000000" w:rsidRPr="00805E5E" w:rsidP="00805E5E">
      <w:pPr>
        <w:pStyle w:val="ListBullet"/>
      </w:pPr>
      <w:r w:rsidRPr="00805E5E">
        <w:t>components of a spatial mine model relevant to productivity and safety</w:t>
      </w:r>
    </w:p>
    <w:p w:rsidR="00000000" w:rsidRPr="00805E5E" w:rsidP="00805E5E">
      <w:pPr>
        <w:pStyle w:val="ListBullet"/>
      </w:pPr>
      <w:r w:rsidRPr="00805E5E">
        <w:t>fundamentals of automated haulage control system, including:</w:t>
      </w:r>
    </w:p>
    <w:p w:rsidR="00000000" w:rsidRPr="00805E5E" w:rsidP="00805E5E">
      <w:pPr>
        <w:pStyle w:val="ListBullet2"/>
      </w:pPr>
      <w:r w:rsidRPr="00805E5E">
        <w:t>human-machine interface (HMI)</w:t>
      </w:r>
    </w:p>
    <w:p w:rsidR="00000000" w:rsidRPr="00805E5E" w:rsidP="00805E5E">
      <w:pPr>
        <w:pStyle w:val="ListBullet2"/>
      </w:pPr>
      <w:r w:rsidRPr="00805E5E">
        <w:t>technological inputs, including:</w:t>
      </w:r>
    </w:p>
    <w:p w:rsidR="00000000" w:rsidRPr="00805E5E" w:rsidP="00805E5E">
      <w:pPr>
        <w:pStyle w:val="ListBullet3"/>
      </w:pPr>
      <w:r w:rsidRPr="00805E5E">
        <w:t>wireless local area network (WLAN)</w:t>
      </w:r>
    </w:p>
    <w:p w:rsidR="00000000" w:rsidRPr="00805E5E" w:rsidP="00805E5E">
      <w:pPr>
        <w:pStyle w:val="ListBullet3"/>
      </w:pPr>
      <w:r w:rsidRPr="00805E5E">
        <w:t>global positioning system (GPS)</w:t>
      </w:r>
    </w:p>
    <w:p w:rsidR="00000000" w:rsidRPr="00805E5E" w:rsidP="00805E5E">
      <w:pPr>
        <w:pStyle w:val="ListBullet2"/>
      </w:pPr>
      <w:r w:rsidRPr="00805E5E">
        <w:t>how and when to use electronic barriers/cables/geo fencing, safety bubbles and other safety features</w:t>
      </w:r>
    </w:p>
    <w:p w:rsidR="00000000" w:rsidRPr="00805E5E" w:rsidP="00805E5E">
      <w:pPr>
        <w:pStyle w:val="ListBullet2"/>
      </w:pPr>
      <w:r w:rsidRPr="00805E5E">
        <w:t>machine sensing, guidance and positioning systems</w:t>
      </w:r>
    </w:p>
    <w:p w:rsidR="00000000" w:rsidRPr="00805E5E" w:rsidP="00805E5E">
      <w:pPr>
        <w:pStyle w:val="ListBullet2"/>
      </w:pPr>
      <w:r w:rsidRPr="00805E5E">
        <w:t>obstacle and collision detection</w:t>
      </w:r>
    </w:p>
    <w:p w:rsidR="00000000" w:rsidRPr="00805E5E" w:rsidP="00805E5E">
      <w:pPr>
        <w:pStyle w:val="ListBullet2"/>
      </w:pPr>
      <w:r w:rsidRPr="00805E5E">
        <w:t>data integrity / delay accounting</w:t>
      </w:r>
    </w:p>
    <w:p w:rsidR="00000000" w:rsidRPr="00805E5E" w:rsidP="00805E5E">
      <w:pPr>
        <w:pStyle w:val="ListBullet2"/>
      </w:pPr>
      <w:r w:rsidRPr="00805E5E">
        <w:t>how h</w:t>
      </w:r>
      <w:r w:rsidRPr="00805E5E">
        <w:t>umans interact around automated equipment</w:t>
      </w:r>
    </w:p>
    <w:p w:rsidR="00000000" w:rsidRPr="00805E5E" w:rsidP="00805E5E">
      <w:pPr>
        <w:pStyle w:val="ListBullet"/>
      </w:pPr>
      <w:r w:rsidRPr="00805E5E">
        <w:t>levels of automation and related safety functions and levels relevant to operations in own work role</w:t>
      </w:r>
    </w:p>
    <w:p w:rsidR="00000000" w:rsidRPr="00805E5E" w:rsidP="00805E5E">
      <w:pPr>
        <w:pStyle w:val="ListBullet"/>
      </w:pPr>
      <w:r w:rsidRPr="00805E5E">
        <w:t>capabilities, asset combinations, refuelling requirements, and fault identification of equipment, including:</w:t>
      </w:r>
    </w:p>
    <w:p w:rsidR="00000000" w:rsidRPr="00805E5E" w:rsidP="00805E5E">
      <w:pPr>
        <w:pStyle w:val="ListBullet2"/>
      </w:pPr>
      <w:r w:rsidRPr="00805E5E">
        <w:t>automated vehicles</w:t>
      </w:r>
    </w:p>
    <w:p w:rsidR="00000000" w:rsidRPr="00805E5E" w:rsidP="00805E5E">
      <w:pPr>
        <w:pStyle w:val="ListBullet2"/>
      </w:pPr>
      <w:r w:rsidRPr="00805E5E">
        <w:t>dig units</w:t>
      </w:r>
    </w:p>
    <w:p w:rsidR="00000000" w:rsidRPr="00805E5E" w:rsidP="00805E5E">
      <w:pPr>
        <w:pStyle w:val="ListBullet2"/>
      </w:pPr>
      <w:r w:rsidRPr="00805E5E">
        <w:t>ancillary equipment, including dozers, graders, water trucks</w:t>
      </w:r>
    </w:p>
    <w:p w:rsidR="00000000" w:rsidRPr="00805E5E" w:rsidP="00805E5E">
      <w:pPr>
        <w:pStyle w:val="ListBullet"/>
      </w:pPr>
      <w:r w:rsidRPr="00805E5E">
        <w:t>fleet management, including:</w:t>
      </w:r>
    </w:p>
    <w:p w:rsidR="00000000" w:rsidRPr="00805E5E" w:rsidP="00805E5E">
      <w:pPr>
        <w:pStyle w:val="ListBullet2"/>
      </w:pPr>
      <w:r w:rsidRPr="00805E5E">
        <w:t>requirements of the mine shift plan of the day</w:t>
      </w:r>
    </w:p>
    <w:p w:rsidR="00000000" w:rsidRPr="00805E5E" w:rsidP="00805E5E">
      <w:pPr>
        <w:pStyle w:val="ListBullet2"/>
      </w:pPr>
      <w:r w:rsidRPr="00805E5E">
        <w:t>using mobile fleet in best and safest way</w:t>
      </w:r>
    </w:p>
    <w:p w:rsidR="00000000" w:rsidRPr="00805E5E" w:rsidP="00805E5E">
      <w:pPr>
        <w:pStyle w:val="ListBullet2"/>
      </w:pPr>
      <w:r w:rsidRPr="00805E5E">
        <w:t>directing trucks to available dig units</w:t>
      </w:r>
    </w:p>
    <w:p w:rsidR="00000000" w:rsidRPr="00805E5E" w:rsidP="00805E5E">
      <w:pPr>
        <w:pStyle w:val="ListBullet2"/>
      </w:pPr>
      <w:r w:rsidRPr="00805E5E">
        <w:t>dig ra</w:t>
      </w:r>
      <w:r w:rsidRPr="00805E5E">
        <w:t>tes, hang time, queue time</w:t>
      </w:r>
    </w:p>
    <w:p w:rsidR="00000000" w:rsidRPr="00805E5E" w:rsidP="00805E5E">
      <w:pPr>
        <w:pStyle w:val="ListBullet2"/>
      </w:pPr>
      <w:r w:rsidRPr="00805E5E">
        <w:t>decision making by automated systems in dynamic pit areas</w:t>
      </w:r>
    </w:p>
    <w:p w:rsidR="00000000" w:rsidRPr="00805E5E" w:rsidP="00805E5E">
      <w:pPr>
        <w:pStyle w:val="ListBullet"/>
      </w:pPr>
      <w:r w:rsidRPr="00805E5E">
        <w:t>plant interface management, including:</w:t>
      </w:r>
    </w:p>
    <w:p w:rsidR="00000000" w:rsidRPr="00805E5E" w:rsidP="00805E5E">
      <w:pPr>
        <w:pStyle w:val="ListBullet2"/>
      </w:pPr>
      <w:r w:rsidRPr="00805E5E">
        <w:t>plant capabilities</w:t>
      </w:r>
    </w:p>
    <w:p w:rsidR="00000000" w:rsidRPr="00805E5E" w:rsidP="00805E5E">
      <w:pPr>
        <w:pStyle w:val="ListBullet2"/>
      </w:pPr>
      <w:r w:rsidRPr="00805E5E">
        <w:t>feed strategies</w:t>
      </w:r>
    </w:p>
    <w:p w:rsidR="00000000" w:rsidRPr="00805E5E" w:rsidP="00805E5E">
      <w:pPr>
        <w:pStyle w:val="ListBullet2"/>
      </w:pPr>
      <w:r w:rsidRPr="00805E5E">
        <w:t>contingency planning</w:t>
      </w:r>
    </w:p>
    <w:p w:rsidR="00000000" w:rsidRPr="00805E5E" w:rsidP="00805E5E">
      <w:pPr>
        <w:pStyle w:val="ListBullet2"/>
      </w:pPr>
      <w:r w:rsidRPr="00805E5E">
        <w:t>pit-plant interface</w:t>
      </w:r>
    </w:p>
    <w:p w:rsidR="00000000" w:rsidRPr="00805E5E" w:rsidP="00805E5E">
      <w:pPr>
        <w:pStyle w:val="ListBullet"/>
      </w:pPr>
      <w:r w:rsidRPr="00805E5E">
        <w:t>safety systems and procedures, including:</w:t>
      </w:r>
    </w:p>
    <w:p w:rsidR="00000000" w:rsidRPr="00805E5E" w:rsidP="00805E5E">
      <w:pPr>
        <w:pStyle w:val="ListBullet2"/>
      </w:pPr>
      <w:r w:rsidRPr="00805E5E">
        <w:t>electronic protection of people and mining equipment</w:t>
      </w:r>
    </w:p>
    <w:p w:rsidR="00000000" w:rsidRPr="00805E5E" w:rsidP="00805E5E">
      <w:pPr>
        <w:pStyle w:val="ListBullet2"/>
      </w:pPr>
      <w:r w:rsidRPr="00805E5E">
        <w:t>functional safety requirements</w:t>
      </w:r>
    </w:p>
    <w:p w:rsidR="00000000" w:rsidRPr="00805E5E" w:rsidP="00805E5E">
      <w:pPr>
        <w:pStyle w:val="ListBullet2"/>
      </w:pPr>
      <w:r w:rsidRPr="00805E5E">
        <w:t>personal protective equipment (PPE)</w:t>
      </w:r>
    </w:p>
    <w:p w:rsidR="00000000" w:rsidRPr="00805E5E" w:rsidP="00805E5E">
      <w:pPr>
        <w:pStyle w:val="ListBullet2"/>
      </w:pPr>
      <w:r w:rsidRPr="00805E5E">
        <w:t>designated park-up areas for equipment fundamental stability</w:t>
      </w:r>
    </w:p>
    <w:p w:rsidR="00000000" w:rsidRPr="00805E5E" w:rsidP="00805E5E">
      <w:pPr>
        <w:pStyle w:val="ListBullet2"/>
      </w:pPr>
      <w:r w:rsidRPr="00805E5E">
        <w:t>park-up requirements in non-designated park-up areas (flat grounds)</w:t>
      </w:r>
    </w:p>
    <w:p w:rsidR="00000000" w:rsidRPr="00805E5E" w:rsidP="00805E5E">
      <w:pPr>
        <w:pStyle w:val="ListBullet2"/>
      </w:pPr>
      <w:r w:rsidRPr="00805E5E">
        <w:t>isolati</w:t>
      </w:r>
      <w:r w:rsidRPr="00805E5E">
        <w:t>on procedures</w:t>
      </w:r>
    </w:p>
    <w:p w:rsidR="00000000" w:rsidRPr="00805E5E" w:rsidP="00805E5E">
      <w:pPr>
        <w:pStyle w:val="ListBullet"/>
      </w:pPr>
      <w:r w:rsidRPr="00805E5E">
        <w:t>organisational safety controls for hazards, including:</w:t>
      </w:r>
    </w:p>
    <w:p w:rsidR="00000000" w:rsidRPr="00805E5E" w:rsidP="00805E5E">
      <w:pPr>
        <w:pStyle w:val="ListBullet2"/>
      </w:pPr>
      <w:r w:rsidRPr="00805E5E">
        <w:t>personnel</w:t>
      </w:r>
    </w:p>
    <w:p w:rsidR="00000000" w:rsidRPr="00805E5E" w:rsidP="00805E5E">
      <w:pPr>
        <w:pStyle w:val="ListBullet2"/>
      </w:pPr>
      <w:r w:rsidRPr="00805E5E">
        <w:t>hazardous materials</w:t>
      </w:r>
    </w:p>
    <w:p w:rsidR="00000000" w:rsidRPr="00805E5E" w:rsidP="00805E5E">
      <w:pPr>
        <w:pStyle w:val="ListBullet2"/>
      </w:pPr>
      <w:r w:rsidRPr="00805E5E">
        <w:t>drop cuts/drop-ins</w:t>
      </w:r>
    </w:p>
    <w:p w:rsidR="00000000" w:rsidRPr="00805E5E" w:rsidP="00805E5E">
      <w:pPr>
        <w:pStyle w:val="ListBullet2"/>
      </w:pPr>
      <w:r w:rsidRPr="00805E5E">
        <w:t>ground stability</w:t>
      </w:r>
    </w:p>
    <w:p w:rsidR="00000000" w:rsidRPr="00805E5E" w:rsidP="00805E5E">
      <w:pPr>
        <w:pStyle w:val="ListBullet2"/>
      </w:pPr>
      <w:r w:rsidRPr="00805E5E">
        <w:t>dust</w:t>
      </w:r>
    </w:p>
    <w:p w:rsidR="00000000" w:rsidRPr="00805E5E" w:rsidP="00805E5E">
      <w:pPr>
        <w:pStyle w:val="ListBullet2"/>
      </w:pPr>
      <w:r w:rsidRPr="00805E5E">
        <w:t>road conditions – tram lining, excessive/inadequate watering.</w:t>
      </w:r>
    </w:p>
    <w:p w:rsidR="00000000" w:rsidRPr="00805E5E" w:rsidP="00805E5E">
      <w:pPr>
        <w:pStyle w:val="AllowPageBreak"/>
      </w:pPr>
    </w:p>
    <w:p w:rsidR="00000000" w:rsidRPr="00805E5E" w:rsidP="00805E5E">
      <w:pPr>
        <w:pStyle w:val="Heading1"/>
      </w:pPr>
      <w:bookmarkStart w:id="4" w:name="O_1255815"/>
      <w:bookmarkEnd w:id="4"/>
      <w:r w:rsidRPr="00805E5E">
        <w:t>Assessment Conditions</w:t>
      </w:r>
    </w:p>
    <w:p w:rsidR="00000000" w:rsidRPr="00805E5E" w:rsidP="00F259B2">
      <w:pPr>
        <w:pStyle w:val="BodyText"/>
      </w:pPr>
      <w:r w:rsidRPr="00805E5E">
        <w:t>Mandatory conditions for assessment of this unit are stipulated below. The assessment must:</w:t>
      </w:r>
    </w:p>
    <w:p w:rsidR="00000000" w:rsidRPr="00805E5E" w:rsidP="00805E5E">
      <w:pPr>
        <w:pStyle w:val="ListBullet"/>
      </w:pPr>
      <w:r w:rsidRPr="00805E5E">
        <w:t>include access to:</w:t>
      </w:r>
    </w:p>
    <w:p w:rsidR="00000000" w:rsidRPr="00805E5E" w:rsidP="00805E5E">
      <w:pPr>
        <w:pStyle w:val="ListBullet2"/>
      </w:pPr>
      <w:r w:rsidRPr="00805E5E">
        <w:t>PPE</w:t>
      </w:r>
    </w:p>
    <w:p w:rsidR="00000000" w:rsidRPr="00805E5E" w:rsidP="00805E5E">
      <w:pPr>
        <w:pStyle w:val="ListBullet2"/>
      </w:pPr>
      <w:r w:rsidRPr="00805E5E">
        <w:t>automated haulage control system/s</w:t>
      </w:r>
    </w:p>
    <w:p w:rsidR="00000000" w:rsidRPr="00805E5E" w:rsidP="00805E5E">
      <w:pPr>
        <w:pStyle w:val="ListBullet2"/>
      </w:pPr>
      <w:r w:rsidRPr="00805E5E">
        <w:t>communications technology</w:t>
      </w:r>
    </w:p>
    <w:p w:rsidR="00000000" w:rsidRPr="00805E5E" w:rsidP="00805E5E">
      <w:pPr>
        <w:pStyle w:val="ListBullet"/>
      </w:pPr>
      <w:r w:rsidRPr="00805E5E">
        <w:t>be conducted in a safe environment; and,</w:t>
      </w:r>
    </w:p>
    <w:p w:rsidR="00000000" w:rsidRPr="00805E5E" w:rsidP="00805E5E">
      <w:pPr>
        <w:pStyle w:val="ListBullet"/>
      </w:pPr>
      <w:r w:rsidRPr="00805E5E">
        <w:t>be assessed in the context of this s</w:t>
      </w:r>
      <w:r w:rsidRPr="00805E5E">
        <w:t>ector’s work environment; and,</w:t>
      </w:r>
    </w:p>
    <w:p w:rsidR="00000000" w:rsidRPr="00805E5E" w:rsidP="00805E5E">
      <w:pPr>
        <w:pStyle w:val="ListBullet"/>
      </w:pPr>
      <w:r w:rsidRPr="00805E5E">
        <w:t>be assessed in compliance with legislative and regulatory requirements and using policies, procedures and processes directly related to the industry sector for which the unit is being assessed; and,</w:t>
      </w:r>
    </w:p>
    <w:p w:rsidR="00000000" w:rsidRPr="00805E5E" w:rsidP="00805E5E">
      <w:pPr>
        <w:pStyle w:val="ListBullet"/>
      </w:pPr>
      <w:r w:rsidRPr="00805E5E">
        <w:t>confirm consistent perform</w:t>
      </w:r>
      <w:r w:rsidRPr="00805E5E">
        <w:t>ance can be applied in a range of relevant workplace circumstances.</w:t>
      </w:r>
    </w:p>
    <w:p w:rsidR="00000000" w:rsidRPr="00805E5E" w:rsidP="00805E5E">
      <w:pPr>
        <w:pStyle w:val="BodyText"/>
      </w:pPr>
    </w:p>
    <w:p w:rsidR="00000000" w:rsidRPr="00805E5E" w:rsidP="00F259B2">
      <w:pPr>
        <w:pStyle w:val="BodyText"/>
      </w:pPr>
      <w:r w:rsidRPr="00805E5E">
        <w:t>Where personal safety or environmental damage are limiting factors, assessment may occur in a simulated work environment* provided it is realistic and sufficiently rigorous to cover all a</w:t>
      </w:r>
      <w:r w:rsidRPr="00805E5E">
        <w:t>spects of this sector’s workplace performance, including environment, task skills, task management skills, contingency management skills and job role environment skills.</w:t>
      </w:r>
    </w:p>
    <w:p w:rsidR="00000000" w:rsidRPr="00805E5E" w:rsidP="00805E5E">
      <w:pPr>
        <w:pStyle w:val="Heading3"/>
      </w:pPr>
      <w:r w:rsidRPr="00805E5E">
        <w:t>Assessor requirements</w:t>
      </w:r>
    </w:p>
    <w:p w:rsidR="00000000" w:rsidRPr="00805E5E" w:rsidP="00F259B2">
      <w:pPr>
        <w:pStyle w:val="BodyText"/>
      </w:pPr>
      <w:r w:rsidRPr="00805E5E">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805E5E">
        <w:t>mandatory requirements for assessors current at the time of assessment and any relevant licensing and certification requirements.</w:t>
      </w:r>
    </w:p>
    <w:p w:rsidR="00000000" w:rsidRPr="00805E5E" w:rsidP="00F259B2">
      <w:pPr>
        <w:pStyle w:val="BodyText"/>
      </w:pPr>
      <w:r w:rsidRPr="00805E5E">
        <w:t>This includes:</w:t>
      </w:r>
    </w:p>
    <w:p w:rsidR="00000000" w:rsidRPr="00805E5E" w:rsidP="00805E5E">
      <w:pPr>
        <w:pStyle w:val="ListBullet"/>
      </w:pPr>
      <w:r w:rsidRPr="00805E5E">
        <w:t>the minimum years of current** work experience after competency has been obtained as specified below in an ind</w:t>
      </w:r>
      <w:r w:rsidRPr="00805E5E">
        <w:t>ustry sector relevant to the outcomes of the unit.</w:t>
      </w:r>
    </w:p>
    <w:p w:rsidR="00000000" w:rsidRPr="00805E5E" w:rsidP="00805E5E">
      <w:pPr>
        <w:pStyle w:val="BodyText"/>
      </w:pPr>
    </w:p>
    <w:p w:rsidR="00000000" w:rsidRPr="00805E5E" w:rsidP="00F259B2">
      <w:pPr>
        <w:pStyle w:val="BodyText"/>
      </w:pPr>
      <w:r w:rsidRPr="00805E5E">
        <w:t>It is also acceptable for the appropriately qualified assessor to work with an industry expert to conduct assessment together and for the industry expert to be involved in the assessment judgement. The in</w:t>
      </w:r>
      <w:r w:rsidRPr="00805E5E">
        <w:t>dustry expert must have current industry skills directly relevant to the training and assessment being provided. This means the industry subject matter expert must demonstrate skills and knowledge from the minimum years of current work experience after com</w:t>
      </w:r>
      <w:r w:rsidRPr="00805E5E">
        <w:t>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472"/>
        <w:gridCol w:w="1698"/>
        <w:gridCol w:w="3398"/>
      </w:tblGrid>
      <w:tr w:rsidTr="00805E5E">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TableHeading"/>
              <w:rPr>
                <w:lang w:val="en-NZ"/>
              </w:rPr>
            </w:pPr>
            <w:r w:rsidRPr="00805E5E">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TableHeading"/>
              <w:rPr>
                <w:lang w:val="en-NZ"/>
              </w:rPr>
            </w:pPr>
            <w:r w:rsidRPr="00805E5E">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TableHeading"/>
              <w:rPr>
                <w:lang w:val="en-NZ"/>
              </w:rPr>
            </w:pPr>
            <w:r w:rsidRPr="00805E5E">
              <w:t>Required assessor or industry subject matter expert experience</w:t>
            </w:r>
          </w:p>
        </w:tc>
      </w:tr>
      <w:tr w:rsidTr="00805E5E">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 xml:space="preserve">Drilling, Metalliferous Mining, </w:t>
            </w:r>
            <w:r w:rsidRPr="00805E5E">
              <w:t>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1 year</w:t>
            </w:r>
          </w:p>
        </w:tc>
      </w:tr>
      <w:tr w:rsidTr="00805E5E">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2 years</w:t>
            </w:r>
          </w:p>
        </w:tc>
      </w:tr>
      <w:tr w:rsidTr="00805E5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3 years</w:t>
            </w:r>
          </w:p>
        </w:tc>
      </w:tr>
      <w:tr w:rsidTr="00805E5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Given that this is an emerging industry area, assessors are required to demonstrate vocational competencies at least to the level being assessed, and current industry skills directly relevant to the assessment being provided.</w:t>
            </w:r>
          </w:p>
        </w:tc>
      </w:tr>
      <w:tr w:rsidTr="00805E5E">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05E5E">
            <w:pPr>
              <w:pStyle w:val="BodyText"/>
              <w:rPr>
                <w:lang w:val="en-NZ"/>
              </w:rPr>
            </w:pPr>
            <w:r w:rsidRPr="00805E5E">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05E5E" w:rsidP="00805E5E">
            <w:pPr>
              <w:pStyle w:val="BodyText"/>
            </w:pPr>
            <w:r w:rsidRPr="00805E5E">
              <w:t>Where this uni</w:t>
            </w:r>
            <w:r w:rsidRPr="00805E5E">
              <w:t>t is being assessed outside of the resources and infrastructure sectors assessor and/or industry subject matter expert experience should be in line with industry standards for the sector in which it is being assessed and where no industry standard is speci</w:t>
            </w:r>
            <w:r w:rsidRPr="00805E5E">
              <w:t>fied should comply with any relevant regulation.</w:t>
            </w:r>
          </w:p>
        </w:tc>
      </w:tr>
    </w:tbl>
    <w:p w:rsidR="00000000" w:rsidRPr="00805E5E" w:rsidP="00F259B2">
      <w:pPr>
        <w:pStyle w:val="BodyText"/>
      </w:pPr>
      <w:r w:rsidRPr="00805E5E">
        <w:t>*Guidance on simulated environments has been stipulated in the Companion Volume Implementation Guide located on VETNet.</w:t>
      </w:r>
    </w:p>
    <w:p w:rsidR="00000000" w:rsidRPr="00805E5E" w:rsidP="00F259B2">
      <w:pPr>
        <w:pStyle w:val="BodyText"/>
      </w:pPr>
      <w:r w:rsidRPr="00805E5E">
        <w:t>**Assessors can demonstrate current work experience through employment within industr</w:t>
      </w:r>
      <w:r w:rsidRPr="00805E5E">
        <w:t>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805E5E" w:rsidP="00F259B2">
      <w:pPr>
        <w:pStyle w:val="BodyText"/>
      </w:pPr>
      <w:r w:rsidRPr="00805E5E">
        <w:t>*</w:t>
      </w:r>
      <w:r w:rsidRPr="00805E5E">
        <w:t>**Excluding units coded ‘RIIARO’ (Autonomous and Remote Operations).</w:t>
      </w:r>
    </w:p>
    <w:p w:rsidR="00000000" w:rsidRPr="00805E5E" w:rsidP="00805E5E">
      <w:pPr>
        <w:pStyle w:val="Heading1"/>
      </w:pPr>
      <w:bookmarkStart w:id="5" w:name="O_1255818"/>
      <w:bookmarkEnd w:id="5"/>
      <w:r w:rsidRPr="00805E5E">
        <w:t>Links</w:t>
      </w:r>
    </w:p>
    <w:p w:rsidR="00000000" w:rsidRPr="00805E5E" w:rsidP="00F259B2">
      <w:pPr>
        <w:pStyle w:val="BodyText"/>
      </w:pPr>
      <w:r w:rsidRPr="00805E5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B4017">
        <w:rPr>
          <w:rStyle w:val="Hyperlink"/>
        </w:rPr>
        <w:t>https://vetnet.gov.au/Pages/TrainingDocs.aspx?q=88a61002-9a21-4386-aaf8-69c76e675272</w:t>
      </w:r>
      <w:r>
        <w:fldChar w:fldCharType="end"/>
      </w:r>
    </w:p>
    <w:p w:rsidR="00000000" w:rsidRPr="00805E5E" w:rsidP="00805E5E"/>
    <w:sectPr w:rsidSect="00805E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5E" w:rsidRPr="00F259B2" w:rsidP="00F25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B2" w:rsidP="00805E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59B2" w:rsidP="00805E5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259B2" w:rsidP="00805E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E5E" w:rsidRPr="00F259B2" w:rsidP="00F25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9B2" w:rsidRPr="002D2AF8" w:rsidP="00805E5E">
    <w:pPr>
      <w:pStyle w:val="Header"/>
      <w:framePr w:wrap="around"/>
    </w:pPr>
    <w:r>
      <w:fldChar w:fldCharType="begin"/>
    </w:r>
    <w:r>
      <w:instrText xml:space="preserve"> TITLE   \* MERGEFORMAT </w:instrText>
    </w:r>
    <w:r>
      <w:fldChar w:fldCharType="separate"/>
    </w:r>
    <w:r>
      <w:t>Assessment Requirements for RIIARO406 Optimise automated haulage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259B2" w:rsidP="00805E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26D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E00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E4A9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E5E"/>
    <w:pPr>
      <w:spacing w:before="360" w:after="60"/>
      <w:outlineLvl w:val="0"/>
    </w:pPr>
    <w:rPr>
      <w:sz w:val="32"/>
    </w:rPr>
  </w:style>
  <w:style w:type="paragraph" w:styleId="Heading2">
    <w:name w:val="heading 2"/>
    <w:basedOn w:val="HeadingBase"/>
    <w:next w:val="BodyText"/>
    <w:link w:val="Heading2Char"/>
    <w:qFormat/>
    <w:rsid w:val="00805E5E"/>
    <w:pPr>
      <w:keepLines/>
      <w:spacing w:before="240" w:after="120"/>
      <w:outlineLvl w:val="1"/>
    </w:pPr>
    <w:rPr>
      <w:sz w:val="28"/>
      <w:szCs w:val="40"/>
    </w:rPr>
  </w:style>
  <w:style w:type="paragraph" w:styleId="Heading3">
    <w:name w:val="heading 3"/>
    <w:basedOn w:val="HeadingBase"/>
    <w:next w:val="BodyText"/>
    <w:link w:val="Heading3Char"/>
    <w:qFormat/>
    <w:rsid w:val="00805E5E"/>
    <w:pPr>
      <w:spacing w:before="180" w:after="120"/>
      <w:outlineLvl w:val="2"/>
    </w:pPr>
    <w:rPr>
      <w:spacing w:val="-10"/>
      <w:kern w:val="32"/>
    </w:rPr>
  </w:style>
  <w:style w:type="paragraph" w:styleId="Heading4">
    <w:name w:val="heading 4"/>
    <w:basedOn w:val="HeadingBase"/>
    <w:next w:val="BodyText"/>
    <w:link w:val="Heading4Char"/>
    <w:qFormat/>
    <w:rsid w:val="00805E5E"/>
    <w:pPr>
      <w:spacing w:before="160" w:after="120"/>
      <w:outlineLvl w:val="3"/>
    </w:pPr>
    <w:rPr>
      <w:sz w:val="22"/>
    </w:rPr>
  </w:style>
  <w:style w:type="paragraph" w:styleId="Heading5">
    <w:name w:val="heading 5"/>
    <w:basedOn w:val="HeadingBase"/>
    <w:next w:val="Normal"/>
    <w:link w:val="Heading5Char"/>
    <w:qFormat/>
    <w:rsid w:val="00805E5E"/>
    <w:pPr>
      <w:spacing w:before="80"/>
      <w:outlineLvl w:val="4"/>
    </w:pPr>
    <w:rPr>
      <w:color w:val="918585"/>
      <w:sz w:val="20"/>
    </w:rPr>
  </w:style>
  <w:style w:type="paragraph" w:styleId="Heading6">
    <w:name w:val="heading 6"/>
    <w:basedOn w:val="HeadingBase"/>
    <w:next w:val="Normal"/>
    <w:link w:val="Heading6Char"/>
    <w:qFormat/>
    <w:rsid w:val="00805E5E"/>
    <w:pPr>
      <w:spacing w:before="60"/>
      <w:outlineLvl w:val="5"/>
    </w:pPr>
    <w:rPr>
      <w:color w:val="918585"/>
      <w:sz w:val="20"/>
    </w:rPr>
  </w:style>
  <w:style w:type="paragraph" w:styleId="Heading7">
    <w:name w:val="heading 7"/>
    <w:basedOn w:val="Normal"/>
    <w:next w:val="Normal"/>
    <w:link w:val="Heading7Char"/>
    <w:qFormat/>
    <w:rsid w:val="00805E5E"/>
    <w:pPr>
      <w:ind w:left="720"/>
      <w:outlineLvl w:val="6"/>
    </w:pPr>
    <w:rPr>
      <w:i/>
    </w:rPr>
  </w:style>
  <w:style w:type="paragraph" w:styleId="Heading8">
    <w:name w:val="heading 8"/>
    <w:basedOn w:val="Normal"/>
    <w:next w:val="Normal"/>
    <w:link w:val="Heading8Char"/>
    <w:qFormat/>
    <w:rsid w:val="00805E5E"/>
    <w:pPr>
      <w:ind w:left="720"/>
      <w:outlineLvl w:val="7"/>
    </w:pPr>
    <w:rPr>
      <w:i/>
    </w:rPr>
  </w:style>
  <w:style w:type="paragraph" w:styleId="Heading9">
    <w:name w:val="heading 9"/>
    <w:basedOn w:val="Normal"/>
    <w:next w:val="Normal"/>
    <w:link w:val="Heading9Char"/>
    <w:qFormat/>
    <w:rsid w:val="00805E5E"/>
    <w:pPr>
      <w:ind w:left="720"/>
      <w:outlineLvl w:val="8"/>
    </w:pPr>
    <w:rPr>
      <w:i/>
    </w:rPr>
  </w:style>
  <w:style w:type="character" w:default="1" w:styleId="DefaultParagraphFont">
    <w:name w:val="Default Paragraph Font"/>
    <w:uiPriority w:val="1"/>
    <w:unhideWhenUsed/>
    <w:rsid w:val="00805E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E5E"/>
  </w:style>
  <w:style w:type="character" w:customStyle="1" w:styleId="Heading1Char">
    <w:name w:val="Heading 1 Char"/>
    <w:basedOn w:val="DefaultParagraphFont"/>
    <w:link w:val="Heading1"/>
    <w:rsid w:val="00805E5E"/>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805E5E"/>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805E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E5E"/>
    <w:rPr>
      <w:rFonts w:ascii="Times New Roman" w:eastAsia="Times New Roman" w:hAnsi="Times New Roman" w:cs="Times New Roman"/>
      <w:sz w:val="24"/>
      <w:lang w:eastAsia="en-US"/>
    </w:rPr>
  </w:style>
  <w:style w:type="paragraph" w:styleId="ListBullet">
    <w:name w:val="List Bullet"/>
    <w:basedOn w:val="List"/>
    <w:rsid w:val="00805E5E"/>
    <w:pPr>
      <w:numPr>
        <w:numId w:val="13"/>
      </w:numPr>
      <w:tabs>
        <w:tab w:val="clear" w:pos="340"/>
      </w:tabs>
      <w:spacing w:before="40" w:after="40"/>
    </w:pPr>
  </w:style>
  <w:style w:type="paragraph" w:styleId="ListBullet2">
    <w:name w:val="List Bullet 2"/>
    <w:basedOn w:val="List2"/>
    <w:rsid w:val="00805E5E"/>
    <w:pPr>
      <w:numPr>
        <w:numId w:val="14"/>
      </w:numPr>
      <w:tabs>
        <w:tab w:val="clear" w:pos="680"/>
      </w:tabs>
    </w:pPr>
  </w:style>
  <w:style w:type="paragraph" w:customStyle="1" w:styleId="SuperHeading">
    <w:name w:val="SuperHeading"/>
    <w:basedOn w:val="Normal"/>
    <w:rsid w:val="00805E5E"/>
    <w:pPr>
      <w:spacing w:before="240" w:after="120"/>
      <w:outlineLvl w:val="0"/>
    </w:pPr>
    <w:rPr>
      <w:rFonts w:ascii="Times New Roman" w:hAnsi="Times New Roman"/>
      <w:b/>
      <w:sz w:val="32"/>
    </w:rPr>
  </w:style>
  <w:style w:type="paragraph" w:customStyle="1" w:styleId="TableHeading">
    <w:name w:val="Table Heading"/>
    <w:basedOn w:val="HeadingBase"/>
    <w:rsid w:val="00805E5E"/>
    <w:pPr>
      <w:keepLines/>
      <w:pBdr>
        <w:bottom w:val="single" w:sz="6" w:space="1" w:color="918585"/>
      </w:pBdr>
      <w:spacing w:before="240"/>
    </w:pPr>
  </w:style>
  <w:style w:type="paragraph" w:customStyle="1" w:styleId="AllowPageBreak">
    <w:name w:val="AllowPageBreak"/>
    <w:rsid w:val="00805E5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5E5E"/>
    <w:pPr>
      <w:numPr>
        <w:numId w:val="3"/>
      </w:numPr>
      <w:tabs>
        <w:tab w:val="clear" w:pos="1021"/>
      </w:tabs>
      <w:ind w:left="1037" w:hanging="357"/>
    </w:pPr>
  </w:style>
  <w:style w:type="character" w:customStyle="1" w:styleId="Heading2Char">
    <w:name w:val="Heading 2 Char"/>
    <w:basedOn w:val="DefaultParagraphFont"/>
    <w:link w:val="Heading2"/>
    <w:rsid w:val="00805E5E"/>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805E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E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E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E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E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E5E"/>
    <w:rPr>
      <w:rFonts w:ascii="Courier New" w:eastAsia="Times New Roman" w:hAnsi="Courier New" w:cs="Times New Roman"/>
      <w:i/>
      <w:szCs w:val="20"/>
      <w:lang w:eastAsia="en-US"/>
    </w:rPr>
  </w:style>
  <w:style w:type="paragraph" w:customStyle="1" w:styleId="HeadingBase">
    <w:name w:val="Heading Base"/>
    <w:rsid w:val="00805E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E5E"/>
    <w:pPr>
      <w:tabs>
        <w:tab w:val="right" w:leader="dot" w:pos="9072"/>
      </w:tabs>
      <w:ind w:left="567"/>
    </w:pPr>
    <w:rPr>
      <w:szCs w:val="22"/>
    </w:rPr>
  </w:style>
  <w:style w:type="paragraph" w:customStyle="1" w:styleId="TOCBase">
    <w:name w:val="TOC Base"/>
    <w:rsid w:val="00805E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E5E"/>
    <w:pPr>
      <w:tabs>
        <w:tab w:val="right" w:leader="dot" w:pos="9072"/>
      </w:tabs>
      <w:spacing w:before="40" w:after="40"/>
      <w:ind w:left="284"/>
    </w:pPr>
    <w:rPr>
      <w:rFonts w:ascii="Times New Roman" w:hAnsi="Times New Roman"/>
    </w:rPr>
  </w:style>
  <w:style w:type="paragraph" w:styleId="TOC1">
    <w:name w:val="toc 1"/>
    <w:basedOn w:val="TOCBase"/>
    <w:next w:val="Normal"/>
    <w:rsid w:val="00805E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E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E5E"/>
    <w:rPr>
      <w:rFonts w:ascii="Times New Roman" w:eastAsia="Times New Roman" w:hAnsi="Times New Roman" w:cs="Times New Roman"/>
      <w:sz w:val="16"/>
      <w:lang w:eastAsia="en-US"/>
    </w:rPr>
  </w:style>
  <w:style w:type="paragraph" w:styleId="Title">
    <w:name w:val="Title"/>
    <w:basedOn w:val="HeadingBase"/>
    <w:link w:val="TitleChar"/>
    <w:qFormat/>
    <w:rsid w:val="00805E5E"/>
    <w:pPr>
      <w:spacing w:before="5040"/>
      <w:jc w:val="center"/>
    </w:pPr>
    <w:rPr>
      <w:sz w:val="48"/>
      <w:szCs w:val="72"/>
      <w:lang w:val="en-US"/>
    </w:rPr>
  </w:style>
  <w:style w:type="character" w:customStyle="1" w:styleId="TitleChar">
    <w:name w:val="Title Char"/>
    <w:basedOn w:val="DefaultParagraphFont"/>
    <w:link w:val="Title"/>
    <w:rsid w:val="00805E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E5E"/>
    <w:pPr>
      <w:tabs>
        <w:tab w:val="left" w:pos="3600"/>
        <w:tab w:val="left" w:pos="3958"/>
      </w:tabs>
    </w:pPr>
  </w:style>
  <w:style w:type="paragraph" w:styleId="List">
    <w:name w:val="List"/>
    <w:basedOn w:val="BodyText"/>
    <w:next w:val="BodyText"/>
    <w:rsid w:val="00805E5E"/>
    <w:pPr>
      <w:tabs>
        <w:tab w:val="left" w:pos="340"/>
      </w:tabs>
      <w:spacing w:before="60" w:after="60"/>
      <w:ind w:left="340" w:hanging="340"/>
    </w:pPr>
  </w:style>
  <w:style w:type="paragraph" w:customStyle="1" w:styleId="Note">
    <w:name w:val="Note"/>
    <w:basedOn w:val="BodyText"/>
    <w:rsid w:val="00805E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E5E"/>
    <w:rPr>
      <w:b/>
      <w:spacing w:val="0"/>
    </w:rPr>
  </w:style>
  <w:style w:type="paragraph" w:customStyle="1" w:styleId="SuperTitle">
    <w:name w:val="SuperTitle"/>
    <w:basedOn w:val="Title"/>
    <w:rsid w:val="00805E5E"/>
    <w:pPr>
      <w:framePr w:wrap="auto" w:hAnchor="text" w:y="6049"/>
    </w:pPr>
    <w:rPr>
      <w:color w:val="000000"/>
      <w:sz w:val="40"/>
    </w:rPr>
  </w:style>
  <w:style w:type="paragraph" w:customStyle="1" w:styleId="TOCTitle">
    <w:name w:val="TOCTitle"/>
    <w:basedOn w:val="Heading1"/>
    <w:rsid w:val="00805E5E"/>
    <w:pPr>
      <w:spacing w:after="240"/>
      <w:jc w:val="center"/>
      <w:outlineLvl w:val="9"/>
    </w:pPr>
    <w:rPr>
      <w:caps/>
    </w:rPr>
  </w:style>
  <w:style w:type="paragraph" w:customStyle="1" w:styleId="Version">
    <w:name w:val="Version"/>
    <w:rsid w:val="00805E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E5E"/>
    <w:pPr>
      <w:keepNext w:val="0"/>
      <w:tabs>
        <w:tab w:val="right" w:pos="4176"/>
      </w:tabs>
      <w:ind w:left="198" w:hanging="198"/>
    </w:pPr>
    <w:rPr>
      <w:rFonts w:ascii="Garamond" w:hAnsi="Garamond"/>
    </w:rPr>
  </w:style>
  <w:style w:type="paragraph" w:styleId="IndexHeading">
    <w:name w:val="index heading"/>
    <w:basedOn w:val="Normal"/>
    <w:next w:val="Index1"/>
    <w:semiHidden/>
    <w:rsid w:val="00805E5E"/>
    <w:pPr>
      <w:spacing w:before="120" w:after="120"/>
    </w:pPr>
    <w:rPr>
      <w:rFonts w:ascii="Arial" w:hAnsi="Arial"/>
      <w:b/>
      <w:color w:val="918585"/>
      <w:sz w:val="24"/>
    </w:rPr>
  </w:style>
  <w:style w:type="paragraph" w:styleId="Header">
    <w:name w:val="header"/>
    <w:basedOn w:val="Normal"/>
    <w:link w:val="HeaderChar"/>
    <w:rsid w:val="00805E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E5E"/>
    <w:rPr>
      <w:rFonts w:ascii="Times New Roman" w:eastAsia="Times New Roman" w:hAnsi="Times New Roman" w:cs="Times New Roman"/>
      <w:sz w:val="16"/>
      <w:szCs w:val="20"/>
      <w:lang w:val="en-GB" w:eastAsia="en-US"/>
    </w:rPr>
  </w:style>
  <w:style w:type="paragraph" w:customStyle="1" w:styleId="Chapter">
    <w:name w:val="Chapter"/>
    <w:basedOn w:val="Normal"/>
    <w:rsid w:val="00805E5E"/>
    <w:pPr>
      <w:spacing w:before="240"/>
    </w:pPr>
    <w:rPr>
      <w:rFonts w:ascii="Times New Roman" w:hAnsi="Times New Roman"/>
      <w:smallCaps/>
      <w:spacing w:val="80"/>
      <w:sz w:val="28"/>
    </w:rPr>
  </w:style>
  <w:style w:type="paragraph" w:customStyle="1" w:styleId="InChapter">
    <w:name w:val="InChapter"/>
    <w:basedOn w:val="Heading3"/>
    <w:rsid w:val="00805E5E"/>
    <w:pPr>
      <w:spacing w:after="240"/>
      <w:outlineLvl w:val="9"/>
    </w:pPr>
    <w:rPr>
      <w:noProof/>
    </w:rPr>
  </w:style>
  <w:style w:type="paragraph" w:styleId="Index2">
    <w:name w:val="index 2"/>
    <w:basedOn w:val="Normal"/>
    <w:next w:val="Normal"/>
    <w:semiHidden/>
    <w:rsid w:val="00805E5E"/>
    <w:pPr>
      <w:tabs>
        <w:tab w:val="right" w:pos="4176"/>
      </w:tabs>
      <w:ind w:left="568" w:hanging="284"/>
    </w:pPr>
    <w:rPr>
      <w:rFonts w:ascii="Garamond" w:hAnsi="Garamond"/>
    </w:rPr>
  </w:style>
  <w:style w:type="paragraph" w:customStyle="1" w:styleId="Byline">
    <w:name w:val="Byline"/>
    <w:rsid w:val="00805E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E5E"/>
    <w:pPr>
      <w:tabs>
        <w:tab w:val="clear" w:pos="3600"/>
        <w:tab w:val="clear" w:pos="3958"/>
      </w:tabs>
      <w:jc w:val="right"/>
    </w:pPr>
  </w:style>
  <w:style w:type="character" w:styleId="Emphasis">
    <w:name w:val="Emphasis"/>
    <w:basedOn w:val="DefaultParagraphFont"/>
    <w:qFormat/>
    <w:rsid w:val="00805E5E"/>
    <w:rPr>
      <w:i/>
    </w:rPr>
  </w:style>
  <w:style w:type="paragraph" w:styleId="Caption">
    <w:name w:val="caption"/>
    <w:basedOn w:val="BodyText"/>
    <w:next w:val="Normal"/>
    <w:qFormat/>
    <w:rsid w:val="00805E5E"/>
    <w:pPr>
      <w:framePr w:w="2268" w:hSpace="181" w:vSpace="181" w:wrap="around" w:vAnchor="text" w:hAnchor="page" w:x="1135" w:y="285" w:anchorLock="1"/>
    </w:pPr>
    <w:rPr>
      <w:i/>
    </w:rPr>
  </w:style>
  <w:style w:type="paragraph" w:customStyle="1" w:styleId="MiniTOCTitle">
    <w:name w:val="MiniTOCTitle"/>
    <w:basedOn w:val="Heading4"/>
    <w:rsid w:val="00805E5E"/>
    <w:pPr>
      <w:spacing w:before="240"/>
      <w:outlineLvl w:val="9"/>
    </w:pPr>
    <w:rPr>
      <w:noProof/>
      <w:sz w:val="24"/>
    </w:rPr>
  </w:style>
  <w:style w:type="paragraph" w:customStyle="1" w:styleId="MiniTOCItem">
    <w:name w:val="MiniTOCItem"/>
    <w:basedOn w:val="ListBullet"/>
    <w:rsid w:val="00805E5E"/>
    <w:pPr>
      <w:numPr>
        <w:numId w:val="0"/>
      </w:numPr>
      <w:tabs>
        <w:tab w:val="right" w:leader="dot" w:pos="6521"/>
      </w:tabs>
      <w:spacing w:before="0" w:after="0"/>
    </w:pPr>
  </w:style>
  <w:style w:type="paragraph" w:customStyle="1" w:styleId="TOFTitle">
    <w:name w:val="TOFTitle"/>
    <w:basedOn w:val="TOCTitle"/>
    <w:rsid w:val="00805E5E"/>
  </w:style>
  <w:style w:type="paragraph" w:styleId="TableofFigures">
    <w:name w:val="table of figures"/>
    <w:basedOn w:val="Normal"/>
    <w:next w:val="Normal"/>
    <w:semiHidden/>
    <w:rsid w:val="00805E5E"/>
    <w:pPr>
      <w:tabs>
        <w:tab w:val="right" w:leader="dot" w:pos="9072"/>
      </w:tabs>
      <w:ind w:left="970" w:hanging="403"/>
    </w:pPr>
    <w:rPr>
      <w:rFonts w:ascii="Times New Roman" w:hAnsi="Times New Roman"/>
      <w:b/>
    </w:rPr>
  </w:style>
  <w:style w:type="paragraph" w:styleId="ListNumber">
    <w:name w:val="List Number"/>
    <w:basedOn w:val="List"/>
    <w:rsid w:val="00805E5E"/>
    <w:pPr>
      <w:numPr>
        <w:numId w:val="16"/>
      </w:numPr>
      <w:tabs>
        <w:tab w:val="clear" w:pos="340"/>
      </w:tabs>
    </w:pPr>
  </w:style>
  <w:style w:type="character" w:customStyle="1" w:styleId="WingdingSymbols">
    <w:name w:val="Wingding Symbols"/>
    <w:rsid w:val="00805E5E"/>
    <w:rPr>
      <w:rFonts w:ascii="Wingdings" w:hAnsi="Wingdings"/>
    </w:rPr>
  </w:style>
  <w:style w:type="character" w:customStyle="1" w:styleId="HotSpot">
    <w:name w:val="HotSpot"/>
    <w:rsid w:val="00805E5E"/>
    <w:rPr>
      <w:color w:val="0033CC"/>
      <w:u w:val="none"/>
    </w:rPr>
  </w:style>
  <w:style w:type="paragraph" w:customStyle="1" w:styleId="BodyTextRight">
    <w:name w:val="Body Text Right"/>
    <w:basedOn w:val="BodyText"/>
    <w:rsid w:val="00805E5E"/>
    <w:pPr>
      <w:spacing w:before="0" w:after="0"/>
      <w:jc w:val="right"/>
    </w:pPr>
  </w:style>
  <w:style w:type="paragraph" w:styleId="Index3">
    <w:name w:val="index 3"/>
    <w:basedOn w:val="ListNumber2"/>
    <w:next w:val="Normal"/>
    <w:semiHidden/>
    <w:rsid w:val="00805E5E"/>
    <w:pPr>
      <w:numPr>
        <w:numId w:val="0"/>
      </w:numPr>
      <w:tabs>
        <w:tab w:val="right" w:leader="dot" w:pos="4176"/>
      </w:tabs>
    </w:pPr>
  </w:style>
  <w:style w:type="paragraph" w:styleId="ListNumber2">
    <w:name w:val="List Number 2"/>
    <w:basedOn w:val="List2"/>
    <w:rsid w:val="00805E5E"/>
    <w:pPr>
      <w:numPr>
        <w:numId w:val="11"/>
      </w:numPr>
      <w:tabs>
        <w:tab w:val="clear" w:pos="1060"/>
      </w:tabs>
    </w:pPr>
  </w:style>
  <w:style w:type="paragraph" w:customStyle="1" w:styleId="MarginNote">
    <w:name w:val="Margin Note"/>
    <w:basedOn w:val="BodyText"/>
    <w:rsid w:val="00805E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E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E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E5E"/>
    <w:rPr>
      <w:sz w:val="32"/>
    </w:rPr>
  </w:style>
  <w:style w:type="paragraph" w:customStyle="1" w:styleId="HeadingProcedure">
    <w:name w:val="Heading Procedure"/>
    <w:basedOn w:val="HeadingBase"/>
    <w:next w:val="Normal"/>
    <w:rsid w:val="00805E5E"/>
    <w:pPr>
      <w:tabs>
        <w:tab w:val="left" w:pos="0"/>
      </w:tabs>
      <w:spacing w:before="120" w:after="60"/>
    </w:pPr>
    <w:rPr>
      <w:i/>
      <w:color w:val="918585"/>
      <w:sz w:val="22"/>
    </w:rPr>
  </w:style>
  <w:style w:type="paragraph" w:customStyle="1" w:styleId="TableBodyText">
    <w:name w:val="Table Body Text"/>
    <w:basedOn w:val="BodyText"/>
    <w:rsid w:val="00805E5E"/>
    <w:pPr>
      <w:spacing w:before="60" w:after="60"/>
    </w:pPr>
  </w:style>
  <w:style w:type="paragraph" w:styleId="ListContinue">
    <w:name w:val="List Continue"/>
    <w:basedOn w:val="List"/>
    <w:rsid w:val="00805E5E"/>
    <w:pPr>
      <w:ind w:firstLine="0"/>
    </w:pPr>
  </w:style>
  <w:style w:type="paragraph" w:customStyle="1" w:styleId="ListNote">
    <w:name w:val="List Note"/>
    <w:basedOn w:val="List"/>
    <w:rsid w:val="00805E5E"/>
    <w:pPr>
      <w:pBdr>
        <w:top w:val="single" w:sz="6" w:space="2" w:color="918585"/>
        <w:bottom w:val="single" w:sz="6" w:space="2" w:color="918585"/>
      </w:pBdr>
      <w:tabs>
        <w:tab w:val="left" w:pos="1021"/>
      </w:tabs>
      <w:ind w:firstLine="0"/>
    </w:pPr>
  </w:style>
  <w:style w:type="paragraph" w:customStyle="1" w:styleId="Warning">
    <w:name w:val="Warning"/>
    <w:basedOn w:val="BodyText"/>
    <w:rsid w:val="00805E5E"/>
    <w:pPr>
      <w:shd w:val="clear" w:color="auto" w:fill="D9D9D9"/>
      <w:tabs>
        <w:tab w:val="left" w:pos="992"/>
      </w:tabs>
      <w:ind w:left="119" w:right="119"/>
    </w:pPr>
    <w:rPr>
      <w:sz w:val="20"/>
    </w:rPr>
  </w:style>
  <w:style w:type="paragraph" w:customStyle="1" w:styleId="MarginIcons">
    <w:name w:val="Margin Icons"/>
    <w:basedOn w:val="BodyText"/>
    <w:rsid w:val="00805E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E5E"/>
    <w:rPr>
      <w:rFonts w:ascii="Courier New" w:hAnsi="Courier New"/>
    </w:rPr>
  </w:style>
  <w:style w:type="paragraph" w:customStyle="1" w:styleId="NoteBullet">
    <w:name w:val="Note Bullet"/>
    <w:basedOn w:val="Note"/>
    <w:rsid w:val="00805E5E"/>
    <w:pPr>
      <w:tabs>
        <w:tab w:val="clear" w:pos="680"/>
      </w:tabs>
      <w:spacing w:before="60" w:after="60"/>
    </w:pPr>
  </w:style>
  <w:style w:type="paragraph" w:customStyle="1" w:styleId="SubHeading2">
    <w:name w:val="SubHeading2"/>
    <w:basedOn w:val="HeadingBase"/>
    <w:rsid w:val="00805E5E"/>
    <w:pPr>
      <w:spacing w:before="240" w:after="60"/>
    </w:pPr>
    <w:rPr>
      <w:sz w:val="20"/>
    </w:rPr>
  </w:style>
  <w:style w:type="paragraph" w:customStyle="1" w:styleId="SubHeading1">
    <w:name w:val="SubHeading1"/>
    <w:basedOn w:val="HeadingBase"/>
    <w:rsid w:val="00805E5E"/>
    <w:pPr>
      <w:spacing w:before="240" w:after="60"/>
    </w:pPr>
    <w:rPr>
      <w:color w:val="918585"/>
      <w:sz w:val="22"/>
    </w:rPr>
  </w:style>
  <w:style w:type="paragraph" w:customStyle="1" w:styleId="SideHeading">
    <w:name w:val="Side Heading"/>
    <w:basedOn w:val="HeadingBase"/>
    <w:rsid w:val="00805E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E5E"/>
    <w:pPr>
      <w:numPr>
        <w:numId w:val="12"/>
      </w:numPr>
    </w:pPr>
  </w:style>
  <w:style w:type="paragraph" w:styleId="PlainText">
    <w:name w:val="Plain Text"/>
    <w:basedOn w:val="Normal"/>
    <w:link w:val="PlainTextChar"/>
    <w:rsid w:val="00805E5E"/>
    <w:rPr>
      <w:sz w:val="20"/>
    </w:rPr>
  </w:style>
  <w:style w:type="character" w:customStyle="1" w:styleId="PlainTextChar">
    <w:name w:val="Plain Text Char"/>
    <w:basedOn w:val="DefaultParagraphFont"/>
    <w:link w:val="PlainText"/>
    <w:rsid w:val="00805E5E"/>
    <w:rPr>
      <w:rFonts w:ascii="Courier New" w:eastAsia="Times New Roman" w:hAnsi="Courier New" w:cs="Times New Roman"/>
      <w:sz w:val="20"/>
      <w:szCs w:val="20"/>
      <w:lang w:eastAsia="en-US"/>
    </w:rPr>
  </w:style>
  <w:style w:type="character" w:customStyle="1" w:styleId="MenuOption">
    <w:name w:val="Menu Option"/>
    <w:basedOn w:val="DefaultParagraphFont"/>
    <w:rsid w:val="00805E5E"/>
    <w:rPr>
      <w:b/>
      <w:smallCaps/>
    </w:rPr>
  </w:style>
  <w:style w:type="paragraph" w:customStyle="1" w:styleId="TableListNumber">
    <w:name w:val="Table List Number"/>
    <w:basedOn w:val="ListNumber"/>
    <w:rsid w:val="00805E5E"/>
    <w:pPr>
      <w:numPr>
        <w:numId w:val="0"/>
      </w:numPr>
    </w:pPr>
  </w:style>
  <w:style w:type="paragraph" w:styleId="TOC4">
    <w:name w:val="toc 4"/>
    <w:basedOn w:val="TOCBase"/>
    <w:next w:val="Normal"/>
    <w:semiHidden/>
    <w:rsid w:val="00805E5E"/>
    <w:pPr>
      <w:tabs>
        <w:tab w:val="right" w:leader="dot" w:pos="9071"/>
      </w:tabs>
      <w:ind w:left="1701"/>
    </w:pPr>
  </w:style>
  <w:style w:type="paragraph" w:customStyle="1" w:styleId="ListAlpha">
    <w:name w:val="List Alpha"/>
    <w:basedOn w:val="List"/>
    <w:rsid w:val="00805E5E"/>
    <w:pPr>
      <w:numPr>
        <w:numId w:val="10"/>
      </w:numPr>
    </w:pPr>
  </w:style>
  <w:style w:type="paragraph" w:customStyle="1" w:styleId="ListAlpha2">
    <w:name w:val="List Alpha 2"/>
    <w:basedOn w:val="List2"/>
    <w:rsid w:val="00805E5E"/>
    <w:pPr>
      <w:numPr>
        <w:numId w:val="9"/>
      </w:numPr>
    </w:pPr>
  </w:style>
  <w:style w:type="paragraph" w:styleId="List2">
    <w:name w:val="List 2"/>
    <w:basedOn w:val="BodyText"/>
    <w:rsid w:val="00805E5E"/>
    <w:pPr>
      <w:tabs>
        <w:tab w:val="left" w:pos="680"/>
      </w:tabs>
      <w:spacing w:before="60" w:after="60"/>
      <w:ind w:left="680" w:hanging="340"/>
    </w:pPr>
  </w:style>
  <w:style w:type="paragraph" w:styleId="List3">
    <w:name w:val="List 3"/>
    <w:basedOn w:val="BodyText"/>
    <w:rsid w:val="00805E5E"/>
    <w:pPr>
      <w:tabs>
        <w:tab w:val="left" w:pos="1021"/>
      </w:tabs>
      <w:spacing w:before="60" w:after="60"/>
      <w:ind w:left="1020" w:hanging="340"/>
    </w:pPr>
  </w:style>
  <w:style w:type="paragraph" w:styleId="List4">
    <w:name w:val="List 4"/>
    <w:basedOn w:val="BodyText"/>
    <w:rsid w:val="00805E5E"/>
    <w:pPr>
      <w:tabs>
        <w:tab w:val="left" w:pos="1361"/>
      </w:tabs>
      <w:spacing w:before="60" w:after="60"/>
      <w:ind w:left="1361" w:hanging="340"/>
    </w:pPr>
  </w:style>
  <w:style w:type="paragraph" w:styleId="List5">
    <w:name w:val="List 5"/>
    <w:basedOn w:val="BodyText"/>
    <w:rsid w:val="00805E5E"/>
    <w:pPr>
      <w:tabs>
        <w:tab w:val="left" w:pos="1701"/>
      </w:tabs>
      <w:spacing w:before="60" w:after="60"/>
      <w:ind w:left="1701" w:hanging="340"/>
    </w:pPr>
  </w:style>
  <w:style w:type="paragraph" w:styleId="ListBullet4">
    <w:name w:val="List Bullet 4"/>
    <w:basedOn w:val="List4"/>
    <w:rsid w:val="00805E5E"/>
    <w:pPr>
      <w:numPr>
        <w:numId w:val="4"/>
      </w:numPr>
      <w:tabs>
        <w:tab w:val="clear" w:pos="1361"/>
      </w:tabs>
    </w:pPr>
  </w:style>
  <w:style w:type="paragraph" w:styleId="ListBullet5">
    <w:name w:val="List Bullet 5"/>
    <w:basedOn w:val="List5"/>
    <w:rsid w:val="00805E5E"/>
    <w:pPr>
      <w:numPr>
        <w:numId w:val="5"/>
      </w:numPr>
    </w:pPr>
  </w:style>
  <w:style w:type="paragraph" w:styleId="ListContinue2">
    <w:name w:val="List Continue 2"/>
    <w:basedOn w:val="List2"/>
    <w:rsid w:val="00805E5E"/>
    <w:pPr>
      <w:ind w:firstLine="0"/>
    </w:pPr>
  </w:style>
  <w:style w:type="paragraph" w:styleId="ListContinue3">
    <w:name w:val="List Continue 3"/>
    <w:basedOn w:val="List3"/>
    <w:rsid w:val="00805E5E"/>
    <w:pPr>
      <w:ind w:left="1021" w:firstLine="0"/>
    </w:pPr>
  </w:style>
  <w:style w:type="paragraph" w:styleId="ListContinue4">
    <w:name w:val="List Continue 4"/>
    <w:basedOn w:val="List4"/>
    <w:rsid w:val="00805E5E"/>
    <w:pPr>
      <w:ind w:firstLine="0"/>
    </w:pPr>
  </w:style>
  <w:style w:type="paragraph" w:styleId="ListContinue5">
    <w:name w:val="List Continue 5"/>
    <w:basedOn w:val="List5"/>
    <w:rsid w:val="00805E5E"/>
    <w:pPr>
      <w:ind w:firstLine="0"/>
    </w:pPr>
  </w:style>
  <w:style w:type="paragraph" w:styleId="ListNumber3">
    <w:name w:val="List Number 3"/>
    <w:basedOn w:val="List3"/>
    <w:rsid w:val="00805E5E"/>
    <w:pPr>
      <w:numPr>
        <w:numId w:val="6"/>
      </w:numPr>
    </w:pPr>
  </w:style>
  <w:style w:type="paragraph" w:styleId="ListNumber4">
    <w:name w:val="List Number 4"/>
    <w:basedOn w:val="List4"/>
    <w:rsid w:val="00805E5E"/>
    <w:pPr>
      <w:numPr>
        <w:numId w:val="7"/>
      </w:numPr>
    </w:pPr>
  </w:style>
  <w:style w:type="paragraph" w:styleId="ListNumber5">
    <w:name w:val="List Number 5"/>
    <w:basedOn w:val="List5"/>
    <w:rsid w:val="00805E5E"/>
    <w:pPr>
      <w:numPr>
        <w:numId w:val="8"/>
      </w:numPr>
    </w:pPr>
  </w:style>
  <w:style w:type="paragraph" w:styleId="BlockText">
    <w:name w:val="Block Text"/>
    <w:basedOn w:val="Normal"/>
    <w:rsid w:val="00805E5E"/>
    <w:pPr>
      <w:spacing w:after="120"/>
      <w:ind w:left="1440" w:right="1440"/>
    </w:pPr>
  </w:style>
  <w:style w:type="character" w:customStyle="1" w:styleId="Subscript">
    <w:name w:val="Subscript"/>
    <w:basedOn w:val="DefaultParagraphFont"/>
    <w:rsid w:val="00805E5E"/>
    <w:rPr>
      <w:sz w:val="16"/>
      <w:vertAlign w:val="subscript"/>
    </w:rPr>
  </w:style>
  <w:style w:type="character" w:customStyle="1" w:styleId="Superscript">
    <w:name w:val="Superscript"/>
    <w:basedOn w:val="DefaultParagraphFont"/>
    <w:rsid w:val="00805E5E"/>
    <w:rPr>
      <w:sz w:val="16"/>
      <w:vertAlign w:val="superscript"/>
    </w:rPr>
  </w:style>
  <w:style w:type="character" w:customStyle="1" w:styleId="Symbols">
    <w:name w:val="Symbols"/>
    <w:basedOn w:val="DefaultParagraphFont"/>
    <w:rsid w:val="00805E5E"/>
    <w:rPr>
      <w:rFonts w:ascii="Symbol" w:hAnsi="Symbol"/>
    </w:rPr>
  </w:style>
  <w:style w:type="character" w:customStyle="1" w:styleId="MenuOptions">
    <w:name w:val="Menu Options"/>
    <w:basedOn w:val="DefaultParagraphFont"/>
    <w:rsid w:val="00805E5E"/>
    <w:rPr>
      <w:rFonts w:ascii="Arial Narrow" w:hAnsi="Arial Narrow"/>
      <w:smallCaps/>
    </w:rPr>
  </w:style>
  <w:style w:type="character" w:customStyle="1" w:styleId="Buttons">
    <w:name w:val="Buttons"/>
    <w:basedOn w:val="DefaultParagraphFont"/>
    <w:rsid w:val="00805E5E"/>
    <w:rPr>
      <w:b/>
    </w:rPr>
  </w:style>
  <w:style w:type="character" w:customStyle="1" w:styleId="Underlined">
    <w:name w:val="Underlined"/>
    <w:basedOn w:val="DefaultParagraphFont"/>
    <w:rsid w:val="00805E5E"/>
    <w:rPr>
      <w:u w:val="single"/>
    </w:rPr>
  </w:style>
  <w:style w:type="paragraph" w:customStyle="1" w:styleId="TableBodyTextRight">
    <w:name w:val="Table Body Text Right"/>
    <w:basedOn w:val="TableBodyText"/>
    <w:rsid w:val="00805E5E"/>
    <w:pPr>
      <w:widowControl w:val="0"/>
      <w:autoSpaceDE w:val="0"/>
      <w:autoSpaceDN w:val="0"/>
      <w:adjustRightInd w:val="0"/>
      <w:jc w:val="right"/>
    </w:pPr>
    <w:rPr>
      <w:rFonts w:cs="Arial"/>
      <w:szCs w:val="18"/>
    </w:rPr>
  </w:style>
  <w:style w:type="paragraph" w:customStyle="1" w:styleId="CopyrightText">
    <w:name w:val="Copyright Text"/>
    <w:basedOn w:val="BodyText"/>
    <w:rsid w:val="00805E5E"/>
    <w:rPr>
      <w:sz w:val="18"/>
    </w:rPr>
  </w:style>
  <w:style w:type="paragraph" w:customStyle="1" w:styleId="BodySmallRight">
    <w:name w:val="Body Small Right"/>
    <w:basedOn w:val="BodyTextRight"/>
    <w:rsid w:val="00805E5E"/>
    <w:rPr>
      <w:sz w:val="18"/>
      <w:szCs w:val="18"/>
    </w:rPr>
  </w:style>
  <w:style w:type="paragraph" w:customStyle="1" w:styleId="MarginEdition">
    <w:name w:val="Margin Edition"/>
    <w:basedOn w:val="MarginNote"/>
    <w:rsid w:val="00805E5E"/>
    <w:pPr>
      <w:spacing w:before="0" w:after="0"/>
    </w:pPr>
    <w:rPr>
      <w:rFonts w:ascii="Times New Roman" w:hAnsi="Times New Roman"/>
      <w:color w:val="999999"/>
    </w:rPr>
  </w:style>
  <w:style w:type="paragraph" w:customStyle="1" w:styleId="Spacer">
    <w:name w:val="Spacer"/>
    <w:basedOn w:val="Normal"/>
    <w:rsid w:val="00805E5E"/>
    <w:rPr>
      <w:sz w:val="2"/>
      <w:szCs w:val="2"/>
    </w:rPr>
  </w:style>
  <w:style w:type="character" w:customStyle="1" w:styleId="Small">
    <w:name w:val="Small"/>
    <w:basedOn w:val="DefaultParagraphFont"/>
    <w:rsid w:val="00805E5E"/>
    <w:rPr>
      <w:sz w:val="16"/>
    </w:rPr>
  </w:style>
  <w:style w:type="paragraph" w:customStyle="1" w:styleId="WideTable">
    <w:name w:val="Wide Table"/>
    <w:basedOn w:val="Normal"/>
    <w:rsid w:val="00805E5E"/>
    <w:pPr>
      <w:ind w:left="-1418"/>
    </w:pPr>
    <w:rPr>
      <w:sz w:val="2"/>
      <w:szCs w:val="2"/>
    </w:rPr>
  </w:style>
  <w:style w:type="character" w:styleId="PageNumber">
    <w:name w:val="page number"/>
    <w:basedOn w:val="DefaultParagraphFont"/>
    <w:rsid w:val="00805E5E"/>
  </w:style>
  <w:style w:type="paragraph" w:styleId="Quote">
    <w:name w:val="Quote"/>
    <w:basedOn w:val="Heading1"/>
    <w:link w:val="QuoteChar"/>
    <w:qFormat/>
    <w:rsid w:val="00805E5E"/>
    <w:rPr>
      <w:b w:val="0"/>
      <w:sz w:val="72"/>
      <w:szCs w:val="72"/>
      <w:lang w:val="en-NZ"/>
    </w:rPr>
  </w:style>
  <w:style w:type="character" w:customStyle="1" w:styleId="QuoteChar">
    <w:name w:val="Quote Char"/>
    <w:basedOn w:val="DefaultParagraphFont"/>
    <w:link w:val="Quote"/>
    <w:rsid w:val="00805E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E5E"/>
    <w:pPr>
      <w:pageBreakBefore/>
    </w:pPr>
  </w:style>
  <w:style w:type="paragraph" w:customStyle="1" w:styleId="Border">
    <w:name w:val="Border"/>
    <w:basedOn w:val="Normal"/>
    <w:qFormat/>
    <w:rsid w:val="00805E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E5E"/>
    <w:rPr>
      <w:b/>
      <w:bCs/>
      <w:i/>
      <w:iCs/>
      <w:color w:val="auto"/>
    </w:rPr>
  </w:style>
  <w:style w:type="paragraph" w:styleId="IntenseQuote">
    <w:name w:val="Intense Quote"/>
    <w:basedOn w:val="Normal"/>
    <w:next w:val="Normal"/>
    <w:link w:val="IntenseQuoteChar"/>
    <w:uiPriority w:val="30"/>
    <w:qFormat/>
    <w:rsid w:val="00805E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E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E5E"/>
    <w:rPr>
      <w:smallCaps/>
      <w:color w:val="auto"/>
      <w:u w:val="single"/>
    </w:rPr>
  </w:style>
  <w:style w:type="character" w:styleId="IntenseReference">
    <w:name w:val="Intense Reference"/>
    <w:basedOn w:val="DefaultParagraphFont"/>
    <w:uiPriority w:val="32"/>
    <w:qFormat/>
    <w:rsid w:val="00805E5E"/>
    <w:rPr>
      <w:b/>
      <w:bCs/>
      <w:smallCaps/>
      <w:color w:val="auto"/>
      <w:spacing w:val="5"/>
      <w:u w:val="single"/>
    </w:rPr>
  </w:style>
  <w:style w:type="paragraph" w:customStyle="1" w:styleId="2ColumnHeading">
    <w:name w:val="2Column Heading"/>
    <w:basedOn w:val="BodyText"/>
    <w:qFormat/>
    <w:rsid w:val="00805E5E"/>
    <w:pPr>
      <w:spacing w:after="60"/>
      <w:ind w:left="-2268"/>
    </w:pPr>
    <w:rPr>
      <w:b/>
    </w:rPr>
  </w:style>
  <w:style w:type="paragraph" w:customStyle="1" w:styleId="Heading1TOC">
    <w:name w:val="Heading1 TOC"/>
    <w:basedOn w:val="Normal"/>
    <w:qFormat/>
    <w:rsid w:val="00805E5E"/>
    <w:pPr>
      <w:spacing w:before="240" w:after="120"/>
    </w:pPr>
    <w:rPr>
      <w:rFonts w:ascii="Times New Roman" w:hAnsi="Times New Roman"/>
      <w:b/>
      <w:sz w:val="32"/>
    </w:rPr>
  </w:style>
  <w:style w:type="paragraph" w:customStyle="1" w:styleId="Heading2TOC">
    <w:name w:val="Heading2 TOC"/>
    <w:basedOn w:val="Normal"/>
    <w:qFormat/>
    <w:rsid w:val="00805E5E"/>
    <w:pPr>
      <w:spacing w:before="240" w:after="60"/>
    </w:pPr>
    <w:rPr>
      <w:rFonts w:ascii="Times New Roman" w:hAnsi="Times New Roman"/>
      <w:b/>
      <w:sz w:val="28"/>
    </w:rPr>
  </w:style>
  <w:style w:type="character" w:customStyle="1" w:styleId="Underline">
    <w:name w:val="Underline"/>
    <w:basedOn w:val="DefaultParagraphFont"/>
    <w:qFormat/>
    <w:rsid w:val="00805E5E"/>
    <w:rPr>
      <w:u w:val="single"/>
    </w:rPr>
  </w:style>
  <w:style w:type="character" w:customStyle="1" w:styleId="BoldandItalics">
    <w:name w:val="Bold and Italics"/>
    <w:qFormat/>
    <w:rsid w:val="00805E5E"/>
    <w:rPr>
      <w:b/>
      <w:i/>
      <w:u w:val="none"/>
    </w:rPr>
  </w:style>
  <w:style w:type="paragraph" w:styleId="BalloonText">
    <w:name w:val="Balloon Text"/>
    <w:basedOn w:val="Normal"/>
    <w:link w:val="BalloonTextChar"/>
    <w:rsid w:val="00805E5E"/>
    <w:rPr>
      <w:rFonts w:ascii="Tahoma" w:hAnsi="Tahoma" w:cs="Tahoma"/>
      <w:sz w:val="16"/>
      <w:szCs w:val="16"/>
    </w:rPr>
  </w:style>
  <w:style w:type="character" w:customStyle="1" w:styleId="BalloonTextChar">
    <w:name w:val="Balloon Text Char"/>
    <w:basedOn w:val="DefaultParagraphFont"/>
    <w:link w:val="BalloonText"/>
    <w:rsid w:val="00805E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E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E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E5E"/>
    <w:rPr>
      <w:b/>
      <w:color w:val="660033"/>
      <w:spacing w:val="0"/>
    </w:rPr>
  </w:style>
  <w:style w:type="paragraph" w:customStyle="1" w:styleId="Nameditemlist">
    <w:name w:val="Named item list"/>
    <w:basedOn w:val="BodyText"/>
    <w:qFormat/>
    <w:rsid w:val="00805E5E"/>
    <w:pPr>
      <w:tabs>
        <w:tab w:val="left" w:pos="2835"/>
      </w:tabs>
      <w:ind w:left="2835" w:hanging="2835"/>
    </w:pPr>
  </w:style>
  <w:style w:type="paragraph" w:customStyle="1" w:styleId="BodyTextnopadding">
    <w:name w:val="Body Text no padding"/>
    <w:basedOn w:val="BodyText"/>
    <w:qFormat/>
    <w:rsid w:val="00805E5E"/>
    <w:pPr>
      <w:spacing w:before="0" w:after="0"/>
    </w:pPr>
  </w:style>
  <w:style w:type="paragraph" w:customStyle="1" w:styleId="BodyTextBold">
    <w:name w:val="Body Text Bold"/>
    <w:basedOn w:val="BodyText"/>
    <w:qFormat/>
    <w:rsid w:val="00805E5E"/>
    <w:rPr>
      <w:b/>
    </w:rPr>
  </w:style>
  <w:style w:type="character" w:styleId="Hyperlink">
    <w:name w:val="Hyperlink"/>
    <w:basedOn w:val="DefaultParagraphFont"/>
    <w:uiPriority w:val="99"/>
    <w:unhideWhenUsed/>
    <w:rsid w:val="00F25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6167</Characters>
  <Application>Microsoft Office Word</Application>
  <DocSecurity>0</DocSecurity>
  <Lines>166</Lines>
  <Paragraphs>114</Paragraphs>
  <ScaleCrop>false</ScaleCrop>
  <Company>Author-it Software Corporation Ltd.</Company>
  <LinksUpToDate>false</LinksUpToDate>
  <CharactersWithSpaces>7012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RIIARO406 Optimise automated haulage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