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8E4" w:rsidP="00AA78E4">
      <w:pPr>
        <w:pStyle w:val="Title"/>
      </w:pPr>
      <w:r>
        <w:fldChar w:fldCharType="begin"/>
      </w:r>
      <w:r>
        <w:instrText xml:space="preserve"> TITLE   \* MERGEFORMAT </w:instrText>
      </w:r>
      <w:r>
        <w:fldChar w:fldCharType="separate"/>
      </w:r>
      <w:r>
        <w:t>Assessment Requirements for RIIARO402 Optimise performance of complex control systems in autonomous operations</w:t>
      </w:r>
      <w:r>
        <w:fldChar w:fldCharType="end"/>
      </w:r>
    </w:p>
    <w:p w:rsidR="00AA78E4" w:rsidP="00AA78E4">
      <w:pPr>
        <w:pStyle w:val="Version"/>
        <w:sectPr w:rsidSect="006D1A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AEE" w:rsidP="006D1AEE">
      <w:pPr>
        <w:pStyle w:val="SuperHeading"/>
      </w:pPr>
      <w:r w:rsidRPr="006D1AEE">
        <w:t>Assessment Requirements for RIIARO402 Optimise performance of complex control systems in autonomous operations</w:t>
      </w:r>
    </w:p>
    <w:p w:rsidR="00000000" w:rsidRPr="006D1AEE" w:rsidP="006D1AEE">
      <w:pPr>
        <w:pStyle w:val="Heading1"/>
      </w:pPr>
      <w:bookmarkStart w:id="1" w:name="O_1255736"/>
      <w:bookmarkEnd w:id="1"/>
      <w:r w:rsidRPr="006D1AEE">
        <w:t>Modification History</w:t>
      </w:r>
    </w:p>
    <w:tbl>
      <w:tblPr>
        <w:tblW w:w="0" w:type="auto"/>
        <w:tblLayout w:type="fixed"/>
        <w:tblCellMar>
          <w:left w:w="62" w:type="dxa"/>
          <w:right w:w="62" w:type="dxa"/>
        </w:tblCellMar>
        <w:tblLook w:val="0000"/>
      </w:tblPr>
      <w:tblGrid>
        <w:gridCol w:w="2728"/>
        <w:gridCol w:w="6344"/>
      </w:tblGrid>
      <w:tr w:rsidTr="006D1AEE">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EE">
            <w:pPr>
              <w:pStyle w:val="BodyText"/>
              <w:rPr>
                <w:lang w:val="en-NZ"/>
              </w:rPr>
            </w:pPr>
            <w:r w:rsidRPr="006D1AE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AEE" w:rsidP="006D1AEE">
            <w:pPr>
              <w:pStyle w:val="BodyText"/>
            </w:pPr>
            <w:r w:rsidRPr="006D1AEE">
              <w:t>This version first released with RII Resources and Infrastructure Industry Training Package Version 9.0.</w:t>
            </w:r>
          </w:p>
          <w:p w:rsidR="00000000" w:rsidRPr="006D1AEE" w:rsidP="006D1AEE">
            <w:pPr>
              <w:pStyle w:val="BodyText"/>
            </w:pPr>
            <w:r w:rsidRPr="006D1AEE">
              <w:t>Newly created unit.</w:t>
            </w:r>
          </w:p>
        </w:tc>
      </w:tr>
    </w:tbl>
    <w:p w:rsidR="00000000" w:rsidRPr="006D1AEE" w:rsidP="006D1AEE">
      <w:pPr>
        <w:pStyle w:val="BodyText"/>
      </w:pPr>
    </w:p>
    <w:p w:rsidR="00000000" w:rsidRPr="006D1AEE" w:rsidP="006D1AEE">
      <w:pPr>
        <w:pStyle w:val="AllowPageBreak"/>
      </w:pPr>
    </w:p>
    <w:p w:rsidR="00000000" w:rsidRPr="006D1AEE" w:rsidP="006D1AEE">
      <w:pPr>
        <w:pStyle w:val="Heading1"/>
      </w:pPr>
      <w:bookmarkStart w:id="2" w:name="O_1255737"/>
      <w:bookmarkEnd w:id="2"/>
      <w:r w:rsidRPr="006D1AEE">
        <w:t>Performance Evidence</w:t>
      </w:r>
    </w:p>
    <w:p w:rsidR="00000000" w:rsidRPr="006D1AEE" w:rsidP="00AA78E4">
      <w:pPr>
        <w:pStyle w:val="BodyText"/>
      </w:pPr>
      <w:r w:rsidRPr="006D1AEE">
        <w:t>The candidate must demonstrate the ability to complete the tasks outlined in the elements</w:t>
      </w:r>
      <w:r w:rsidRPr="006D1AEE">
        <w:t>, performance criteria and foundation skills of this unit, including evidence of the ability to:</w:t>
      </w:r>
    </w:p>
    <w:p w:rsidR="00000000" w:rsidRPr="006D1AEE" w:rsidP="006D1AEE">
      <w:pPr>
        <w:pStyle w:val="ListBullet"/>
      </w:pPr>
      <w:r w:rsidRPr="006D1AEE">
        <w:t>optimise complex control systems, or aspects thereof, on at least 2 different occasions.</w:t>
      </w:r>
    </w:p>
    <w:p w:rsidR="00000000" w:rsidRPr="006D1AEE" w:rsidP="006D1AEE">
      <w:pPr>
        <w:pStyle w:val="BodyText"/>
      </w:pPr>
    </w:p>
    <w:p w:rsidR="00000000" w:rsidRPr="006D1AEE" w:rsidP="00AA78E4">
      <w:pPr>
        <w:pStyle w:val="BodyText"/>
      </w:pPr>
      <w:r w:rsidRPr="006D1AEE">
        <w:t>During the above, the candidate must:</w:t>
      </w:r>
    </w:p>
    <w:p w:rsidR="00000000" w:rsidRPr="006D1AEE" w:rsidP="006D1AEE">
      <w:pPr>
        <w:pStyle w:val="ListBullet"/>
      </w:pPr>
      <w:r w:rsidRPr="006D1AEE">
        <w:t>interpret, prioritise, and re</w:t>
      </w:r>
      <w:r w:rsidRPr="006D1AEE">
        <w:t>solve alarms and warning system alerts</w:t>
      </w:r>
    </w:p>
    <w:p w:rsidR="00000000" w:rsidRPr="006D1AEE" w:rsidP="006D1AEE">
      <w:pPr>
        <w:pStyle w:val="ListBullet"/>
      </w:pPr>
      <w:r w:rsidRPr="006D1AEE">
        <w:t>respond to changed conditions in a timely manner</w:t>
      </w:r>
    </w:p>
    <w:p w:rsidR="00000000" w:rsidRPr="006D1AEE" w:rsidP="006D1AEE">
      <w:pPr>
        <w:pStyle w:val="ListBullet"/>
      </w:pPr>
      <w:r w:rsidRPr="006D1AEE">
        <w:t>follow escalation protocols</w:t>
      </w:r>
    </w:p>
    <w:p w:rsidR="00000000" w:rsidRPr="006D1AEE" w:rsidP="006D1AEE">
      <w:pPr>
        <w:pStyle w:val="ListBullet"/>
      </w:pPr>
      <w:r w:rsidRPr="006D1AEE">
        <w:t>determine the impact of possible upstream and downstream effects</w:t>
      </w:r>
    </w:p>
    <w:p w:rsidR="00000000" w:rsidRPr="006D1AEE" w:rsidP="006D1AEE">
      <w:pPr>
        <w:pStyle w:val="ListBullet"/>
      </w:pPr>
      <w:r w:rsidRPr="006D1AEE">
        <w:t>determine the feasibility of, and communicate, planned actions to achieve optimal performance.</w:t>
      </w:r>
    </w:p>
    <w:p w:rsidR="00000000" w:rsidRPr="006D1AEE" w:rsidP="006D1AEE">
      <w:pPr>
        <w:pStyle w:val="AllowPageBreak"/>
      </w:pPr>
    </w:p>
    <w:p w:rsidR="00000000" w:rsidRPr="006D1AEE" w:rsidP="006D1AEE">
      <w:pPr>
        <w:pStyle w:val="Heading1"/>
      </w:pPr>
      <w:bookmarkStart w:id="3" w:name="O_1255738"/>
      <w:bookmarkEnd w:id="3"/>
      <w:r w:rsidRPr="006D1AEE">
        <w:t>Knowledge Evidence</w:t>
      </w:r>
    </w:p>
    <w:p w:rsidR="00000000" w:rsidRPr="006D1AEE" w:rsidP="00AA78E4">
      <w:pPr>
        <w:pStyle w:val="BodyText"/>
      </w:pPr>
      <w:r w:rsidRPr="006D1AEE">
        <w:t>The candidate must be able to demonstrate knowledge to complete the tasks outlined in the elements, performance criteria an</w:t>
      </w:r>
      <w:r w:rsidRPr="006D1AEE">
        <w:t>d foundation skills of this unit, including knowledge of:</w:t>
      </w:r>
    </w:p>
    <w:p w:rsidR="00000000" w:rsidRPr="006D1AEE" w:rsidP="006D1AEE">
      <w:pPr>
        <w:pStyle w:val="ListBullet"/>
      </w:pPr>
      <w:r w:rsidRPr="006D1AEE">
        <w:t>fundamentals of automation and machine learning technologies, including:</w:t>
      </w:r>
    </w:p>
    <w:p w:rsidR="00000000" w:rsidRPr="006D1AEE" w:rsidP="006D1AEE">
      <w:pPr>
        <w:pStyle w:val="ListBullet2"/>
      </w:pPr>
      <w:r w:rsidRPr="006D1AEE">
        <w:t>control systems functionality and limitations</w:t>
      </w:r>
    </w:p>
    <w:p w:rsidR="00000000" w:rsidRPr="006D1AEE" w:rsidP="006D1AEE">
      <w:pPr>
        <w:pStyle w:val="ListBullet"/>
      </w:pPr>
      <w:r w:rsidRPr="006D1AEE">
        <w:t>role and functions of the operations controller</w:t>
      </w:r>
    </w:p>
    <w:p w:rsidR="00000000" w:rsidRPr="006D1AEE" w:rsidP="006D1AEE">
      <w:pPr>
        <w:pStyle w:val="ListBullet"/>
      </w:pPr>
      <w:r w:rsidRPr="006D1AEE">
        <w:t>process control operating sy</w:t>
      </w:r>
      <w:r w:rsidRPr="006D1AEE">
        <w:t>stem, including:</w:t>
      </w:r>
    </w:p>
    <w:p w:rsidR="00000000" w:rsidRPr="006D1AEE" w:rsidP="006D1AEE">
      <w:pPr>
        <w:pStyle w:val="ListBullet2"/>
      </w:pPr>
      <w:r w:rsidRPr="006D1AEE">
        <w:t>system architecture, operating parameters and integrity limits</w:t>
      </w:r>
    </w:p>
    <w:p w:rsidR="00000000" w:rsidRPr="006D1AEE" w:rsidP="006D1AEE">
      <w:pPr>
        <w:pStyle w:val="ListBullet2"/>
      </w:pPr>
      <w:r w:rsidRPr="006D1AEE">
        <w:t>human-machine interface (HMI)</w:t>
      </w:r>
    </w:p>
    <w:p w:rsidR="00000000" w:rsidRPr="006D1AEE" w:rsidP="006D1AEE">
      <w:pPr>
        <w:pStyle w:val="ListBullet2"/>
      </w:pPr>
      <w:r w:rsidRPr="006D1AEE">
        <w:t>how control systems make decisions and the influences that will dictate system setup</w:t>
      </w:r>
    </w:p>
    <w:p w:rsidR="00000000" w:rsidRPr="006D1AEE" w:rsidP="006D1AEE">
      <w:pPr>
        <w:pStyle w:val="ListBullet2"/>
      </w:pPr>
      <w:r w:rsidRPr="006D1AEE">
        <w:t>advanced control features</w:t>
      </w:r>
    </w:p>
    <w:p w:rsidR="00000000" w:rsidRPr="006D1AEE" w:rsidP="006D1AEE">
      <w:pPr>
        <w:pStyle w:val="ListBullet2"/>
      </w:pPr>
      <w:r w:rsidRPr="006D1AEE">
        <w:t>when to intervene: escalate or correct and/or report unsafe practices</w:t>
      </w:r>
    </w:p>
    <w:p w:rsidR="00000000" w:rsidRPr="006D1AEE" w:rsidP="006D1AEE">
      <w:pPr>
        <w:pStyle w:val="ListBullet2"/>
      </w:pPr>
      <w:r w:rsidRPr="006D1AEE">
        <w:t>decision rights with respect to the operational roles and responsibilities within the autonomous system</w:t>
      </w:r>
    </w:p>
    <w:p w:rsidR="00000000" w:rsidRPr="006D1AEE" w:rsidP="006D1AEE">
      <w:pPr>
        <w:pStyle w:val="ListBullet"/>
      </w:pPr>
      <w:r w:rsidRPr="006D1AEE">
        <w:t>effects of automation on process control</w:t>
      </w:r>
    </w:p>
    <w:p w:rsidR="00000000" w:rsidRPr="006D1AEE" w:rsidP="006D1AEE">
      <w:pPr>
        <w:pStyle w:val="ListBullet"/>
      </w:pPr>
      <w:r w:rsidRPr="006D1AEE">
        <w:t>impacts of changing controller settings,</w:t>
      </w:r>
      <w:r w:rsidRPr="006D1AEE">
        <w:t xml:space="preserve"> and limits within which changes can be made</w:t>
      </w:r>
    </w:p>
    <w:p w:rsidR="00000000" w:rsidRPr="006D1AEE" w:rsidP="006D1AEE">
      <w:pPr>
        <w:pStyle w:val="ListBullet"/>
      </w:pPr>
      <w:r w:rsidRPr="006D1AEE">
        <w:t>autonomous environment process schematics relating to own role</w:t>
      </w:r>
    </w:p>
    <w:p w:rsidR="00000000" w:rsidRPr="006D1AEE" w:rsidP="006D1AEE">
      <w:pPr>
        <w:pStyle w:val="ListBullet"/>
      </w:pPr>
      <w:r w:rsidRPr="006D1AEE">
        <w:t>actions that can impact upstream and downstream processes</w:t>
      </w:r>
    </w:p>
    <w:p w:rsidR="00000000" w:rsidRPr="006D1AEE" w:rsidP="006D1AEE">
      <w:pPr>
        <w:pStyle w:val="ListBullet"/>
      </w:pPr>
      <w:r w:rsidRPr="006D1AEE">
        <w:t>interfaces between value stream processes and systems</w:t>
      </w:r>
    </w:p>
    <w:p w:rsidR="00000000" w:rsidRPr="006D1AEE" w:rsidP="006D1AEE">
      <w:pPr>
        <w:pStyle w:val="ListBullet"/>
      </w:pPr>
      <w:r w:rsidRPr="006D1AEE">
        <w:t>machine guidance systems, including:</w:t>
      </w:r>
    </w:p>
    <w:p w:rsidR="00000000" w:rsidRPr="006D1AEE" w:rsidP="006D1AEE">
      <w:pPr>
        <w:pStyle w:val="ListBullet2"/>
      </w:pPr>
      <w:r w:rsidRPr="006D1AEE">
        <w:t>autonomous safety functions and categories that require escalation or are classified as incidents</w:t>
      </w:r>
    </w:p>
    <w:p w:rsidR="00000000" w:rsidRPr="006D1AEE" w:rsidP="006D1AEE">
      <w:pPr>
        <w:pStyle w:val="ListBullet"/>
      </w:pPr>
      <w:r w:rsidRPr="006D1AEE">
        <w:t>sensing and perception systems in an autonomous environment, including their effect on:</w:t>
      </w:r>
    </w:p>
    <w:p w:rsidR="00000000" w:rsidRPr="006D1AEE" w:rsidP="006D1AEE">
      <w:pPr>
        <w:pStyle w:val="ListBullet2"/>
      </w:pPr>
      <w:r w:rsidRPr="006D1AEE">
        <w:t>safety</w:t>
      </w:r>
    </w:p>
    <w:p w:rsidR="00000000" w:rsidRPr="006D1AEE" w:rsidP="006D1AEE">
      <w:pPr>
        <w:pStyle w:val="ListBullet2"/>
      </w:pPr>
      <w:r w:rsidRPr="006D1AEE">
        <w:t>production</w:t>
      </w:r>
    </w:p>
    <w:p w:rsidR="00000000" w:rsidRPr="006D1AEE" w:rsidP="006D1AEE">
      <w:pPr>
        <w:pStyle w:val="ListBullet2"/>
      </w:pPr>
      <w:r w:rsidRPr="006D1AEE">
        <w:t>system performance</w:t>
      </w:r>
    </w:p>
    <w:p w:rsidR="00000000" w:rsidRPr="006D1AEE" w:rsidP="006D1AEE">
      <w:pPr>
        <w:pStyle w:val="ListBullet"/>
      </w:pPr>
      <w:r w:rsidRPr="006D1AEE">
        <w:t>environmental impact managem</w:t>
      </w:r>
      <w:r w:rsidRPr="006D1AEE">
        <w:t>ent procedures</w:t>
      </w:r>
    </w:p>
    <w:p w:rsidR="00000000" w:rsidRPr="006D1AEE" w:rsidP="006D1AEE">
      <w:pPr>
        <w:pStyle w:val="ListBullet"/>
      </w:pPr>
      <w:r w:rsidRPr="006D1AEE">
        <w:t>protocols for responding to abnormal situations, including:</w:t>
      </w:r>
    </w:p>
    <w:p w:rsidR="00000000" w:rsidRPr="006D1AEE" w:rsidP="006D1AEE">
      <w:pPr>
        <w:pStyle w:val="ListBullet2"/>
      </w:pPr>
      <w:r w:rsidRPr="006D1AEE">
        <w:t>instrument, mechanical, and electrical failures and malfunctions</w:t>
      </w:r>
    </w:p>
    <w:p w:rsidR="00000000" w:rsidRPr="006D1AEE" w:rsidP="006D1AEE">
      <w:pPr>
        <w:pStyle w:val="ListBullet2"/>
      </w:pPr>
      <w:r w:rsidRPr="006D1AEE">
        <w:t>control system malfunction</w:t>
      </w:r>
    </w:p>
    <w:p w:rsidR="00000000" w:rsidRPr="006D1AEE" w:rsidP="006D1AEE">
      <w:pPr>
        <w:pStyle w:val="ListBullet2"/>
      </w:pPr>
      <w:r w:rsidRPr="006D1AEE">
        <w:t>utility disruption: power, communications, water</w:t>
      </w:r>
    </w:p>
    <w:p w:rsidR="00000000" w:rsidRPr="006D1AEE" w:rsidP="006D1AEE">
      <w:pPr>
        <w:pStyle w:val="ListBullet2"/>
      </w:pPr>
      <w:r w:rsidRPr="006D1AEE">
        <w:t>trending/ early warning signs</w:t>
      </w:r>
    </w:p>
    <w:p w:rsidR="00000000" w:rsidRPr="006D1AEE" w:rsidP="006D1AEE">
      <w:pPr>
        <w:pStyle w:val="ListBullet2"/>
      </w:pPr>
      <w:r w:rsidRPr="006D1AEE">
        <w:t>signals and alarms</w:t>
      </w:r>
    </w:p>
    <w:p w:rsidR="00000000" w:rsidRPr="006D1AEE" w:rsidP="006D1AEE">
      <w:pPr>
        <w:pStyle w:val="ListBullet2"/>
      </w:pPr>
      <w:r w:rsidRPr="006D1AEE">
        <w:t>delays</w:t>
      </w:r>
    </w:p>
    <w:p w:rsidR="00000000" w:rsidRPr="006D1AEE" w:rsidP="006D1AEE">
      <w:pPr>
        <w:pStyle w:val="ListBullet2"/>
      </w:pPr>
      <w:r w:rsidRPr="006D1AEE">
        <w:t>unplanned requirements, including maintenance.</w:t>
      </w:r>
    </w:p>
    <w:p w:rsidR="00000000" w:rsidRPr="006D1AEE" w:rsidP="006D1AEE">
      <w:pPr>
        <w:pStyle w:val="AllowPageBreak"/>
      </w:pPr>
    </w:p>
    <w:p w:rsidR="00000000" w:rsidRPr="006D1AEE" w:rsidP="006D1AEE">
      <w:pPr>
        <w:pStyle w:val="Heading1"/>
      </w:pPr>
      <w:bookmarkStart w:id="4" w:name="O_1255739"/>
      <w:bookmarkEnd w:id="4"/>
      <w:r w:rsidRPr="006D1AEE">
        <w:t>Assessment Conditions</w:t>
      </w:r>
    </w:p>
    <w:p w:rsidR="00000000" w:rsidRPr="006D1AEE" w:rsidP="00AA78E4">
      <w:pPr>
        <w:pStyle w:val="BodyText"/>
      </w:pPr>
      <w:r w:rsidRPr="006D1AEE">
        <w:t>Mandatory conditions for assessment of this unit are stipulated below. The assessment must:</w:t>
      </w:r>
    </w:p>
    <w:p w:rsidR="00000000" w:rsidRPr="006D1AEE" w:rsidP="006D1AEE">
      <w:pPr>
        <w:pStyle w:val="ListBullet"/>
      </w:pPr>
      <w:r w:rsidRPr="006D1AEE">
        <w:t>include access to:</w:t>
      </w:r>
    </w:p>
    <w:p w:rsidR="00000000" w:rsidRPr="006D1AEE" w:rsidP="006D1AEE">
      <w:pPr>
        <w:pStyle w:val="ListBullet2"/>
      </w:pPr>
      <w:r w:rsidRPr="006D1AEE">
        <w:t>personal protective equipment</w:t>
      </w:r>
    </w:p>
    <w:p w:rsidR="00000000" w:rsidRPr="006D1AEE" w:rsidP="006D1AEE">
      <w:pPr>
        <w:pStyle w:val="ListBullet2"/>
      </w:pPr>
      <w:r w:rsidRPr="006D1AEE">
        <w:t>control system/s and communications technology</w:t>
      </w:r>
    </w:p>
    <w:p w:rsidR="00000000" w:rsidRPr="006D1AEE" w:rsidP="006D1AEE">
      <w:pPr>
        <w:pStyle w:val="ListBullet2"/>
      </w:pPr>
      <w:r w:rsidRPr="006D1AEE">
        <w:t>equipment required for monitoring, and working with, autonomous operations control systems</w:t>
      </w:r>
    </w:p>
    <w:p w:rsidR="00000000" w:rsidRPr="006D1AEE" w:rsidP="006D1AEE">
      <w:pPr>
        <w:pStyle w:val="ListBullet"/>
      </w:pPr>
      <w:r w:rsidRPr="006D1AEE">
        <w:t>be conducted in a safe environment; and,</w:t>
      </w:r>
    </w:p>
    <w:p w:rsidR="00000000" w:rsidRPr="006D1AEE" w:rsidP="006D1AEE">
      <w:pPr>
        <w:pStyle w:val="ListBullet"/>
      </w:pPr>
      <w:r w:rsidRPr="006D1AEE">
        <w:t>be assessed in the context of this sector’s work environment; and,</w:t>
      </w:r>
    </w:p>
    <w:p w:rsidR="00000000" w:rsidRPr="006D1AEE" w:rsidP="006D1AEE">
      <w:pPr>
        <w:pStyle w:val="ListBullet"/>
      </w:pPr>
      <w:r w:rsidRPr="006D1AEE">
        <w:t>be assessed in compliance with legislative and regulatory requirements and using policies, procedures and processes directly related to the industry sector for which the unit is being assessed; and,</w:t>
      </w:r>
    </w:p>
    <w:p w:rsidR="00000000" w:rsidRPr="006D1AEE" w:rsidP="006D1AEE">
      <w:pPr>
        <w:pStyle w:val="ListBullet"/>
      </w:pPr>
      <w:r w:rsidRPr="006D1AEE">
        <w:t xml:space="preserve">confirm consistent performance can be applied in a range </w:t>
      </w:r>
      <w:r w:rsidRPr="006D1AEE">
        <w:t>of relevant workplace circumstances.</w:t>
      </w:r>
    </w:p>
    <w:p w:rsidR="00000000" w:rsidRPr="006D1AEE" w:rsidP="006D1AEE">
      <w:pPr>
        <w:pStyle w:val="BodyText"/>
      </w:pPr>
    </w:p>
    <w:p w:rsidR="00000000" w:rsidRPr="006D1AEE" w:rsidP="00AA78E4">
      <w:pPr>
        <w:pStyle w:val="BodyText"/>
      </w:pPr>
      <w:r w:rsidRPr="006D1AEE">
        <w:t>Where personal safety or environmental damage are limiting factors, assessment may occur in a simulated work environment* provided it is realistic and sufficiently rigorous to cover all aspects of this sector’s workpla</w:t>
      </w:r>
      <w:r w:rsidRPr="006D1AEE">
        <w:t>ce performance, including environment, task skills, task management skills, contingency management skills and job role environment skills.</w:t>
      </w:r>
    </w:p>
    <w:p w:rsidR="00000000" w:rsidRPr="006D1AEE" w:rsidP="006D1AEE">
      <w:pPr>
        <w:pStyle w:val="Heading3"/>
      </w:pPr>
      <w:r w:rsidRPr="006D1AEE">
        <w:t>Assessor requirements</w:t>
      </w:r>
    </w:p>
    <w:p w:rsidR="00000000" w:rsidRPr="006D1AEE" w:rsidP="00AA78E4">
      <w:pPr>
        <w:pStyle w:val="BodyText"/>
      </w:pPr>
      <w:r w:rsidRPr="006D1AEE">
        <w:t>Assessors must be able to clearly demonstrate current and relevant industry knowledge and exper</w:t>
      </w:r>
      <w:r w:rsidRPr="006D1AEE">
        <w:t>ience to satisfy the mandatory regulatory standards as set out in the Standards for Registered Training Organisations 2015/Australian Quality Training Framework mandatory requirements for assessors current at the time of assessment and any relevant licensi</w:t>
      </w:r>
      <w:r w:rsidRPr="006D1AEE">
        <w:t>ng and certification requirements.</w:t>
      </w:r>
    </w:p>
    <w:p w:rsidR="00000000" w:rsidRPr="006D1AEE" w:rsidP="00AA78E4">
      <w:pPr>
        <w:pStyle w:val="BodyText"/>
      </w:pPr>
      <w:r w:rsidRPr="006D1AEE">
        <w:t>This includes:</w:t>
      </w:r>
    </w:p>
    <w:p w:rsidR="00000000" w:rsidRPr="006D1AEE" w:rsidP="006D1AEE">
      <w:pPr>
        <w:pStyle w:val="ListBullet"/>
      </w:pPr>
      <w:r w:rsidRPr="006D1AEE">
        <w:t>the minimum years of current** work experience after competency has been obtained as specified below in an industry sector relevant to the outcomes of the unit.</w:t>
      </w:r>
    </w:p>
    <w:p w:rsidR="00000000" w:rsidRPr="006D1AEE" w:rsidP="006D1AEE">
      <w:pPr>
        <w:pStyle w:val="BodyText"/>
      </w:pPr>
    </w:p>
    <w:p w:rsidR="00000000" w:rsidRPr="006D1AEE" w:rsidP="00AA78E4">
      <w:pPr>
        <w:pStyle w:val="BodyText"/>
      </w:pPr>
      <w:r w:rsidRPr="006D1AEE">
        <w:t>It is also acceptable for the appropriately</w:t>
      </w:r>
      <w:r w:rsidRPr="006D1AEE">
        <w:t xml:space="preserve"> qualified assessor to work with an industry expert to conduct assessment together and for the industry expert to be involved in the assessment judgement. The industry expert must have current industry skills directly relevant to the training and assessmen</w:t>
      </w:r>
      <w:r w:rsidRPr="006D1AEE">
        <w:t>t being provided. This means the industry subject matter expert must demonstrate skills and knowledge from the minimum years of current work experience after competency has been obtained as specified below, including time spent in roles related to the unit</w:t>
      </w:r>
      <w:r w:rsidRPr="006D1AEE">
        <w:t xml:space="preserve"> being assessed:</w:t>
      </w:r>
    </w:p>
    <w:tbl>
      <w:tblPr>
        <w:tblW w:w="9568" w:type="dxa"/>
        <w:tblLayout w:type="fixed"/>
        <w:tblCellMar>
          <w:left w:w="62" w:type="dxa"/>
          <w:right w:w="62" w:type="dxa"/>
        </w:tblCellMar>
        <w:tblLook w:val="0000"/>
      </w:tblPr>
      <w:tblGrid>
        <w:gridCol w:w="4472"/>
        <w:gridCol w:w="1698"/>
        <w:gridCol w:w="3398"/>
      </w:tblGrid>
      <w:tr w:rsidTr="006D1AEE">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1AEE">
            <w:pPr>
              <w:pStyle w:val="TableHeading"/>
              <w:rPr>
                <w:lang w:val="en-NZ"/>
              </w:rPr>
            </w:pPr>
            <w:r w:rsidRPr="006D1AEE">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1AEE">
            <w:pPr>
              <w:pStyle w:val="TableHeading"/>
              <w:rPr>
                <w:lang w:val="en-NZ"/>
              </w:rPr>
            </w:pPr>
            <w:r w:rsidRPr="006D1AEE">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1AEE">
            <w:pPr>
              <w:pStyle w:val="TableHeading"/>
              <w:rPr>
                <w:lang w:val="en-NZ"/>
              </w:rPr>
            </w:pPr>
            <w:r w:rsidRPr="006D1AEE">
              <w:t>Required assessor or industry subject matter expert experience</w:t>
            </w:r>
          </w:p>
        </w:tc>
      </w:tr>
      <w:tr w:rsidTr="006D1AEE">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1AEE">
            <w:pPr>
              <w:pStyle w:val="BodyText"/>
              <w:rPr>
                <w:lang w:val="en-NZ"/>
              </w:rPr>
            </w:pPr>
            <w:r w:rsidRPr="006D1AEE">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1AEE">
            <w:pPr>
              <w:pStyle w:val="BodyText"/>
              <w:rPr>
                <w:lang w:val="en-NZ"/>
              </w:rPr>
            </w:pPr>
            <w:r w:rsidRPr="006D1AEE">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1AEE">
            <w:pPr>
              <w:pStyle w:val="BodyText"/>
              <w:rPr>
                <w:lang w:val="en-NZ"/>
              </w:rPr>
            </w:pPr>
            <w:r w:rsidRPr="006D1AEE">
              <w:t>1 year</w:t>
            </w:r>
          </w:p>
        </w:tc>
      </w:tr>
      <w:tr w:rsidTr="006D1AEE">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1AEE">
            <w:pPr>
              <w:pStyle w:val="BodyText"/>
              <w:rPr>
                <w:lang w:val="en-NZ"/>
              </w:rPr>
            </w:pPr>
            <w:r w:rsidRPr="006D1AEE">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1AEE">
            <w:pPr>
              <w:pStyle w:val="BodyText"/>
              <w:rPr>
                <w:lang w:val="en-NZ"/>
              </w:rPr>
            </w:pPr>
            <w:r w:rsidRPr="006D1AEE">
              <w:t>2 years</w:t>
            </w:r>
          </w:p>
        </w:tc>
      </w:tr>
      <w:tr w:rsidTr="006D1AEE">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1AEE">
            <w:pPr>
              <w:pStyle w:val="BodyText"/>
              <w:rPr>
                <w:lang w:val="en-NZ"/>
              </w:rPr>
            </w:pPr>
            <w:r w:rsidRPr="006D1AEE">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1AEE">
            <w:pPr>
              <w:pStyle w:val="BodyText"/>
              <w:rPr>
                <w:lang w:val="en-NZ"/>
              </w:rPr>
            </w:pPr>
            <w:r w:rsidRPr="006D1AEE">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1AEE">
            <w:pPr>
              <w:pStyle w:val="BodyText"/>
              <w:rPr>
                <w:lang w:val="en-NZ"/>
              </w:rPr>
            </w:pPr>
            <w:r w:rsidRPr="006D1AEE">
              <w:t>3 years</w:t>
            </w:r>
          </w:p>
        </w:tc>
      </w:tr>
      <w:tr w:rsidTr="006D1AEE">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1AEE">
            <w:pPr>
              <w:pStyle w:val="BodyText"/>
              <w:rPr>
                <w:lang w:val="en-NZ"/>
              </w:rPr>
            </w:pPr>
            <w:r w:rsidRPr="006D1AEE">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1AEE">
            <w:pPr>
              <w:pStyle w:val="BodyText"/>
              <w:rPr>
                <w:lang w:val="en-NZ"/>
              </w:rPr>
            </w:pPr>
            <w:r w:rsidRPr="006D1AEE">
              <w:t>Given that this is an emerging industry area, assessors are required to demonstrate vocatio</w:t>
            </w:r>
            <w:r w:rsidRPr="006D1AEE">
              <w:t>nal competencies at least to the level being assessed, and current industry skills directly relevant to the assessment being provided.</w:t>
            </w:r>
          </w:p>
        </w:tc>
      </w:tr>
      <w:tr w:rsidTr="006D1AEE">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1AEE">
            <w:pPr>
              <w:pStyle w:val="BodyText"/>
              <w:rPr>
                <w:lang w:val="en-NZ"/>
              </w:rPr>
            </w:pPr>
            <w:r w:rsidRPr="006D1AEE">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1AEE" w:rsidP="006D1AEE">
            <w:pPr>
              <w:pStyle w:val="BodyText"/>
            </w:pPr>
            <w:r w:rsidRPr="006D1AEE">
              <w:t>Where this unit is being assessed outside of the resources and infrastructure sectors assessor and/or ind</w:t>
            </w:r>
            <w:r w:rsidRPr="006D1AEE">
              <w:t>ustry subject matter expert experience should be in line with industry standards for the sector in which it is being assessed and where no industry standard is specified should comply with any relevant regulation.</w:t>
            </w:r>
          </w:p>
        </w:tc>
      </w:tr>
    </w:tbl>
    <w:p w:rsidR="00000000" w:rsidRPr="006D1AEE" w:rsidP="00AA78E4">
      <w:pPr>
        <w:pStyle w:val="BodyText"/>
      </w:pPr>
      <w:r w:rsidRPr="006D1AEE">
        <w:t>*Guidance on simulated environments has been stipulated in the Companion Volume Implementation Guide located on VETNet.</w:t>
      </w:r>
    </w:p>
    <w:p w:rsidR="00000000" w:rsidRPr="006D1AEE" w:rsidP="00AA78E4">
      <w:pPr>
        <w:pStyle w:val="BodyText"/>
      </w:pPr>
      <w:r w:rsidRPr="006D1AEE">
        <w:t>**Assessors can demonstrate current work experience through employment within industry in a role relevant to the outcomes of the unit; o</w:t>
      </w:r>
      <w:r w:rsidRPr="006D1AEE">
        <w:t>r, for external assessors this can be demonstrated through exposure to industry by conducting a minimum number of site assessments as determined by the relevant industry sector, across various locations.</w:t>
      </w:r>
    </w:p>
    <w:p w:rsidR="00000000" w:rsidRPr="006D1AEE" w:rsidP="00AA78E4">
      <w:pPr>
        <w:pStyle w:val="BodyText"/>
      </w:pPr>
      <w:r w:rsidRPr="006D1AEE">
        <w:t>***Excluding units coded ‘RIIARO’ (Autonomous and Re</w:t>
      </w:r>
      <w:r w:rsidRPr="006D1AEE">
        <w:t>mote Operations).</w:t>
      </w:r>
    </w:p>
    <w:p w:rsidR="00000000" w:rsidRPr="006D1AEE" w:rsidP="006D1AEE">
      <w:pPr>
        <w:pStyle w:val="Heading1"/>
      </w:pPr>
      <w:bookmarkStart w:id="5" w:name="O_1255742"/>
      <w:bookmarkEnd w:id="5"/>
      <w:r w:rsidRPr="006D1AEE">
        <w:t>Links</w:t>
      </w:r>
    </w:p>
    <w:p w:rsidR="00000000" w:rsidRPr="006D1AEE" w:rsidP="00AA78E4">
      <w:pPr>
        <w:pStyle w:val="BodyText"/>
      </w:pPr>
      <w:r w:rsidRPr="006D1AE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85C80">
        <w:rPr>
          <w:rStyle w:val="Hyperlink"/>
        </w:rPr>
        <w:t>https://vetnet.gov.au/Pages/TrainingDocs.aspx?q=88a61002-9a21-4386-aaf8-69c76e675272</w:t>
      </w:r>
      <w:r>
        <w:fldChar w:fldCharType="end"/>
      </w:r>
    </w:p>
    <w:p w:rsidR="00000000" w:rsidRPr="006D1AEE" w:rsidP="006D1AEE"/>
    <w:sectPr w:rsidSect="006D1A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EE" w:rsidRPr="00AA78E4" w:rsidP="00AA78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8E4" w:rsidP="006D1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78E4" w:rsidP="006D1A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A78E4" w:rsidP="006D1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8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1AEE" w:rsidRPr="00AA78E4" w:rsidP="00AA78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8E4" w:rsidRPr="002D2AF8" w:rsidP="006D1AEE">
    <w:pPr>
      <w:pStyle w:val="Header"/>
      <w:framePr w:wrap="around"/>
    </w:pPr>
    <w:r>
      <w:fldChar w:fldCharType="begin"/>
    </w:r>
    <w:r>
      <w:instrText xml:space="preserve"> TITLE   \* MERGEFORMAT </w:instrText>
    </w:r>
    <w:r>
      <w:fldChar w:fldCharType="separate"/>
    </w:r>
    <w:r>
      <w:t>Assessment Requirements for RIIARO402 Optimise performance of complex control systems in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A78E4" w:rsidP="006D1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BA0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EA1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B60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AEE"/>
    <w:pPr>
      <w:spacing w:before="360" w:after="60"/>
      <w:outlineLvl w:val="0"/>
    </w:pPr>
    <w:rPr>
      <w:sz w:val="32"/>
    </w:rPr>
  </w:style>
  <w:style w:type="paragraph" w:styleId="Heading2">
    <w:name w:val="heading 2"/>
    <w:basedOn w:val="HeadingBase"/>
    <w:next w:val="BodyText"/>
    <w:link w:val="Heading2Char"/>
    <w:qFormat/>
    <w:rsid w:val="006D1AEE"/>
    <w:pPr>
      <w:keepLines/>
      <w:spacing w:before="240" w:after="120"/>
      <w:outlineLvl w:val="1"/>
    </w:pPr>
    <w:rPr>
      <w:sz w:val="28"/>
      <w:szCs w:val="40"/>
    </w:rPr>
  </w:style>
  <w:style w:type="paragraph" w:styleId="Heading3">
    <w:name w:val="heading 3"/>
    <w:basedOn w:val="HeadingBase"/>
    <w:next w:val="BodyText"/>
    <w:link w:val="Heading3Char"/>
    <w:qFormat/>
    <w:rsid w:val="006D1AEE"/>
    <w:pPr>
      <w:spacing w:before="180" w:after="120"/>
      <w:outlineLvl w:val="2"/>
    </w:pPr>
    <w:rPr>
      <w:spacing w:val="-10"/>
      <w:kern w:val="32"/>
    </w:rPr>
  </w:style>
  <w:style w:type="paragraph" w:styleId="Heading4">
    <w:name w:val="heading 4"/>
    <w:basedOn w:val="HeadingBase"/>
    <w:next w:val="BodyText"/>
    <w:link w:val="Heading4Char"/>
    <w:qFormat/>
    <w:rsid w:val="006D1AEE"/>
    <w:pPr>
      <w:spacing w:before="160" w:after="120"/>
      <w:outlineLvl w:val="3"/>
    </w:pPr>
    <w:rPr>
      <w:sz w:val="22"/>
    </w:rPr>
  </w:style>
  <w:style w:type="paragraph" w:styleId="Heading5">
    <w:name w:val="heading 5"/>
    <w:basedOn w:val="HeadingBase"/>
    <w:next w:val="Normal"/>
    <w:link w:val="Heading5Char"/>
    <w:qFormat/>
    <w:rsid w:val="006D1AEE"/>
    <w:pPr>
      <w:spacing w:before="80"/>
      <w:outlineLvl w:val="4"/>
    </w:pPr>
    <w:rPr>
      <w:color w:val="918585"/>
      <w:sz w:val="20"/>
    </w:rPr>
  </w:style>
  <w:style w:type="paragraph" w:styleId="Heading6">
    <w:name w:val="heading 6"/>
    <w:basedOn w:val="HeadingBase"/>
    <w:next w:val="Normal"/>
    <w:link w:val="Heading6Char"/>
    <w:qFormat/>
    <w:rsid w:val="006D1AEE"/>
    <w:pPr>
      <w:spacing w:before="60"/>
      <w:outlineLvl w:val="5"/>
    </w:pPr>
    <w:rPr>
      <w:color w:val="918585"/>
      <w:sz w:val="20"/>
    </w:rPr>
  </w:style>
  <w:style w:type="paragraph" w:styleId="Heading7">
    <w:name w:val="heading 7"/>
    <w:basedOn w:val="Normal"/>
    <w:next w:val="Normal"/>
    <w:link w:val="Heading7Char"/>
    <w:qFormat/>
    <w:rsid w:val="006D1AEE"/>
    <w:pPr>
      <w:ind w:left="720"/>
      <w:outlineLvl w:val="6"/>
    </w:pPr>
    <w:rPr>
      <w:i/>
    </w:rPr>
  </w:style>
  <w:style w:type="paragraph" w:styleId="Heading8">
    <w:name w:val="heading 8"/>
    <w:basedOn w:val="Normal"/>
    <w:next w:val="Normal"/>
    <w:link w:val="Heading8Char"/>
    <w:qFormat/>
    <w:rsid w:val="006D1AEE"/>
    <w:pPr>
      <w:ind w:left="720"/>
      <w:outlineLvl w:val="7"/>
    </w:pPr>
    <w:rPr>
      <w:i/>
    </w:rPr>
  </w:style>
  <w:style w:type="paragraph" w:styleId="Heading9">
    <w:name w:val="heading 9"/>
    <w:basedOn w:val="Normal"/>
    <w:next w:val="Normal"/>
    <w:link w:val="Heading9Char"/>
    <w:qFormat/>
    <w:rsid w:val="006D1AEE"/>
    <w:pPr>
      <w:ind w:left="720"/>
      <w:outlineLvl w:val="8"/>
    </w:pPr>
    <w:rPr>
      <w:i/>
    </w:rPr>
  </w:style>
  <w:style w:type="character" w:default="1" w:styleId="DefaultParagraphFont">
    <w:name w:val="Default Paragraph Font"/>
    <w:uiPriority w:val="1"/>
    <w:unhideWhenUsed/>
    <w:rsid w:val="006D1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AEE"/>
  </w:style>
  <w:style w:type="character" w:customStyle="1" w:styleId="Heading1Char">
    <w:name w:val="Heading 1 Char"/>
    <w:basedOn w:val="DefaultParagraphFont"/>
    <w:link w:val="Heading1"/>
    <w:rsid w:val="006D1AEE"/>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6D1AEE"/>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6D1A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1AEE"/>
    <w:rPr>
      <w:rFonts w:ascii="Times New Roman" w:eastAsia="Times New Roman" w:hAnsi="Times New Roman" w:cs="Times New Roman"/>
      <w:sz w:val="24"/>
      <w:lang w:eastAsia="en-US"/>
    </w:rPr>
  </w:style>
  <w:style w:type="paragraph" w:styleId="ListBullet">
    <w:name w:val="List Bullet"/>
    <w:basedOn w:val="List"/>
    <w:rsid w:val="006D1AEE"/>
    <w:pPr>
      <w:numPr>
        <w:numId w:val="12"/>
      </w:numPr>
      <w:tabs>
        <w:tab w:val="clear" w:pos="340"/>
      </w:tabs>
      <w:spacing w:before="40" w:after="40"/>
    </w:pPr>
  </w:style>
  <w:style w:type="paragraph" w:styleId="ListBullet2">
    <w:name w:val="List Bullet 2"/>
    <w:basedOn w:val="List2"/>
    <w:rsid w:val="006D1AEE"/>
    <w:pPr>
      <w:numPr>
        <w:numId w:val="13"/>
      </w:numPr>
      <w:tabs>
        <w:tab w:val="clear" w:pos="680"/>
      </w:tabs>
    </w:pPr>
  </w:style>
  <w:style w:type="paragraph" w:customStyle="1" w:styleId="SuperHeading">
    <w:name w:val="SuperHeading"/>
    <w:basedOn w:val="Normal"/>
    <w:rsid w:val="006D1AEE"/>
    <w:pPr>
      <w:spacing w:before="240" w:after="120"/>
      <w:outlineLvl w:val="0"/>
    </w:pPr>
    <w:rPr>
      <w:rFonts w:ascii="Times New Roman" w:hAnsi="Times New Roman"/>
      <w:b/>
      <w:sz w:val="32"/>
    </w:rPr>
  </w:style>
  <w:style w:type="paragraph" w:customStyle="1" w:styleId="TableHeading">
    <w:name w:val="Table Heading"/>
    <w:basedOn w:val="HeadingBase"/>
    <w:rsid w:val="006D1AEE"/>
    <w:pPr>
      <w:keepLines/>
      <w:pBdr>
        <w:bottom w:val="single" w:sz="6" w:space="1" w:color="918585"/>
      </w:pBdr>
      <w:spacing w:before="240"/>
    </w:pPr>
  </w:style>
  <w:style w:type="paragraph" w:customStyle="1" w:styleId="AllowPageBreak">
    <w:name w:val="AllowPageBreak"/>
    <w:rsid w:val="006D1A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1AEE"/>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6D1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AEE"/>
    <w:rPr>
      <w:rFonts w:ascii="Courier New" w:eastAsia="Times New Roman" w:hAnsi="Courier New" w:cs="Times New Roman"/>
      <w:i/>
      <w:szCs w:val="20"/>
      <w:lang w:eastAsia="en-US"/>
    </w:rPr>
  </w:style>
  <w:style w:type="paragraph" w:customStyle="1" w:styleId="HeadingBase">
    <w:name w:val="Heading Base"/>
    <w:rsid w:val="006D1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AEE"/>
    <w:pPr>
      <w:tabs>
        <w:tab w:val="right" w:leader="dot" w:pos="9072"/>
      </w:tabs>
      <w:ind w:left="567"/>
    </w:pPr>
    <w:rPr>
      <w:szCs w:val="22"/>
    </w:rPr>
  </w:style>
  <w:style w:type="paragraph" w:customStyle="1" w:styleId="TOCBase">
    <w:name w:val="TOC Base"/>
    <w:rsid w:val="006D1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AEE"/>
    <w:pPr>
      <w:tabs>
        <w:tab w:val="right" w:leader="dot" w:pos="9072"/>
      </w:tabs>
      <w:spacing w:before="40" w:after="40"/>
      <w:ind w:left="284"/>
    </w:pPr>
    <w:rPr>
      <w:rFonts w:ascii="Times New Roman" w:hAnsi="Times New Roman"/>
    </w:rPr>
  </w:style>
  <w:style w:type="paragraph" w:styleId="TOC1">
    <w:name w:val="toc 1"/>
    <w:basedOn w:val="TOCBase"/>
    <w:next w:val="Normal"/>
    <w:rsid w:val="006D1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AEE"/>
    <w:rPr>
      <w:rFonts w:ascii="Times New Roman" w:eastAsia="Times New Roman" w:hAnsi="Times New Roman" w:cs="Times New Roman"/>
      <w:sz w:val="16"/>
      <w:lang w:eastAsia="en-US"/>
    </w:rPr>
  </w:style>
  <w:style w:type="paragraph" w:styleId="Title">
    <w:name w:val="Title"/>
    <w:basedOn w:val="HeadingBase"/>
    <w:link w:val="TitleChar"/>
    <w:qFormat/>
    <w:rsid w:val="006D1AEE"/>
    <w:pPr>
      <w:spacing w:before="5040"/>
      <w:jc w:val="center"/>
    </w:pPr>
    <w:rPr>
      <w:sz w:val="48"/>
      <w:szCs w:val="72"/>
      <w:lang w:val="en-US"/>
    </w:rPr>
  </w:style>
  <w:style w:type="character" w:customStyle="1" w:styleId="TitleChar">
    <w:name w:val="Title Char"/>
    <w:basedOn w:val="DefaultParagraphFont"/>
    <w:link w:val="Title"/>
    <w:rsid w:val="006D1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AEE"/>
    <w:pPr>
      <w:tabs>
        <w:tab w:val="left" w:pos="3600"/>
        <w:tab w:val="left" w:pos="3958"/>
      </w:tabs>
    </w:pPr>
  </w:style>
  <w:style w:type="paragraph" w:styleId="List">
    <w:name w:val="List"/>
    <w:basedOn w:val="BodyText"/>
    <w:next w:val="BodyText"/>
    <w:rsid w:val="006D1AEE"/>
    <w:pPr>
      <w:tabs>
        <w:tab w:val="left" w:pos="340"/>
      </w:tabs>
      <w:spacing w:before="60" w:after="60"/>
      <w:ind w:left="340" w:hanging="340"/>
    </w:pPr>
  </w:style>
  <w:style w:type="paragraph" w:customStyle="1" w:styleId="Note">
    <w:name w:val="Note"/>
    <w:basedOn w:val="BodyText"/>
    <w:rsid w:val="006D1A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1AEE"/>
    <w:rPr>
      <w:b/>
      <w:spacing w:val="0"/>
    </w:rPr>
  </w:style>
  <w:style w:type="paragraph" w:customStyle="1" w:styleId="SuperTitle">
    <w:name w:val="SuperTitle"/>
    <w:basedOn w:val="Title"/>
    <w:rsid w:val="006D1AEE"/>
    <w:pPr>
      <w:framePr w:wrap="auto" w:hAnchor="text" w:y="6049"/>
    </w:pPr>
    <w:rPr>
      <w:color w:val="000000"/>
      <w:sz w:val="40"/>
    </w:rPr>
  </w:style>
  <w:style w:type="paragraph" w:customStyle="1" w:styleId="TOCTitle">
    <w:name w:val="TOCTitle"/>
    <w:basedOn w:val="Heading1"/>
    <w:rsid w:val="006D1AEE"/>
    <w:pPr>
      <w:spacing w:after="240"/>
      <w:jc w:val="center"/>
      <w:outlineLvl w:val="9"/>
    </w:pPr>
    <w:rPr>
      <w:caps/>
    </w:rPr>
  </w:style>
  <w:style w:type="paragraph" w:customStyle="1" w:styleId="Version">
    <w:name w:val="Version"/>
    <w:rsid w:val="006D1A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AEE"/>
    <w:pPr>
      <w:keepNext w:val="0"/>
      <w:tabs>
        <w:tab w:val="right" w:pos="4176"/>
      </w:tabs>
      <w:ind w:left="198" w:hanging="198"/>
    </w:pPr>
    <w:rPr>
      <w:rFonts w:ascii="Garamond" w:hAnsi="Garamond"/>
    </w:rPr>
  </w:style>
  <w:style w:type="paragraph" w:styleId="IndexHeading">
    <w:name w:val="index heading"/>
    <w:basedOn w:val="Normal"/>
    <w:next w:val="Index1"/>
    <w:semiHidden/>
    <w:rsid w:val="006D1AEE"/>
    <w:pPr>
      <w:spacing w:before="120" w:after="120"/>
    </w:pPr>
    <w:rPr>
      <w:rFonts w:ascii="Arial" w:hAnsi="Arial"/>
      <w:b/>
      <w:color w:val="918585"/>
      <w:sz w:val="24"/>
    </w:rPr>
  </w:style>
  <w:style w:type="paragraph" w:styleId="Header">
    <w:name w:val="header"/>
    <w:basedOn w:val="Normal"/>
    <w:link w:val="HeaderChar"/>
    <w:rsid w:val="006D1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AEE"/>
    <w:rPr>
      <w:rFonts w:ascii="Times New Roman" w:eastAsia="Times New Roman" w:hAnsi="Times New Roman" w:cs="Times New Roman"/>
      <w:sz w:val="16"/>
      <w:szCs w:val="20"/>
      <w:lang w:val="en-GB" w:eastAsia="en-US"/>
    </w:rPr>
  </w:style>
  <w:style w:type="paragraph" w:customStyle="1" w:styleId="Chapter">
    <w:name w:val="Chapter"/>
    <w:basedOn w:val="Normal"/>
    <w:rsid w:val="006D1AEE"/>
    <w:pPr>
      <w:spacing w:before="240"/>
    </w:pPr>
    <w:rPr>
      <w:rFonts w:ascii="Times New Roman" w:hAnsi="Times New Roman"/>
      <w:smallCaps/>
      <w:spacing w:val="80"/>
      <w:sz w:val="28"/>
    </w:rPr>
  </w:style>
  <w:style w:type="paragraph" w:customStyle="1" w:styleId="InChapter">
    <w:name w:val="InChapter"/>
    <w:basedOn w:val="Heading3"/>
    <w:rsid w:val="006D1AEE"/>
    <w:pPr>
      <w:spacing w:after="240"/>
      <w:outlineLvl w:val="9"/>
    </w:pPr>
    <w:rPr>
      <w:noProof/>
    </w:rPr>
  </w:style>
  <w:style w:type="paragraph" w:styleId="Index2">
    <w:name w:val="index 2"/>
    <w:basedOn w:val="Normal"/>
    <w:next w:val="Normal"/>
    <w:semiHidden/>
    <w:rsid w:val="006D1AEE"/>
    <w:pPr>
      <w:tabs>
        <w:tab w:val="right" w:pos="4176"/>
      </w:tabs>
      <w:ind w:left="568" w:hanging="284"/>
    </w:pPr>
    <w:rPr>
      <w:rFonts w:ascii="Garamond" w:hAnsi="Garamond"/>
    </w:rPr>
  </w:style>
  <w:style w:type="paragraph" w:customStyle="1" w:styleId="Byline">
    <w:name w:val="Byline"/>
    <w:rsid w:val="006D1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AEE"/>
    <w:pPr>
      <w:tabs>
        <w:tab w:val="clear" w:pos="3600"/>
        <w:tab w:val="clear" w:pos="3958"/>
      </w:tabs>
      <w:jc w:val="right"/>
    </w:pPr>
  </w:style>
  <w:style w:type="character" w:styleId="Emphasis">
    <w:name w:val="Emphasis"/>
    <w:basedOn w:val="DefaultParagraphFont"/>
    <w:qFormat/>
    <w:rsid w:val="006D1AEE"/>
    <w:rPr>
      <w:i/>
    </w:rPr>
  </w:style>
  <w:style w:type="paragraph" w:styleId="Caption">
    <w:name w:val="caption"/>
    <w:basedOn w:val="BodyText"/>
    <w:next w:val="Normal"/>
    <w:qFormat/>
    <w:rsid w:val="006D1AEE"/>
    <w:pPr>
      <w:framePr w:w="2268" w:hSpace="181" w:vSpace="181" w:wrap="around" w:vAnchor="text" w:hAnchor="page" w:x="1135" w:y="285" w:anchorLock="1"/>
    </w:pPr>
    <w:rPr>
      <w:i/>
    </w:rPr>
  </w:style>
  <w:style w:type="paragraph" w:customStyle="1" w:styleId="MiniTOCTitle">
    <w:name w:val="MiniTOCTitle"/>
    <w:basedOn w:val="Heading4"/>
    <w:rsid w:val="006D1AEE"/>
    <w:pPr>
      <w:spacing w:before="240"/>
      <w:outlineLvl w:val="9"/>
    </w:pPr>
    <w:rPr>
      <w:noProof/>
      <w:sz w:val="24"/>
    </w:rPr>
  </w:style>
  <w:style w:type="paragraph" w:customStyle="1" w:styleId="MiniTOCItem">
    <w:name w:val="MiniTOCItem"/>
    <w:basedOn w:val="ListBullet"/>
    <w:rsid w:val="006D1AEE"/>
    <w:pPr>
      <w:numPr>
        <w:numId w:val="0"/>
      </w:numPr>
      <w:tabs>
        <w:tab w:val="right" w:leader="dot" w:pos="6521"/>
      </w:tabs>
      <w:spacing w:before="0" w:after="0"/>
    </w:pPr>
  </w:style>
  <w:style w:type="paragraph" w:customStyle="1" w:styleId="TOFTitle">
    <w:name w:val="TOFTitle"/>
    <w:basedOn w:val="TOCTitle"/>
    <w:rsid w:val="006D1AEE"/>
  </w:style>
  <w:style w:type="paragraph" w:styleId="TableofFigures">
    <w:name w:val="table of figures"/>
    <w:basedOn w:val="Normal"/>
    <w:next w:val="Normal"/>
    <w:semiHidden/>
    <w:rsid w:val="006D1AEE"/>
    <w:pPr>
      <w:tabs>
        <w:tab w:val="right" w:leader="dot" w:pos="9072"/>
      </w:tabs>
      <w:ind w:left="970" w:hanging="403"/>
    </w:pPr>
    <w:rPr>
      <w:rFonts w:ascii="Times New Roman" w:hAnsi="Times New Roman"/>
      <w:b/>
    </w:rPr>
  </w:style>
  <w:style w:type="paragraph" w:styleId="ListNumber">
    <w:name w:val="List Number"/>
    <w:basedOn w:val="List"/>
    <w:rsid w:val="006D1AEE"/>
    <w:pPr>
      <w:numPr>
        <w:numId w:val="15"/>
      </w:numPr>
      <w:tabs>
        <w:tab w:val="clear" w:pos="340"/>
      </w:tabs>
    </w:pPr>
  </w:style>
  <w:style w:type="character" w:customStyle="1" w:styleId="WingdingSymbols">
    <w:name w:val="Wingding Symbols"/>
    <w:rsid w:val="006D1AEE"/>
    <w:rPr>
      <w:rFonts w:ascii="Wingdings" w:hAnsi="Wingdings"/>
    </w:rPr>
  </w:style>
  <w:style w:type="character" w:customStyle="1" w:styleId="HotSpot">
    <w:name w:val="HotSpot"/>
    <w:rsid w:val="006D1AEE"/>
    <w:rPr>
      <w:color w:val="0033CC"/>
      <w:u w:val="none"/>
    </w:rPr>
  </w:style>
  <w:style w:type="paragraph" w:customStyle="1" w:styleId="BodyTextRight">
    <w:name w:val="Body Text Right"/>
    <w:basedOn w:val="BodyText"/>
    <w:rsid w:val="006D1AEE"/>
    <w:pPr>
      <w:spacing w:before="0" w:after="0"/>
      <w:jc w:val="right"/>
    </w:pPr>
  </w:style>
  <w:style w:type="paragraph" w:styleId="Index3">
    <w:name w:val="index 3"/>
    <w:basedOn w:val="ListNumber2"/>
    <w:next w:val="Normal"/>
    <w:semiHidden/>
    <w:rsid w:val="006D1AEE"/>
    <w:pPr>
      <w:numPr>
        <w:numId w:val="0"/>
      </w:numPr>
      <w:tabs>
        <w:tab w:val="right" w:leader="dot" w:pos="4176"/>
      </w:tabs>
    </w:pPr>
  </w:style>
  <w:style w:type="paragraph" w:styleId="ListNumber2">
    <w:name w:val="List Number 2"/>
    <w:basedOn w:val="List2"/>
    <w:rsid w:val="006D1AEE"/>
    <w:pPr>
      <w:numPr>
        <w:numId w:val="10"/>
      </w:numPr>
      <w:tabs>
        <w:tab w:val="clear" w:pos="1060"/>
      </w:tabs>
    </w:pPr>
  </w:style>
  <w:style w:type="paragraph" w:customStyle="1" w:styleId="MarginNote">
    <w:name w:val="Margin Note"/>
    <w:basedOn w:val="BodyText"/>
    <w:rsid w:val="006D1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AEE"/>
    <w:rPr>
      <w:sz w:val="32"/>
    </w:rPr>
  </w:style>
  <w:style w:type="paragraph" w:customStyle="1" w:styleId="HeadingProcedure">
    <w:name w:val="Heading Procedure"/>
    <w:basedOn w:val="HeadingBase"/>
    <w:next w:val="Normal"/>
    <w:rsid w:val="006D1AEE"/>
    <w:pPr>
      <w:tabs>
        <w:tab w:val="left" w:pos="0"/>
      </w:tabs>
      <w:spacing w:before="120" w:after="60"/>
    </w:pPr>
    <w:rPr>
      <w:i/>
      <w:color w:val="918585"/>
      <w:sz w:val="22"/>
    </w:rPr>
  </w:style>
  <w:style w:type="paragraph" w:customStyle="1" w:styleId="TableBodyText">
    <w:name w:val="Table Body Text"/>
    <w:basedOn w:val="BodyText"/>
    <w:rsid w:val="006D1AEE"/>
    <w:pPr>
      <w:spacing w:before="60" w:after="60"/>
    </w:pPr>
  </w:style>
  <w:style w:type="paragraph" w:styleId="ListContinue">
    <w:name w:val="List Continue"/>
    <w:basedOn w:val="List"/>
    <w:rsid w:val="006D1AEE"/>
    <w:pPr>
      <w:ind w:firstLine="0"/>
    </w:pPr>
  </w:style>
  <w:style w:type="paragraph" w:customStyle="1" w:styleId="ListNote">
    <w:name w:val="List Note"/>
    <w:basedOn w:val="List"/>
    <w:rsid w:val="006D1AEE"/>
    <w:pPr>
      <w:pBdr>
        <w:top w:val="single" w:sz="6" w:space="2" w:color="918585"/>
        <w:bottom w:val="single" w:sz="6" w:space="2" w:color="918585"/>
      </w:pBdr>
      <w:tabs>
        <w:tab w:val="left" w:pos="1021"/>
      </w:tabs>
      <w:ind w:firstLine="0"/>
    </w:pPr>
  </w:style>
  <w:style w:type="paragraph" w:customStyle="1" w:styleId="Warning">
    <w:name w:val="Warning"/>
    <w:basedOn w:val="BodyText"/>
    <w:rsid w:val="006D1AEE"/>
    <w:pPr>
      <w:shd w:val="clear" w:color="auto" w:fill="D9D9D9"/>
      <w:tabs>
        <w:tab w:val="left" w:pos="992"/>
      </w:tabs>
      <w:ind w:left="119" w:right="119"/>
    </w:pPr>
    <w:rPr>
      <w:sz w:val="20"/>
    </w:rPr>
  </w:style>
  <w:style w:type="paragraph" w:customStyle="1" w:styleId="MarginIcons">
    <w:name w:val="Margin Icons"/>
    <w:basedOn w:val="BodyText"/>
    <w:rsid w:val="006D1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AEE"/>
    <w:rPr>
      <w:rFonts w:ascii="Courier New" w:hAnsi="Courier New"/>
    </w:rPr>
  </w:style>
  <w:style w:type="paragraph" w:customStyle="1" w:styleId="NoteBullet">
    <w:name w:val="Note Bullet"/>
    <w:basedOn w:val="Note"/>
    <w:rsid w:val="006D1AEE"/>
    <w:pPr>
      <w:tabs>
        <w:tab w:val="clear" w:pos="680"/>
      </w:tabs>
      <w:spacing w:before="60" w:after="60"/>
    </w:pPr>
  </w:style>
  <w:style w:type="paragraph" w:customStyle="1" w:styleId="SubHeading2">
    <w:name w:val="SubHeading2"/>
    <w:basedOn w:val="HeadingBase"/>
    <w:rsid w:val="006D1AEE"/>
    <w:pPr>
      <w:spacing w:before="240" w:after="60"/>
    </w:pPr>
    <w:rPr>
      <w:sz w:val="20"/>
    </w:rPr>
  </w:style>
  <w:style w:type="paragraph" w:customStyle="1" w:styleId="SubHeading1">
    <w:name w:val="SubHeading1"/>
    <w:basedOn w:val="HeadingBase"/>
    <w:rsid w:val="006D1AEE"/>
    <w:pPr>
      <w:spacing w:before="240" w:after="60"/>
    </w:pPr>
    <w:rPr>
      <w:color w:val="918585"/>
      <w:sz w:val="22"/>
    </w:rPr>
  </w:style>
  <w:style w:type="paragraph" w:customStyle="1" w:styleId="SideHeading">
    <w:name w:val="Side Heading"/>
    <w:basedOn w:val="HeadingBase"/>
    <w:rsid w:val="006D1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AEE"/>
    <w:pPr>
      <w:tabs>
        <w:tab w:val="num" w:pos="360"/>
      </w:tabs>
    </w:pPr>
  </w:style>
  <w:style w:type="paragraph" w:styleId="PlainText">
    <w:name w:val="Plain Text"/>
    <w:basedOn w:val="Normal"/>
    <w:link w:val="PlainTextChar"/>
    <w:rsid w:val="006D1AEE"/>
    <w:rPr>
      <w:sz w:val="20"/>
    </w:rPr>
  </w:style>
  <w:style w:type="character" w:customStyle="1" w:styleId="PlainTextChar">
    <w:name w:val="Plain Text Char"/>
    <w:basedOn w:val="DefaultParagraphFont"/>
    <w:link w:val="PlainText"/>
    <w:rsid w:val="006D1AEE"/>
    <w:rPr>
      <w:rFonts w:ascii="Courier New" w:eastAsia="Times New Roman" w:hAnsi="Courier New" w:cs="Times New Roman"/>
      <w:sz w:val="20"/>
      <w:szCs w:val="20"/>
      <w:lang w:eastAsia="en-US"/>
    </w:rPr>
  </w:style>
  <w:style w:type="character" w:customStyle="1" w:styleId="MenuOption">
    <w:name w:val="Menu Option"/>
    <w:basedOn w:val="DefaultParagraphFont"/>
    <w:rsid w:val="006D1AEE"/>
    <w:rPr>
      <w:b/>
      <w:smallCaps/>
    </w:rPr>
  </w:style>
  <w:style w:type="paragraph" w:customStyle="1" w:styleId="TableListNumber">
    <w:name w:val="Table List Number"/>
    <w:basedOn w:val="ListNumber"/>
    <w:rsid w:val="006D1AEE"/>
    <w:pPr>
      <w:numPr>
        <w:numId w:val="0"/>
      </w:numPr>
    </w:pPr>
  </w:style>
  <w:style w:type="paragraph" w:styleId="TOC4">
    <w:name w:val="toc 4"/>
    <w:basedOn w:val="TOCBase"/>
    <w:next w:val="Normal"/>
    <w:semiHidden/>
    <w:rsid w:val="006D1AEE"/>
    <w:pPr>
      <w:tabs>
        <w:tab w:val="right" w:leader="dot" w:pos="9071"/>
      </w:tabs>
      <w:ind w:left="1701"/>
    </w:pPr>
  </w:style>
  <w:style w:type="paragraph" w:customStyle="1" w:styleId="ListAlpha">
    <w:name w:val="List Alpha"/>
    <w:basedOn w:val="List"/>
    <w:rsid w:val="006D1AEE"/>
    <w:pPr>
      <w:numPr>
        <w:numId w:val="9"/>
      </w:numPr>
    </w:pPr>
  </w:style>
  <w:style w:type="paragraph" w:customStyle="1" w:styleId="ListAlpha2">
    <w:name w:val="List Alpha 2"/>
    <w:basedOn w:val="List2"/>
    <w:rsid w:val="006D1AEE"/>
    <w:pPr>
      <w:numPr>
        <w:numId w:val="8"/>
      </w:numPr>
    </w:pPr>
  </w:style>
  <w:style w:type="paragraph" w:styleId="List2">
    <w:name w:val="List 2"/>
    <w:basedOn w:val="BodyText"/>
    <w:rsid w:val="006D1AEE"/>
    <w:pPr>
      <w:tabs>
        <w:tab w:val="left" w:pos="680"/>
      </w:tabs>
      <w:spacing w:before="60" w:after="60"/>
      <w:ind w:left="680" w:hanging="340"/>
    </w:pPr>
  </w:style>
  <w:style w:type="paragraph" w:styleId="List3">
    <w:name w:val="List 3"/>
    <w:basedOn w:val="BodyText"/>
    <w:rsid w:val="006D1AEE"/>
    <w:pPr>
      <w:tabs>
        <w:tab w:val="left" w:pos="1021"/>
      </w:tabs>
      <w:spacing w:before="60" w:after="60"/>
      <w:ind w:left="1020" w:hanging="340"/>
    </w:pPr>
  </w:style>
  <w:style w:type="paragraph" w:styleId="List4">
    <w:name w:val="List 4"/>
    <w:basedOn w:val="BodyText"/>
    <w:rsid w:val="006D1AEE"/>
    <w:pPr>
      <w:tabs>
        <w:tab w:val="left" w:pos="1361"/>
      </w:tabs>
      <w:spacing w:before="60" w:after="60"/>
      <w:ind w:left="1361" w:hanging="340"/>
    </w:pPr>
  </w:style>
  <w:style w:type="paragraph" w:styleId="List5">
    <w:name w:val="List 5"/>
    <w:basedOn w:val="BodyText"/>
    <w:rsid w:val="006D1AEE"/>
    <w:pPr>
      <w:tabs>
        <w:tab w:val="left" w:pos="1701"/>
      </w:tabs>
      <w:spacing w:before="60" w:after="60"/>
      <w:ind w:left="1701" w:hanging="340"/>
    </w:pPr>
  </w:style>
  <w:style w:type="paragraph" w:styleId="ListBullet3">
    <w:name w:val="List Bullet 3"/>
    <w:basedOn w:val="List3"/>
    <w:rsid w:val="006D1AEE"/>
    <w:pPr>
      <w:numPr>
        <w:numId w:val="14"/>
      </w:numPr>
      <w:tabs>
        <w:tab w:val="clear" w:pos="1021"/>
      </w:tabs>
      <w:ind w:left="1037" w:hanging="357"/>
    </w:pPr>
  </w:style>
  <w:style w:type="paragraph" w:styleId="ListBullet4">
    <w:name w:val="List Bullet 4"/>
    <w:basedOn w:val="List4"/>
    <w:rsid w:val="006D1AEE"/>
    <w:pPr>
      <w:numPr>
        <w:numId w:val="3"/>
      </w:numPr>
      <w:tabs>
        <w:tab w:val="clear" w:pos="1361"/>
      </w:tabs>
    </w:pPr>
  </w:style>
  <w:style w:type="paragraph" w:styleId="ListBullet5">
    <w:name w:val="List Bullet 5"/>
    <w:basedOn w:val="List5"/>
    <w:rsid w:val="006D1AEE"/>
    <w:pPr>
      <w:numPr>
        <w:numId w:val="4"/>
      </w:numPr>
    </w:pPr>
  </w:style>
  <w:style w:type="paragraph" w:styleId="ListContinue2">
    <w:name w:val="List Continue 2"/>
    <w:basedOn w:val="List2"/>
    <w:rsid w:val="006D1AEE"/>
    <w:pPr>
      <w:ind w:firstLine="0"/>
    </w:pPr>
  </w:style>
  <w:style w:type="paragraph" w:styleId="ListContinue3">
    <w:name w:val="List Continue 3"/>
    <w:basedOn w:val="List3"/>
    <w:rsid w:val="006D1AEE"/>
    <w:pPr>
      <w:ind w:left="1021" w:firstLine="0"/>
    </w:pPr>
  </w:style>
  <w:style w:type="paragraph" w:styleId="ListContinue4">
    <w:name w:val="List Continue 4"/>
    <w:basedOn w:val="List4"/>
    <w:rsid w:val="006D1AEE"/>
    <w:pPr>
      <w:ind w:firstLine="0"/>
    </w:pPr>
  </w:style>
  <w:style w:type="paragraph" w:styleId="ListContinue5">
    <w:name w:val="List Continue 5"/>
    <w:basedOn w:val="List5"/>
    <w:rsid w:val="006D1AEE"/>
    <w:pPr>
      <w:ind w:firstLine="0"/>
    </w:pPr>
  </w:style>
  <w:style w:type="paragraph" w:styleId="ListNumber3">
    <w:name w:val="List Number 3"/>
    <w:basedOn w:val="List3"/>
    <w:rsid w:val="006D1AEE"/>
    <w:pPr>
      <w:numPr>
        <w:numId w:val="5"/>
      </w:numPr>
    </w:pPr>
  </w:style>
  <w:style w:type="paragraph" w:styleId="ListNumber4">
    <w:name w:val="List Number 4"/>
    <w:basedOn w:val="List4"/>
    <w:rsid w:val="006D1AEE"/>
    <w:pPr>
      <w:numPr>
        <w:numId w:val="6"/>
      </w:numPr>
    </w:pPr>
  </w:style>
  <w:style w:type="paragraph" w:styleId="ListNumber5">
    <w:name w:val="List Number 5"/>
    <w:basedOn w:val="List5"/>
    <w:rsid w:val="006D1AEE"/>
    <w:pPr>
      <w:numPr>
        <w:numId w:val="7"/>
      </w:numPr>
    </w:pPr>
  </w:style>
  <w:style w:type="paragraph" w:styleId="BlockText">
    <w:name w:val="Block Text"/>
    <w:basedOn w:val="Normal"/>
    <w:rsid w:val="006D1AEE"/>
    <w:pPr>
      <w:spacing w:after="120"/>
      <w:ind w:left="1440" w:right="1440"/>
    </w:pPr>
  </w:style>
  <w:style w:type="character" w:customStyle="1" w:styleId="Subscript">
    <w:name w:val="Subscript"/>
    <w:basedOn w:val="DefaultParagraphFont"/>
    <w:rsid w:val="006D1AEE"/>
    <w:rPr>
      <w:sz w:val="16"/>
      <w:vertAlign w:val="subscript"/>
    </w:rPr>
  </w:style>
  <w:style w:type="character" w:customStyle="1" w:styleId="Superscript">
    <w:name w:val="Superscript"/>
    <w:basedOn w:val="DefaultParagraphFont"/>
    <w:rsid w:val="006D1AEE"/>
    <w:rPr>
      <w:sz w:val="16"/>
      <w:vertAlign w:val="superscript"/>
    </w:rPr>
  </w:style>
  <w:style w:type="character" w:customStyle="1" w:styleId="Symbols">
    <w:name w:val="Symbols"/>
    <w:basedOn w:val="DefaultParagraphFont"/>
    <w:rsid w:val="006D1AEE"/>
    <w:rPr>
      <w:rFonts w:ascii="Symbol" w:hAnsi="Symbol"/>
    </w:rPr>
  </w:style>
  <w:style w:type="character" w:customStyle="1" w:styleId="MenuOptions">
    <w:name w:val="Menu Options"/>
    <w:basedOn w:val="DefaultParagraphFont"/>
    <w:rsid w:val="006D1AEE"/>
    <w:rPr>
      <w:rFonts w:ascii="Arial Narrow" w:hAnsi="Arial Narrow"/>
      <w:smallCaps/>
    </w:rPr>
  </w:style>
  <w:style w:type="character" w:customStyle="1" w:styleId="Buttons">
    <w:name w:val="Buttons"/>
    <w:basedOn w:val="DefaultParagraphFont"/>
    <w:rsid w:val="006D1AEE"/>
    <w:rPr>
      <w:b/>
    </w:rPr>
  </w:style>
  <w:style w:type="character" w:customStyle="1" w:styleId="Underlined">
    <w:name w:val="Underlined"/>
    <w:basedOn w:val="DefaultParagraphFont"/>
    <w:rsid w:val="006D1AEE"/>
    <w:rPr>
      <w:u w:val="single"/>
    </w:rPr>
  </w:style>
  <w:style w:type="paragraph" w:customStyle="1" w:styleId="TableBodyTextRight">
    <w:name w:val="Table Body Text Right"/>
    <w:basedOn w:val="TableBodyText"/>
    <w:rsid w:val="006D1AEE"/>
    <w:pPr>
      <w:widowControl w:val="0"/>
      <w:autoSpaceDE w:val="0"/>
      <w:autoSpaceDN w:val="0"/>
      <w:adjustRightInd w:val="0"/>
      <w:jc w:val="right"/>
    </w:pPr>
    <w:rPr>
      <w:rFonts w:cs="Arial"/>
      <w:szCs w:val="18"/>
    </w:rPr>
  </w:style>
  <w:style w:type="paragraph" w:customStyle="1" w:styleId="CopyrightText">
    <w:name w:val="Copyright Text"/>
    <w:basedOn w:val="BodyText"/>
    <w:rsid w:val="006D1AEE"/>
    <w:rPr>
      <w:sz w:val="18"/>
    </w:rPr>
  </w:style>
  <w:style w:type="paragraph" w:customStyle="1" w:styleId="BodySmallRight">
    <w:name w:val="Body Small Right"/>
    <w:basedOn w:val="BodyTextRight"/>
    <w:rsid w:val="006D1AEE"/>
    <w:rPr>
      <w:sz w:val="18"/>
      <w:szCs w:val="18"/>
    </w:rPr>
  </w:style>
  <w:style w:type="paragraph" w:customStyle="1" w:styleId="MarginEdition">
    <w:name w:val="Margin Edition"/>
    <w:basedOn w:val="MarginNote"/>
    <w:rsid w:val="006D1AEE"/>
    <w:pPr>
      <w:spacing w:before="0" w:after="0"/>
    </w:pPr>
    <w:rPr>
      <w:rFonts w:ascii="Times New Roman" w:hAnsi="Times New Roman"/>
      <w:color w:val="999999"/>
    </w:rPr>
  </w:style>
  <w:style w:type="paragraph" w:customStyle="1" w:styleId="Spacer">
    <w:name w:val="Spacer"/>
    <w:basedOn w:val="Normal"/>
    <w:rsid w:val="006D1AEE"/>
    <w:rPr>
      <w:sz w:val="2"/>
      <w:szCs w:val="2"/>
    </w:rPr>
  </w:style>
  <w:style w:type="character" w:customStyle="1" w:styleId="Small">
    <w:name w:val="Small"/>
    <w:basedOn w:val="DefaultParagraphFont"/>
    <w:rsid w:val="006D1AEE"/>
    <w:rPr>
      <w:sz w:val="16"/>
    </w:rPr>
  </w:style>
  <w:style w:type="paragraph" w:customStyle="1" w:styleId="WideTable">
    <w:name w:val="Wide Table"/>
    <w:basedOn w:val="Normal"/>
    <w:rsid w:val="006D1AEE"/>
    <w:pPr>
      <w:ind w:left="-1418"/>
    </w:pPr>
    <w:rPr>
      <w:sz w:val="2"/>
      <w:szCs w:val="2"/>
    </w:rPr>
  </w:style>
  <w:style w:type="character" w:styleId="PageNumber">
    <w:name w:val="page number"/>
    <w:basedOn w:val="DefaultParagraphFont"/>
    <w:rsid w:val="006D1AEE"/>
  </w:style>
  <w:style w:type="paragraph" w:styleId="Quote">
    <w:name w:val="Quote"/>
    <w:basedOn w:val="Heading1"/>
    <w:link w:val="QuoteChar"/>
    <w:qFormat/>
    <w:rsid w:val="006D1AEE"/>
    <w:rPr>
      <w:b w:val="0"/>
      <w:sz w:val="72"/>
      <w:szCs w:val="72"/>
      <w:lang w:val="en-NZ"/>
    </w:rPr>
  </w:style>
  <w:style w:type="character" w:customStyle="1" w:styleId="QuoteChar">
    <w:name w:val="Quote Char"/>
    <w:basedOn w:val="DefaultParagraphFont"/>
    <w:link w:val="Quote"/>
    <w:rsid w:val="006D1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AEE"/>
    <w:pPr>
      <w:pageBreakBefore/>
    </w:pPr>
  </w:style>
  <w:style w:type="paragraph" w:customStyle="1" w:styleId="Border">
    <w:name w:val="Border"/>
    <w:basedOn w:val="Normal"/>
    <w:qFormat/>
    <w:rsid w:val="006D1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AEE"/>
    <w:rPr>
      <w:b/>
      <w:bCs/>
      <w:i/>
      <w:iCs/>
      <w:color w:val="auto"/>
    </w:rPr>
  </w:style>
  <w:style w:type="paragraph" w:styleId="IntenseQuote">
    <w:name w:val="Intense Quote"/>
    <w:basedOn w:val="Normal"/>
    <w:next w:val="Normal"/>
    <w:link w:val="IntenseQuoteChar"/>
    <w:uiPriority w:val="30"/>
    <w:qFormat/>
    <w:rsid w:val="006D1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AEE"/>
    <w:rPr>
      <w:smallCaps/>
      <w:color w:val="auto"/>
      <w:u w:val="single"/>
    </w:rPr>
  </w:style>
  <w:style w:type="character" w:styleId="IntenseReference">
    <w:name w:val="Intense Reference"/>
    <w:basedOn w:val="DefaultParagraphFont"/>
    <w:uiPriority w:val="32"/>
    <w:qFormat/>
    <w:rsid w:val="006D1AEE"/>
    <w:rPr>
      <w:b/>
      <w:bCs/>
      <w:smallCaps/>
      <w:color w:val="auto"/>
      <w:spacing w:val="5"/>
      <w:u w:val="single"/>
    </w:rPr>
  </w:style>
  <w:style w:type="paragraph" w:customStyle="1" w:styleId="2ColumnHeading">
    <w:name w:val="2Column Heading"/>
    <w:basedOn w:val="BodyText"/>
    <w:qFormat/>
    <w:rsid w:val="006D1AEE"/>
    <w:pPr>
      <w:spacing w:after="60"/>
      <w:ind w:left="-2268"/>
    </w:pPr>
    <w:rPr>
      <w:b/>
    </w:rPr>
  </w:style>
  <w:style w:type="paragraph" w:customStyle="1" w:styleId="Heading1TOC">
    <w:name w:val="Heading1 TOC"/>
    <w:basedOn w:val="Normal"/>
    <w:qFormat/>
    <w:rsid w:val="006D1AEE"/>
    <w:pPr>
      <w:spacing w:before="240" w:after="120"/>
    </w:pPr>
    <w:rPr>
      <w:rFonts w:ascii="Times New Roman" w:hAnsi="Times New Roman"/>
      <w:b/>
      <w:sz w:val="32"/>
    </w:rPr>
  </w:style>
  <w:style w:type="paragraph" w:customStyle="1" w:styleId="Heading2TOC">
    <w:name w:val="Heading2 TOC"/>
    <w:basedOn w:val="Normal"/>
    <w:qFormat/>
    <w:rsid w:val="006D1AEE"/>
    <w:pPr>
      <w:spacing w:before="240" w:after="60"/>
    </w:pPr>
    <w:rPr>
      <w:rFonts w:ascii="Times New Roman" w:hAnsi="Times New Roman"/>
      <w:b/>
      <w:sz w:val="28"/>
    </w:rPr>
  </w:style>
  <w:style w:type="character" w:customStyle="1" w:styleId="Underline">
    <w:name w:val="Underline"/>
    <w:basedOn w:val="DefaultParagraphFont"/>
    <w:qFormat/>
    <w:rsid w:val="006D1AEE"/>
    <w:rPr>
      <w:u w:val="single"/>
    </w:rPr>
  </w:style>
  <w:style w:type="character" w:customStyle="1" w:styleId="BoldandItalics">
    <w:name w:val="Bold and Italics"/>
    <w:qFormat/>
    <w:rsid w:val="006D1AEE"/>
    <w:rPr>
      <w:b/>
      <w:i/>
      <w:u w:val="none"/>
    </w:rPr>
  </w:style>
  <w:style w:type="paragraph" w:styleId="BalloonText">
    <w:name w:val="Balloon Text"/>
    <w:basedOn w:val="Normal"/>
    <w:link w:val="BalloonTextChar"/>
    <w:rsid w:val="006D1AEE"/>
    <w:rPr>
      <w:rFonts w:ascii="Tahoma" w:hAnsi="Tahoma" w:cs="Tahoma"/>
      <w:sz w:val="16"/>
      <w:szCs w:val="16"/>
    </w:rPr>
  </w:style>
  <w:style w:type="character" w:customStyle="1" w:styleId="BalloonTextChar">
    <w:name w:val="Balloon Text Char"/>
    <w:basedOn w:val="DefaultParagraphFont"/>
    <w:link w:val="BalloonText"/>
    <w:rsid w:val="006D1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A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1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AEE"/>
    <w:rPr>
      <w:b/>
      <w:color w:val="660033"/>
      <w:spacing w:val="0"/>
    </w:rPr>
  </w:style>
  <w:style w:type="paragraph" w:customStyle="1" w:styleId="Nameditemlist">
    <w:name w:val="Named item list"/>
    <w:basedOn w:val="BodyText"/>
    <w:qFormat/>
    <w:rsid w:val="006D1AEE"/>
    <w:pPr>
      <w:tabs>
        <w:tab w:val="left" w:pos="2835"/>
      </w:tabs>
      <w:ind w:left="2835" w:hanging="2835"/>
    </w:pPr>
  </w:style>
  <w:style w:type="paragraph" w:customStyle="1" w:styleId="BodyTextnopadding">
    <w:name w:val="Body Text no padding"/>
    <w:basedOn w:val="BodyText"/>
    <w:qFormat/>
    <w:rsid w:val="006D1AEE"/>
    <w:pPr>
      <w:spacing w:before="0" w:after="0"/>
    </w:pPr>
  </w:style>
  <w:style w:type="paragraph" w:customStyle="1" w:styleId="BodyTextBold">
    <w:name w:val="Body Text Bold"/>
    <w:basedOn w:val="BodyText"/>
    <w:qFormat/>
    <w:rsid w:val="006D1AEE"/>
    <w:rPr>
      <w:b/>
    </w:rPr>
  </w:style>
  <w:style w:type="character" w:styleId="Hyperlink">
    <w:name w:val="Hyperlink"/>
    <w:basedOn w:val="DefaultParagraphFont"/>
    <w:uiPriority w:val="99"/>
    <w:unhideWhenUsed/>
    <w:rsid w:val="00AA78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5848</Characters>
  <Application>Microsoft Office Word</Application>
  <DocSecurity>0</DocSecurity>
  <Lines>149</Lines>
  <Paragraphs>97</Paragraphs>
  <ScaleCrop>false</ScaleCrop>
  <Company>Author-it Software Corporation Ltd.</Company>
  <LinksUpToDate>false</LinksUpToDate>
  <CharactersWithSpaces>6659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RIIARO402 Optimise performance of complex control systems in autonomous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2022-10-18T14:32:00Z</dcterms:created>
  <dcterms:modified xsi:type="dcterms:W3CDTF">2022-10-18T14:32:00Z</dcterms:modified>
</cp:coreProperties>
</file>