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2AB" w:rsidP="00ED22AB">
      <w:pPr>
        <w:pStyle w:val="Title"/>
      </w:pPr>
      <w:r>
        <w:fldChar w:fldCharType="begin"/>
      </w:r>
      <w:r>
        <w:instrText xml:space="preserve"> TITLE   \* MERGEFORMAT </w:instrText>
      </w:r>
      <w:r>
        <w:fldChar w:fldCharType="separate"/>
      </w:r>
      <w:r>
        <w:t>Assessment Requirements for RIIARO401 Supervise autonomous operations</w:t>
      </w:r>
      <w:r>
        <w:fldChar w:fldCharType="end"/>
      </w:r>
    </w:p>
    <w:p w:rsidR="00ED22AB" w:rsidP="00ED22AB">
      <w:pPr>
        <w:pStyle w:val="Version"/>
        <w:sectPr w:rsidSect="00075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51DE" w:rsidP="000751DE">
      <w:pPr>
        <w:pStyle w:val="SuperHeading"/>
      </w:pPr>
      <w:r w:rsidRPr="000751DE">
        <w:t>Assessment Requirements for RIIARO401 Supervise autonomous operations</w:t>
      </w:r>
    </w:p>
    <w:p w:rsidR="00000000" w:rsidRPr="000751DE" w:rsidP="000751DE">
      <w:pPr>
        <w:pStyle w:val="Heading1"/>
      </w:pPr>
      <w:bookmarkStart w:id="1" w:name="O_1254916"/>
      <w:bookmarkEnd w:id="1"/>
      <w:r w:rsidRPr="000751DE">
        <w:t>Modification History</w:t>
      </w:r>
    </w:p>
    <w:tbl>
      <w:tblPr>
        <w:tblW w:w="9522" w:type="dxa"/>
        <w:tblLayout w:type="fixed"/>
        <w:tblCellMar>
          <w:left w:w="62" w:type="dxa"/>
          <w:right w:w="62" w:type="dxa"/>
        </w:tblCellMar>
        <w:tblLook w:val="0000"/>
      </w:tblPr>
      <w:tblGrid>
        <w:gridCol w:w="2864"/>
        <w:gridCol w:w="6658"/>
      </w:tblGrid>
      <w:tr w:rsidTr="000751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1DE" w:rsidP="000751DE">
            <w:pPr>
              <w:pStyle w:val="BodyText"/>
            </w:pPr>
            <w:r w:rsidRPr="000751D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1DE">
            <w:pPr>
              <w:pStyle w:val="BodyText"/>
              <w:rPr>
                <w:lang w:val="en-NZ"/>
              </w:rPr>
            </w:pPr>
            <w:r w:rsidRPr="000751DE">
              <w:rPr>
                <w:rStyle w:val="SpecialBold"/>
              </w:rPr>
              <w:t>Comments</w:t>
            </w:r>
          </w:p>
        </w:tc>
      </w:tr>
      <w:tr w:rsidTr="000751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1DE">
            <w:pPr>
              <w:pStyle w:val="BodyText"/>
              <w:rPr>
                <w:lang w:val="en-NZ"/>
              </w:rPr>
            </w:pPr>
            <w:r w:rsidRPr="000751DE">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1DE" w:rsidP="000751DE">
            <w:pPr>
              <w:pStyle w:val="BodyText"/>
            </w:pPr>
            <w:r w:rsidRPr="000751DE">
              <w:t>This version first released with RII Resources and Infrastructure Industry Training Package Version 9.0.</w:t>
            </w:r>
          </w:p>
          <w:p w:rsidR="00000000" w:rsidP="000751DE">
            <w:pPr>
              <w:pStyle w:val="BodyText"/>
              <w:rPr>
                <w:lang w:val="en-NZ"/>
              </w:rPr>
            </w:pPr>
            <w:r w:rsidRPr="000751DE">
              <w:t>Minor changes to the two knowledge evidence items.</w:t>
            </w:r>
          </w:p>
        </w:tc>
      </w:tr>
      <w:tr w:rsidTr="000751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1DE">
            <w:pPr>
              <w:pStyle w:val="BodyText"/>
              <w:rPr>
                <w:lang w:val="en-NZ"/>
              </w:rPr>
            </w:pPr>
            <w:r w:rsidRPr="000751D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1DE" w:rsidP="000751DE">
            <w:pPr>
              <w:pStyle w:val="BodyText"/>
            </w:pPr>
            <w:r w:rsidRPr="000751DE">
              <w:t>This version first released with RII Resources and Infrastructure Industry Training Package Version 7.0.</w:t>
            </w:r>
          </w:p>
        </w:tc>
      </w:tr>
    </w:tbl>
    <w:p w:rsidR="00000000" w:rsidRPr="000751DE" w:rsidP="000751DE">
      <w:pPr>
        <w:pStyle w:val="BodyText"/>
      </w:pPr>
    </w:p>
    <w:p w:rsidR="00000000" w:rsidRPr="000751DE" w:rsidP="000751DE">
      <w:pPr>
        <w:pStyle w:val="AllowPageBreak"/>
      </w:pPr>
    </w:p>
    <w:p w:rsidR="00000000" w:rsidRPr="000751DE" w:rsidP="000751DE">
      <w:pPr>
        <w:pStyle w:val="Heading1"/>
      </w:pPr>
      <w:bookmarkStart w:id="2" w:name="O_1254915"/>
      <w:bookmarkEnd w:id="2"/>
      <w:r w:rsidRPr="000751DE">
        <w:t>Performance Evidence</w:t>
      </w:r>
    </w:p>
    <w:p w:rsidR="00000000" w:rsidRPr="000751DE" w:rsidP="00ED22AB">
      <w:pPr>
        <w:pStyle w:val="BodyText"/>
      </w:pPr>
      <w:r w:rsidRPr="000751DE">
        <w:t>The candidate must demonstrate the ability to c</w:t>
      </w:r>
      <w:r w:rsidRPr="000751DE">
        <w:t>omplete the tasks outlined in the elements, performance criteria and foundation skills of this unit, including evidence of the ability to:</w:t>
      </w:r>
    </w:p>
    <w:p w:rsidR="00000000" w:rsidRPr="000751DE" w:rsidP="000751DE">
      <w:pPr>
        <w:pStyle w:val="ListBullet"/>
      </w:pPr>
      <w:r w:rsidRPr="000751DE">
        <w:t>supervise autonomous operations on at least two occasions.</w:t>
      </w:r>
    </w:p>
    <w:p w:rsidR="00000000" w:rsidRPr="000751DE" w:rsidP="000751DE">
      <w:pPr>
        <w:pStyle w:val="List"/>
      </w:pPr>
    </w:p>
    <w:p w:rsidR="00000000" w:rsidRPr="000751DE" w:rsidP="00ED22AB">
      <w:pPr>
        <w:pStyle w:val="BodyText"/>
      </w:pPr>
      <w:r w:rsidRPr="000751DE">
        <w:t xml:space="preserve">During the above, the candidate must: </w:t>
      </w:r>
    </w:p>
    <w:p w:rsidR="00000000" w:rsidRPr="000751DE" w:rsidP="000751DE">
      <w:pPr>
        <w:pStyle w:val="ListBullet"/>
      </w:pPr>
      <w:r w:rsidRPr="000751DE">
        <w:t xml:space="preserve">locate and apply legislation, documentation, policies and procedures required to supervise autonomous operations </w:t>
      </w:r>
    </w:p>
    <w:p w:rsidR="00000000" w:rsidRPr="000751DE" w:rsidP="000751DE">
      <w:pPr>
        <w:pStyle w:val="ListBullet"/>
      </w:pPr>
      <w:r w:rsidRPr="000751DE">
        <w:t>implement the requirements, procedures and techniques to supervise autonomous operations, including:</w:t>
      </w:r>
    </w:p>
    <w:p w:rsidR="00000000" w:rsidRPr="000751DE" w:rsidP="000751DE">
      <w:pPr>
        <w:pStyle w:val="ListBullet2"/>
      </w:pPr>
      <w:r w:rsidRPr="000751DE">
        <w:t>interpreting and applying legislation, w</w:t>
      </w:r>
      <w:r w:rsidRPr="000751DE">
        <w:t>ork health and safety requirements and work instructions</w:t>
      </w:r>
    </w:p>
    <w:p w:rsidR="00000000" w:rsidRPr="000751DE" w:rsidP="000751DE">
      <w:pPr>
        <w:pStyle w:val="ListBullet2"/>
      </w:pPr>
      <w:r w:rsidRPr="000751DE">
        <w:t>monitoring and controlling safe interactions between personnel, manual equipment, and autonomous systems and components</w:t>
      </w:r>
    </w:p>
    <w:p w:rsidR="00000000" w:rsidRPr="000751DE" w:rsidP="000751DE">
      <w:pPr>
        <w:pStyle w:val="ListBullet2"/>
      </w:pPr>
      <w:r w:rsidRPr="000751DE">
        <w:t>identifying, monitoring and reporting risks and hazards and implementing contro</w:t>
      </w:r>
      <w:r w:rsidRPr="000751DE">
        <w:t>l measures, including autonomous system and component performance issues</w:t>
      </w:r>
    </w:p>
    <w:p w:rsidR="00000000" w:rsidRPr="000751DE" w:rsidP="000751DE">
      <w:pPr>
        <w:pStyle w:val="ListBullet"/>
      </w:pPr>
      <w:r w:rsidRPr="000751DE">
        <w:t>work with others to supervise autonomous operations in a way that meets required outcomes, including:</w:t>
      </w:r>
    </w:p>
    <w:p w:rsidR="00000000" w:rsidRPr="000751DE" w:rsidP="000751DE">
      <w:pPr>
        <w:pStyle w:val="ListBullet2"/>
      </w:pPr>
      <w:r w:rsidRPr="000751DE">
        <w:t>communicating with others to convey and clarify work instructions and monitor w</w:t>
      </w:r>
      <w:r w:rsidRPr="000751DE">
        <w:t>ork progress</w:t>
      </w:r>
    </w:p>
    <w:p w:rsidR="00000000" w:rsidRPr="000751DE" w:rsidP="000751DE">
      <w:pPr>
        <w:pStyle w:val="ListBullet2"/>
      </w:pPr>
      <w:r w:rsidRPr="000751DE">
        <w:t>identifying individual training needs</w:t>
      </w:r>
    </w:p>
    <w:p w:rsidR="00000000" w:rsidRPr="000751DE" w:rsidP="000751DE">
      <w:pPr>
        <w:pStyle w:val="ListBullet2"/>
      </w:pPr>
      <w:r w:rsidRPr="000751DE">
        <w:t>providing support to team members where tasks require problem solving</w:t>
      </w:r>
    </w:p>
    <w:p w:rsidR="00000000" w:rsidRPr="000751DE" w:rsidP="000751DE">
      <w:pPr>
        <w:pStyle w:val="ListBullet2"/>
      </w:pPr>
      <w:r w:rsidRPr="000751DE">
        <w:t>communicating learnings from previous incidents, upgrades and introduced technologies relating to autonomous operations and change mana</w:t>
      </w:r>
      <w:r w:rsidRPr="000751DE">
        <w:t>gement.</w:t>
      </w:r>
    </w:p>
    <w:p w:rsidR="00000000" w:rsidRPr="000751DE" w:rsidP="000751DE">
      <w:pPr>
        <w:pStyle w:val="AllowPageBreak"/>
      </w:pPr>
    </w:p>
    <w:p w:rsidR="00000000" w:rsidRPr="000751DE" w:rsidP="000751DE">
      <w:pPr>
        <w:pStyle w:val="Heading1"/>
      </w:pPr>
      <w:bookmarkStart w:id="3" w:name="O_1254914"/>
      <w:bookmarkEnd w:id="3"/>
      <w:r w:rsidRPr="000751DE">
        <w:t>Knowledge Evidence</w:t>
      </w:r>
    </w:p>
    <w:p w:rsidR="00000000" w:rsidRPr="000751DE" w:rsidP="00ED22AB">
      <w:pPr>
        <w:pStyle w:val="BodyText"/>
      </w:pPr>
      <w:r w:rsidRPr="000751DE">
        <w:t>The candidate must be able to demonstrate knowledge to complete the tasks outlined in the elements, performance criteria and foundation skills of this unit, including knowledge of:</w:t>
      </w:r>
    </w:p>
    <w:p w:rsidR="00000000" w:rsidRPr="000751DE" w:rsidP="000751DE">
      <w:pPr>
        <w:pStyle w:val="ListBullet"/>
      </w:pPr>
      <w:r w:rsidRPr="000751DE">
        <w:t>legislation required to supervise autonomous operations</w:t>
      </w:r>
    </w:p>
    <w:p w:rsidR="00000000" w:rsidRPr="000751DE" w:rsidP="000751DE">
      <w:pPr>
        <w:pStyle w:val="ListBullet"/>
      </w:pPr>
      <w:r w:rsidRPr="000751DE">
        <w:t>policies, procedures and documentation required to supervise autonomous operations, including those relating to:</w:t>
      </w:r>
    </w:p>
    <w:p w:rsidR="00000000" w:rsidRPr="000751DE" w:rsidP="000751DE">
      <w:pPr>
        <w:pStyle w:val="ListBullet2"/>
      </w:pPr>
      <w:r w:rsidRPr="000751DE">
        <w:t>Australian and international standards for autonomous systems</w:t>
      </w:r>
    </w:p>
    <w:p w:rsidR="00000000" w:rsidRPr="000751DE" w:rsidP="000751DE">
      <w:pPr>
        <w:pStyle w:val="ListBullet2"/>
      </w:pPr>
      <w:r w:rsidRPr="000751DE">
        <w:t>autonomous system and co</w:t>
      </w:r>
      <w:r w:rsidRPr="000751DE">
        <w:t>mponent manufacturer specifications</w:t>
      </w:r>
    </w:p>
    <w:p w:rsidR="00000000" w:rsidRPr="000751DE" w:rsidP="000751DE">
      <w:pPr>
        <w:pStyle w:val="ListBullet2"/>
      </w:pPr>
      <w:r w:rsidRPr="000751DE">
        <w:t xml:space="preserve">functional safety standards </w:t>
      </w:r>
    </w:p>
    <w:p w:rsidR="00000000" w:rsidRPr="000751DE" w:rsidP="000751DE">
      <w:pPr>
        <w:pStyle w:val="ListBullet2"/>
      </w:pPr>
      <w:r w:rsidRPr="000751DE">
        <w:t>hazard, incident and emergency response procedures</w:t>
      </w:r>
    </w:p>
    <w:p w:rsidR="00000000" w:rsidRPr="000751DE" w:rsidP="000751DE">
      <w:pPr>
        <w:pStyle w:val="ListBullet2"/>
      </w:pPr>
      <w:r w:rsidRPr="000751DE">
        <w:t>hierarchy road rules</w:t>
      </w:r>
    </w:p>
    <w:p w:rsidR="00000000" w:rsidRPr="000751DE" w:rsidP="000751DE">
      <w:pPr>
        <w:pStyle w:val="ListBullet2"/>
      </w:pPr>
      <w:r w:rsidRPr="000751DE">
        <w:t>obtaining permits and clearances</w:t>
      </w:r>
    </w:p>
    <w:p w:rsidR="00000000" w:rsidRPr="000751DE" w:rsidP="000751DE">
      <w:pPr>
        <w:pStyle w:val="ListBullet2"/>
      </w:pPr>
      <w:r w:rsidRPr="000751DE">
        <w:t>risk management</w:t>
      </w:r>
    </w:p>
    <w:p w:rsidR="00000000" w:rsidRPr="000751DE" w:rsidP="000751DE">
      <w:pPr>
        <w:pStyle w:val="ListBullet2"/>
      </w:pPr>
      <w:r w:rsidRPr="000751DE">
        <w:t>site requirements</w:t>
      </w:r>
    </w:p>
    <w:p w:rsidR="00000000" w:rsidRPr="000751DE" w:rsidP="000751DE">
      <w:pPr>
        <w:pStyle w:val="ListBullet2"/>
      </w:pPr>
      <w:r w:rsidRPr="000751DE">
        <w:t>site safety signage, alarms and systems</w:t>
      </w:r>
    </w:p>
    <w:p w:rsidR="00000000" w:rsidRPr="000751DE" w:rsidP="000751DE">
      <w:pPr>
        <w:pStyle w:val="ListBullet2"/>
      </w:pPr>
      <w:r w:rsidRPr="000751DE">
        <w:t xml:space="preserve">work health </w:t>
      </w:r>
      <w:r w:rsidRPr="000751DE">
        <w:t>and safety</w:t>
      </w:r>
    </w:p>
    <w:p w:rsidR="00000000" w:rsidRPr="000751DE" w:rsidP="000751DE">
      <w:pPr>
        <w:pStyle w:val="ListBullet2"/>
      </w:pPr>
      <w:r w:rsidRPr="000751DE">
        <w:t>workplace recording and reporting requirements</w:t>
      </w:r>
    </w:p>
    <w:p w:rsidR="00000000" w:rsidRPr="000751DE" w:rsidP="000751DE">
      <w:pPr>
        <w:pStyle w:val="ListBullet"/>
      </w:pPr>
      <w:r w:rsidRPr="000751DE">
        <w:t>types, characteristics, technical capabilities and limitations of autonomous systems and components, including:</w:t>
      </w:r>
    </w:p>
    <w:p w:rsidR="00000000" w:rsidRPr="000751DE" w:rsidP="000751DE">
      <w:pPr>
        <w:pStyle w:val="ListBullet2"/>
      </w:pPr>
      <w:r w:rsidRPr="000751DE">
        <w:t>digital communications</w:t>
      </w:r>
    </w:p>
    <w:p w:rsidR="00000000" w:rsidRPr="000751DE" w:rsidP="000751DE">
      <w:pPr>
        <w:pStyle w:val="ListBullet2"/>
      </w:pPr>
      <w:r w:rsidRPr="000751DE">
        <w:t>emergency signals and procedures</w:t>
      </w:r>
    </w:p>
    <w:p w:rsidR="00000000" w:rsidRPr="000751DE" w:rsidP="000751DE">
      <w:pPr>
        <w:pStyle w:val="ListBullet2"/>
      </w:pPr>
      <w:r w:rsidRPr="000751DE">
        <w:t xml:space="preserve">key operational states     </w:t>
      </w:r>
    </w:p>
    <w:p w:rsidR="00000000" w:rsidRPr="000751DE" w:rsidP="000751DE">
      <w:pPr>
        <w:pStyle w:val="ListBullet2"/>
      </w:pPr>
      <w:r w:rsidRPr="000751DE">
        <w:t>operating procedures</w:t>
      </w:r>
    </w:p>
    <w:p w:rsidR="00000000" w:rsidRPr="000751DE" w:rsidP="000751DE">
      <w:pPr>
        <w:pStyle w:val="ListBullet2"/>
      </w:pPr>
      <w:r w:rsidRPr="000751DE">
        <w:t>exclusion zones</w:t>
      </w:r>
    </w:p>
    <w:p w:rsidR="00000000" w:rsidRPr="000751DE" w:rsidP="000751DE">
      <w:pPr>
        <w:pStyle w:val="ListBullet2"/>
      </w:pPr>
      <w:r w:rsidRPr="000751DE">
        <w:t>remote stop functionality</w:t>
      </w:r>
    </w:p>
    <w:p w:rsidR="00000000" w:rsidRPr="000751DE" w:rsidP="000751DE">
      <w:pPr>
        <w:pStyle w:val="ListBullet2"/>
      </w:pPr>
      <w:r w:rsidRPr="000751DE">
        <w:t>sensing modalities</w:t>
      </w:r>
    </w:p>
    <w:p w:rsidR="00000000" w:rsidRPr="000751DE" w:rsidP="000751DE">
      <w:pPr>
        <w:pStyle w:val="ListBullet2"/>
      </w:pPr>
      <w:r w:rsidRPr="000751DE">
        <w:t>system perception and control functionalities</w:t>
      </w:r>
    </w:p>
    <w:p w:rsidR="00000000" w:rsidRPr="000751DE" w:rsidP="000751DE">
      <w:pPr>
        <w:pStyle w:val="ListBullet"/>
      </w:pPr>
      <w:r w:rsidRPr="000751DE">
        <w:t>key aspects of autonomous equipment interactions in different environmental conditions and load states, including braking and s</w:t>
      </w:r>
      <w:r w:rsidRPr="000751DE">
        <w:t>topping functions</w:t>
      </w:r>
    </w:p>
    <w:p w:rsidR="00000000" w:rsidRPr="000751DE" w:rsidP="000751DE">
      <w:pPr>
        <w:pStyle w:val="ListBullet"/>
      </w:pPr>
      <w:r w:rsidRPr="000751DE">
        <w:t>principles and techniques for risk and hazard management in autonomous environments, including those relating to:</w:t>
      </w:r>
    </w:p>
    <w:p w:rsidR="00000000" w:rsidRPr="000751DE" w:rsidP="000751DE">
      <w:pPr>
        <w:pStyle w:val="ListBullet2"/>
      </w:pPr>
      <w:r w:rsidRPr="000751DE">
        <w:t>adverse operating conditions for autonomous systems and components</w:t>
      </w:r>
    </w:p>
    <w:p w:rsidR="00000000" w:rsidRPr="000751DE" w:rsidP="000751DE">
      <w:pPr>
        <w:pStyle w:val="ListBullet2"/>
      </w:pPr>
      <w:r w:rsidRPr="000751DE">
        <w:t>risk management, including risks relating to operator an</w:t>
      </w:r>
      <w:r w:rsidRPr="000751DE">
        <w:t>d human machine interface (HMI) fatigue</w:t>
      </w:r>
    </w:p>
    <w:p w:rsidR="00000000" w:rsidRPr="000751DE" w:rsidP="000751DE">
      <w:pPr>
        <w:pStyle w:val="ListBullet2"/>
      </w:pPr>
      <w:r w:rsidRPr="000751DE">
        <w:t xml:space="preserve">limitations of electrical sensory and digital communication systems </w:t>
      </w:r>
    </w:p>
    <w:p w:rsidR="00000000" w:rsidRPr="000751DE" w:rsidP="000751DE">
      <w:pPr>
        <w:pStyle w:val="ListBullet"/>
      </w:pPr>
      <w:r w:rsidRPr="000751DE">
        <w:t>principles and techniques for implementing and monitoring primary and contingency controls, including those relating to:</w:t>
      </w:r>
    </w:p>
    <w:p w:rsidR="00000000" w:rsidRPr="000751DE" w:rsidP="000751DE">
      <w:pPr>
        <w:pStyle w:val="ListBullet2"/>
      </w:pPr>
      <w:r w:rsidRPr="000751DE">
        <w:t>change management</w:t>
      </w:r>
    </w:p>
    <w:p w:rsidR="00000000" w:rsidRPr="000751DE" w:rsidP="000751DE">
      <w:pPr>
        <w:pStyle w:val="ListBullet2"/>
      </w:pPr>
      <w:r w:rsidRPr="000751DE">
        <w:t>monitoring and using human-machine-interface (HMI)</w:t>
      </w:r>
    </w:p>
    <w:p w:rsidR="00000000" w:rsidRPr="000751DE" w:rsidP="000751DE">
      <w:pPr>
        <w:pStyle w:val="ListBullet2"/>
      </w:pPr>
      <w:r w:rsidRPr="000751DE">
        <w:t>interactions between personnel, manual equipment, and autonomous system and components</w:t>
      </w:r>
    </w:p>
    <w:p w:rsidR="00000000" w:rsidRPr="000751DE" w:rsidP="000751DE">
      <w:pPr>
        <w:pStyle w:val="ListBullet2"/>
      </w:pPr>
      <w:r w:rsidRPr="000751DE">
        <w:t>key tools and processes</w:t>
      </w:r>
    </w:p>
    <w:p w:rsidR="00000000" w:rsidRPr="000751DE" w:rsidP="000751DE">
      <w:pPr>
        <w:pStyle w:val="ListBullet2"/>
      </w:pPr>
      <w:r w:rsidRPr="000751DE">
        <w:t>work area security and control</w:t>
      </w:r>
    </w:p>
    <w:p w:rsidR="00000000" w:rsidRPr="000751DE" w:rsidP="000751DE">
      <w:pPr>
        <w:pStyle w:val="ListBullet"/>
      </w:pPr>
      <w:r w:rsidRPr="000751DE">
        <w:t>roles and responsibilities of personnel in the autonomous envi</w:t>
      </w:r>
      <w:r w:rsidRPr="000751DE">
        <w:t>ronment value chain, including those relating to:</w:t>
      </w:r>
    </w:p>
    <w:p w:rsidR="00000000" w:rsidRPr="000751DE" w:rsidP="000751DE">
      <w:pPr>
        <w:pStyle w:val="ListBullet2"/>
      </w:pPr>
      <w:r w:rsidRPr="000751DE">
        <w:t>budget</w:t>
      </w:r>
    </w:p>
    <w:p w:rsidR="00000000" w:rsidRPr="000751DE" w:rsidP="000751DE">
      <w:pPr>
        <w:pStyle w:val="ListBullet2"/>
      </w:pPr>
      <w:r w:rsidRPr="000751DE">
        <w:t>product quality</w:t>
      </w:r>
    </w:p>
    <w:p w:rsidR="00000000" w:rsidRPr="000751DE" w:rsidP="000751DE">
      <w:pPr>
        <w:pStyle w:val="ListBullet2"/>
      </w:pPr>
      <w:r w:rsidRPr="000751DE">
        <w:t>productivity</w:t>
      </w:r>
    </w:p>
    <w:p w:rsidR="00000000" w:rsidRPr="000751DE" w:rsidP="000751DE">
      <w:pPr>
        <w:pStyle w:val="ListBullet2"/>
      </w:pPr>
      <w:r w:rsidRPr="000751DE">
        <w:t>safety</w:t>
      </w:r>
    </w:p>
    <w:p w:rsidR="00000000" w:rsidRPr="000751DE" w:rsidP="000751DE">
      <w:pPr>
        <w:pStyle w:val="ListBullet2"/>
      </w:pPr>
      <w:r w:rsidRPr="000751DE">
        <w:t>interdependencies with other roles</w:t>
      </w:r>
    </w:p>
    <w:p w:rsidR="00000000" w:rsidRPr="000751DE" w:rsidP="000751DE">
      <w:pPr>
        <w:pStyle w:val="ListBullet"/>
      </w:pPr>
      <w:r w:rsidRPr="000751DE">
        <w:t>key terminology for autonomous systems, components and operations, including those specific to relevant sector, organisation a</w:t>
      </w:r>
      <w:r w:rsidRPr="000751DE">
        <w:t>nd manufacturer</w:t>
      </w:r>
    </w:p>
    <w:p w:rsidR="00000000" w:rsidRPr="000751DE" w:rsidP="000751DE">
      <w:pPr>
        <w:pStyle w:val="ListBullet"/>
      </w:pPr>
      <w:r w:rsidRPr="000751DE">
        <w:t>techniques for identifying individual training needs</w:t>
      </w:r>
    </w:p>
    <w:p w:rsidR="00000000" w:rsidRPr="000751DE" w:rsidP="000751DE">
      <w:pPr>
        <w:pStyle w:val="ListBullet"/>
      </w:pPr>
      <w:r w:rsidRPr="000751DE">
        <w:t>techniques for coordinating and communicating work activity with others.</w:t>
      </w:r>
    </w:p>
    <w:p w:rsidR="00000000" w:rsidRPr="000751DE" w:rsidP="000751DE">
      <w:pPr>
        <w:pStyle w:val="AllowPageBreak"/>
      </w:pPr>
    </w:p>
    <w:p w:rsidR="00000000" w:rsidRPr="000751DE" w:rsidP="000751DE">
      <w:pPr>
        <w:pStyle w:val="Heading1"/>
      </w:pPr>
      <w:bookmarkStart w:id="4" w:name="O_1254913"/>
      <w:bookmarkEnd w:id="4"/>
      <w:r w:rsidRPr="000751DE">
        <w:t>Assessment Conditions</w:t>
      </w:r>
    </w:p>
    <w:p w:rsidR="00000000" w:rsidRPr="000751DE" w:rsidP="00ED22AB">
      <w:pPr>
        <w:pStyle w:val="BodyText"/>
      </w:pPr>
      <w:r w:rsidRPr="000751DE">
        <w:t>Mandatory conditio</w:t>
      </w:r>
      <w:r w:rsidRPr="000751DE">
        <w:t>ns for assessment of this unit are stipulated below. The assessment must:</w:t>
      </w:r>
    </w:p>
    <w:p w:rsidR="00000000" w:rsidRPr="000751DE" w:rsidP="000751DE">
      <w:pPr>
        <w:pStyle w:val="ListBullet"/>
      </w:pPr>
      <w:r w:rsidRPr="000751DE">
        <w:t>include access to:</w:t>
      </w:r>
    </w:p>
    <w:p w:rsidR="00000000" w:rsidRPr="000751DE" w:rsidP="000751DE">
      <w:pPr>
        <w:pStyle w:val="ListBullet2"/>
      </w:pPr>
      <w:r w:rsidRPr="000751DE">
        <w:t>personal protective equipment</w:t>
      </w:r>
    </w:p>
    <w:p w:rsidR="00000000" w:rsidRPr="000751DE" w:rsidP="000751DE">
      <w:pPr>
        <w:pStyle w:val="ListBullet2"/>
      </w:pPr>
      <w:r w:rsidRPr="000751DE">
        <w:t>plant and equipment required to supervise autonomous operations</w:t>
      </w:r>
    </w:p>
    <w:p w:rsidR="00000000" w:rsidRPr="000751DE" w:rsidP="000751DE">
      <w:pPr>
        <w:pStyle w:val="ListBullet"/>
      </w:pPr>
      <w:r w:rsidRPr="000751DE">
        <w:t xml:space="preserve">be conducted in a safe environment; and, </w:t>
      </w:r>
    </w:p>
    <w:p w:rsidR="00000000" w:rsidRPr="000751DE" w:rsidP="000751DE">
      <w:pPr>
        <w:pStyle w:val="ListBullet"/>
      </w:pPr>
      <w:r w:rsidRPr="000751DE">
        <w:t>be assessed in the conte</w:t>
      </w:r>
      <w:r w:rsidRPr="000751DE">
        <w:t>xt of this sector</w:t>
      </w:r>
      <w:r>
        <w:t>’</w:t>
      </w:r>
      <w:r w:rsidRPr="000751DE">
        <w:t xml:space="preserve">s work environment; and, </w:t>
      </w:r>
    </w:p>
    <w:p w:rsidR="00000000" w:rsidRPr="000751DE" w:rsidP="000751DE">
      <w:pPr>
        <w:pStyle w:val="ListBullet"/>
      </w:pPr>
      <w:r w:rsidRPr="000751DE">
        <w:t>be assessed in compliance with relevant legislation/regulation and using policies, procedures and processes directly related to the industry sector for which it is being assessed; and,</w:t>
      </w:r>
    </w:p>
    <w:p w:rsidR="00000000" w:rsidRPr="000751DE" w:rsidP="000751DE">
      <w:pPr>
        <w:pStyle w:val="ListBullet"/>
      </w:pPr>
      <w:r w:rsidRPr="000751DE">
        <w:t>confirm consistent performa</w:t>
      </w:r>
      <w:r w:rsidRPr="000751DE">
        <w:t>nce can be applied in a range of relevant workplace circumstances.</w:t>
      </w:r>
    </w:p>
    <w:p w:rsidR="00000000" w:rsidRPr="000751DE" w:rsidP="00ED22AB">
      <w:pPr>
        <w:pStyle w:val="BodyText"/>
      </w:pPr>
      <w:r w:rsidRPr="000751DE">
        <w:t>Where personal safety or environmental damage are limiting factors, assessment may occur in a simulated work environment* provided it is realistic and sufficiently rigorous to cover all asp</w:t>
      </w:r>
      <w:r w:rsidRPr="000751DE">
        <w:t>ects of this sector’s workplace performance, including environment, task skills, task management skills, contingency management skills and job role environment skills.</w:t>
      </w:r>
    </w:p>
    <w:p w:rsidR="00000000" w:rsidRPr="000751DE" w:rsidP="000751DE">
      <w:pPr>
        <w:pStyle w:val="BodyTextBold"/>
      </w:pPr>
      <w:r w:rsidRPr="000751DE">
        <w:t>Assessor requirements</w:t>
      </w:r>
    </w:p>
    <w:p w:rsidR="00000000" w:rsidRPr="000751DE" w:rsidP="00ED22AB">
      <w:pPr>
        <w:pStyle w:val="BodyText"/>
      </w:pPr>
      <w:r w:rsidRPr="000751DE">
        <w:t>Assessors must be able to clearly demonstrate current and relevant</w:t>
      </w:r>
      <w:r w:rsidRPr="000751DE">
        <w:t xml:space="preserve"> industry knowledge and experience to satisfy the mandatory regulatory standards as set out in the Standards for Registered Training Organisations 2015/Australian Quality Training Framework mandatory requirements for assessors current at the time of assess</w:t>
      </w:r>
      <w:r w:rsidRPr="000751DE">
        <w:t>ment and any relevant licensing and certification requirements. This includes:</w:t>
      </w:r>
    </w:p>
    <w:p w:rsidR="00000000" w:rsidRPr="000751DE" w:rsidP="000751DE">
      <w:pPr>
        <w:pStyle w:val="ListBullet"/>
      </w:pPr>
      <w:r w:rsidRPr="000751DE">
        <w:t>vocational competencies at least to the level being delivered and assessed</w:t>
      </w:r>
    </w:p>
    <w:p w:rsidR="00000000" w:rsidRPr="000751DE" w:rsidP="000751DE">
      <w:pPr>
        <w:pStyle w:val="ListBullet"/>
      </w:pPr>
      <w:r w:rsidRPr="000751DE">
        <w:t>current industry skills directly relevant to the training and assessment being provided</w:t>
      </w:r>
    </w:p>
    <w:p w:rsidR="00000000" w:rsidRPr="000751DE" w:rsidP="000751DE">
      <w:pPr>
        <w:pStyle w:val="ListBullet"/>
      </w:pPr>
      <w:r w:rsidRPr="000751DE">
        <w:t>current knowledge and skills in vocational training and learning that informs their training and assessment</w:t>
      </w:r>
    </w:p>
    <w:p w:rsidR="00000000" w:rsidRPr="000751DE" w:rsidP="000751DE">
      <w:pPr>
        <w:pStyle w:val="ListBullet"/>
      </w:pPr>
      <w:r w:rsidRPr="000751DE">
        <w:t>formal relevant qualifications in training and assessment</w:t>
      </w:r>
    </w:p>
    <w:p w:rsidR="00000000" w:rsidRPr="000751DE" w:rsidP="000751DE">
      <w:pPr>
        <w:pStyle w:val="ListBullet"/>
      </w:pPr>
      <w:r w:rsidRPr="000751DE">
        <w:t xml:space="preserve">having knowledge of and/or experience using the latest techniques and processes </w:t>
      </w:r>
    </w:p>
    <w:p w:rsidR="00000000" w:rsidRPr="000751DE" w:rsidP="000751DE">
      <w:pPr>
        <w:pStyle w:val="ListBullet"/>
      </w:pPr>
      <w:r w:rsidRPr="000751DE">
        <w:t>possessin</w:t>
      </w:r>
      <w:r w:rsidRPr="000751DE">
        <w:t>g the required level of RII training product knowledge</w:t>
      </w:r>
    </w:p>
    <w:p w:rsidR="00000000" w:rsidRPr="000751DE" w:rsidP="000751DE">
      <w:pPr>
        <w:pStyle w:val="ListBullet"/>
      </w:pPr>
      <w:r w:rsidRPr="000751DE">
        <w:t>having an understanding and knowledge of legislation and regulations relevant to the industry and to employment and workplaces</w:t>
      </w:r>
    </w:p>
    <w:p w:rsidR="00000000" w:rsidRPr="000751DE" w:rsidP="000751DE">
      <w:pPr>
        <w:pStyle w:val="ListBullet"/>
      </w:pPr>
      <w:r w:rsidRPr="000751DE">
        <w:t>demonstrating the performance evidence, and knowledge evidence outlined in</w:t>
      </w:r>
      <w:r w:rsidRPr="000751DE">
        <w:t xml:space="preserve"> this unit of competency, and</w:t>
      </w:r>
    </w:p>
    <w:p w:rsidR="00000000" w:rsidRPr="000751DE" w:rsidP="000751DE">
      <w:pPr>
        <w:pStyle w:val="ListBullet"/>
      </w:pPr>
      <w:r w:rsidRPr="000751DE">
        <w:t>the minimum years of current** work experience after competency has been obtained as specified below in an industry sector relevant to the outcomes of the unit.</w:t>
      </w:r>
    </w:p>
    <w:p w:rsidR="00000000" w:rsidRPr="000751DE" w:rsidP="00ED22AB">
      <w:pPr>
        <w:pStyle w:val="BodyText"/>
      </w:pPr>
      <w:r w:rsidRPr="000751DE">
        <w:t>It is also acceptable for the appropriately qualified assessor to</w:t>
      </w:r>
      <w:r w:rsidRPr="000751DE">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0751DE">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0751DE">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Heading4"/>
              <w:rPr>
                <w:lang w:val="en-NZ"/>
              </w:rPr>
            </w:pPr>
            <w:r w:rsidRPr="000751DE">
              <w:t>Indus</w:t>
            </w:r>
            <w:r w:rsidRPr="000751DE">
              <w:t>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Heading4"/>
              <w:rPr>
                <w:lang w:val="en-NZ"/>
              </w:rPr>
            </w:pPr>
            <w:r w:rsidRPr="000751DE">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Heading4"/>
              <w:rPr>
                <w:lang w:val="en-NZ"/>
              </w:rPr>
            </w:pPr>
            <w:r w:rsidRPr="000751DE">
              <w:t>Required assessor or industry subject matter expert experience</w:t>
            </w:r>
          </w:p>
        </w:tc>
      </w:tr>
      <w:tr w:rsidTr="000751DE">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1 year</w:t>
            </w:r>
          </w:p>
        </w:tc>
      </w:tr>
      <w:tr w:rsidTr="000751DE">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2 years</w:t>
            </w:r>
          </w:p>
        </w:tc>
      </w:tr>
      <w:tr w:rsidTr="000751D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3 years</w:t>
            </w:r>
          </w:p>
        </w:tc>
      </w:tr>
      <w:tr w:rsidTr="000751D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Given that this is an emerging industry area</w:t>
            </w:r>
            <w:r w:rsidRPr="000751DE">
              <w:t>, assessors are required to demonstrate vocational competencies at least to the level being assessed, and current industry skills directly relevant to the assessment being provided.</w:t>
            </w:r>
          </w:p>
        </w:tc>
      </w:tr>
      <w:tr w:rsidTr="000751D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51DE">
            <w:pPr>
              <w:pStyle w:val="BodyText"/>
              <w:rPr>
                <w:lang w:val="en-NZ"/>
              </w:rPr>
            </w:pPr>
            <w:r w:rsidRPr="000751DE">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51DE" w:rsidP="000751DE">
            <w:pPr>
              <w:pStyle w:val="BodyText"/>
            </w:pPr>
            <w:r w:rsidRPr="000751DE">
              <w:t>Where this unit is being assessed outside of the resources</w:t>
            </w:r>
            <w:r w:rsidRPr="000751DE">
              <w:t xml:space="preserve"> and infrastructure sectors assessor and/or industry subject matter expert experience should be in-line with industry standards for the sector in which it is being assessed and where no industry standard is specified should comply with any relevant regulat</w:t>
            </w:r>
            <w:r w:rsidRPr="000751DE">
              <w:t>ion.</w:t>
            </w:r>
          </w:p>
        </w:tc>
      </w:tr>
    </w:tbl>
    <w:p w:rsidR="00000000" w:rsidRPr="000751DE" w:rsidP="00ED22AB">
      <w:pPr>
        <w:pStyle w:val="BodyText"/>
      </w:pPr>
      <w:r w:rsidRPr="000751DE">
        <w:t>*Guidance on simulated environments has been stipulated in the Companion Volume Implementation Guide located on VETNet.</w:t>
      </w:r>
    </w:p>
    <w:p w:rsidR="00000000" w:rsidRPr="000751DE" w:rsidP="00ED22AB">
      <w:pPr>
        <w:pStyle w:val="BodyText"/>
      </w:pPr>
      <w:r w:rsidRPr="000751DE">
        <w:t xml:space="preserve">**Assessors can demonstrate current work experience through employment within industry in a role relevant to the outcomes of the </w:t>
      </w:r>
      <w:r w:rsidRPr="000751DE">
        <w:t>unit; or, for external assessors this can be demonstrated through exposure to industry by conducting a minimum number of site assessments as determined by the relevant industry sector, across various locations.</w:t>
      </w:r>
    </w:p>
    <w:p w:rsidR="00000000" w:rsidRPr="000751DE" w:rsidP="00ED22AB">
      <w:pPr>
        <w:pStyle w:val="BodyText"/>
      </w:pPr>
      <w:r w:rsidRPr="000751DE">
        <w:t>***While a unit of competency does not have a</w:t>
      </w:r>
      <w:r w:rsidRPr="000751DE">
        <w:t>n AQF level, where a unit is being delivered outside of a qualification the first numeric character in the unit code should be considered as the AQF indicator level for assessment purposes.</w:t>
      </w:r>
    </w:p>
    <w:p w:rsidR="00000000" w:rsidRPr="000751DE" w:rsidP="00ED22AB">
      <w:pPr>
        <w:pStyle w:val="BodyText"/>
      </w:pPr>
      <w:r w:rsidRPr="000751DE">
        <w:t>****Excluding units coded ‘RIIARO’ (Autonomous and Remote Operatio</w:t>
      </w:r>
      <w:r w:rsidRPr="000751DE">
        <w:t>ns).</w:t>
      </w:r>
    </w:p>
    <w:p w:rsidR="00000000" w:rsidRPr="000751DE" w:rsidP="000751DE">
      <w:pPr>
        <w:pStyle w:val="Heading1"/>
      </w:pPr>
      <w:bookmarkStart w:id="5" w:name="O_1254925"/>
      <w:bookmarkEnd w:id="5"/>
      <w:r w:rsidRPr="000751DE">
        <w:t>Links</w:t>
      </w:r>
    </w:p>
    <w:p w:rsidR="00000000" w:rsidRPr="000751DE" w:rsidP="00ED22AB">
      <w:pPr>
        <w:pStyle w:val="BodyText"/>
      </w:pPr>
      <w:r w:rsidRPr="000751D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A28F2">
        <w:rPr>
          <w:rStyle w:val="Hyperlink"/>
        </w:rPr>
        <w:t>https://vetnet.gov.au/Pages/TrainingDocs.aspx?q=88a61002-9a21-4386-aaf8-69c76e675272</w:t>
      </w:r>
      <w:r>
        <w:fldChar w:fldCharType="end"/>
      </w:r>
    </w:p>
    <w:p w:rsidR="00000000" w:rsidRPr="000751DE" w:rsidP="000751DE"/>
    <w:sectPr w:rsidSect="000751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DE" w:rsidRPr="00ED22AB" w:rsidP="00ED2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AB" w:rsidP="00075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2AB" w:rsidP="000751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22AB" w:rsidP="00075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1DE" w:rsidRPr="00ED22AB" w:rsidP="00ED2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AB" w:rsidRPr="002D2AF8" w:rsidP="000751DE">
    <w:pPr>
      <w:pStyle w:val="Header"/>
      <w:framePr w:wrap="around"/>
    </w:pPr>
    <w:r>
      <w:fldChar w:fldCharType="begin"/>
    </w:r>
    <w:r>
      <w:instrText xml:space="preserve"> TITLE   \* MERGEFORMAT </w:instrText>
    </w:r>
    <w:r>
      <w:fldChar w:fldCharType="separate"/>
    </w:r>
    <w:r>
      <w:t>Assessment Requirements for RIIARO401 Supervise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22AB" w:rsidP="00075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CB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46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47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1DE"/>
    <w:pPr>
      <w:spacing w:before="360" w:after="60"/>
      <w:outlineLvl w:val="0"/>
    </w:pPr>
    <w:rPr>
      <w:sz w:val="32"/>
    </w:rPr>
  </w:style>
  <w:style w:type="paragraph" w:styleId="Heading2">
    <w:name w:val="heading 2"/>
    <w:basedOn w:val="HeadingBase"/>
    <w:next w:val="BodyText"/>
    <w:link w:val="Heading2Char"/>
    <w:qFormat/>
    <w:rsid w:val="000751DE"/>
    <w:pPr>
      <w:keepLines/>
      <w:spacing w:before="240" w:after="120"/>
      <w:outlineLvl w:val="1"/>
    </w:pPr>
    <w:rPr>
      <w:sz w:val="28"/>
      <w:szCs w:val="40"/>
    </w:rPr>
  </w:style>
  <w:style w:type="paragraph" w:styleId="Heading3">
    <w:name w:val="heading 3"/>
    <w:basedOn w:val="HeadingBase"/>
    <w:next w:val="BodyText"/>
    <w:link w:val="Heading3Char"/>
    <w:qFormat/>
    <w:rsid w:val="000751DE"/>
    <w:pPr>
      <w:spacing w:before="180" w:after="120"/>
      <w:outlineLvl w:val="2"/>
    </w:pPr>
    <w:rPr>
      <w:spacing w:val="-10"/>
      <w:kern w:val="32"/>
    </w:rPr>
  </w:style>
  <w:style w:type="paragraph" w:styleId="Heading4">
    <w:name w:val="heading 4"/>
    <w:basedOn w:val="HeadingBase"/>
    <w:next w:val="BodyText"/>
    <w:link w:val="Heading4Char"/>
    <w:qFormat/>
    <w:rsid w:val="000751DE"/>
    <w:pPr>
      <w:spacing w:before="160" w:after="120"/>
      <w:outlineLvl w:val="3"/>
    </w:pPr>
    <w:rPr>
      <w:sz w:val="22"/>
    </w:rPr>
  </w:style>
  <w:style w:type="paragraph" w:styleId="Heading5">
    <w:name w:val="heading 5"/>
    <w:basedOn w:val="HeadingBase"/>
    <w:next w:val="Normal"/>
    <w:link w:val="Heading5Char"/>
    <w:qFormat/>
    <w:rsid w:val="000751DE"/>
    <w:pPr>
      <w:spacing w:before="80"/>
      <w:outlineLvl w:val="4"/>
    </w:pPr>
    <w:rPr>
      <w:color w:val="918585"/>
      <w:sz w:val="20"/>
    </w:rPr>
  </w:style>
  <w:style w:type="paragraph" w:styleId="Heading6">
    <w:name w:val="heading 6"/>
    <w:basedOn w:val="HeadingBase"/>
    <w:next w:val="Normal"/>
    <w:link w:val="Heading6Char"/>
    <w:qFormat/>
    <w:rsid w:val="000751DE"/>
    <w:pPr>
      <w:spacing w:before="60"/>
      <w:outlineLvl w:val="5"/>
    </w:pPr>
    <w:rPr>
      <w:color w:val="918585"/>
      <w:sz w:val="20"/>
    </w:rPr>
  </w:style>
  <w:style w:type="paragraph" w:styleId="Heading7">
    <w:name w:val="heading 7"/>
    <w:basedOn w:val="Normal"/>
    <w:next w:val="Normal"/>
    <w:link w:val="Heading7Char"/>
    <w:qFormat/>
    <w:rsid w:val="000751DE"/>
    <w:pPr>
      <w:ind w:left="720"/>
      <w:outlineLvl w:val="6"/>
    </w:pPr>
    <w:rPr>
      <w:i/>
    </w:rPr>
  </w:style>
  <w:style w:type="paragraph" w:styleId="Heading8">
    <w:name w:val="heading 8"/>
    <w:basedOn w:val="Normal"/>
    <w:next w:val="Normal"/>
    <w:link w:val="Heading8Char"/>
    <w:qFormat/>
    <w:rsid w:val="000751DE"/>
    <w:pPr>
      <w:ind w:left="720"/>
      <w:outlineLvl w:val="7"/>
    </w:pPr>
    <w:rPr>
      <w:i/>
    </w:rPr>
  </w:style>
  <w:style w:type="paragraph" w:styleId="Heading9">
    <w:name w:val="heading 9"/>
    <w:basedOn w:val="Normal"/>
    <w:next w:val="Normal"/>
    <w:link w:val="Heading9Char"/>
    <w:qFormat/>
    <w:rsid w:val="000751DE"/>
    <w:pPr>
      <w:ind w:left="720"/>
      <w:outlineLvl w:val="8"/>
    </w:pPr>
    <w:rPr>
      <w:i/>
    </w:rPr>
  </w:style>
  <w:style w:type="character" w:default="1" w:styleId="DefaultParagraphFont">
    <w:name w:val="Default Paragraph Font"/>
    <w:uiPriority w:val="1"/>
    <w:unhideWhenUsed/>
    <w:rsid w:val="00075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1DE"/>
  </w:style>
  <w:style w:type="character" w:customStyle="1" w:styleId="Heading1Char">
    <w:name w:val="Heading 1 Char"/>
    <w:basedOn w:val="DefaultParagraphFont"/>
    <w:link w:val="Heading1"/>
    <w:rsid w:val="000751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51DE"/>
    <w:rPr>
      <w:rFonts w:ascii="Times New Roman" w:eastAsia="Times New Roman" w:hAnsi="Times New Roman" w:cs="Times New Roman"/>
      <w:b/>
      <w:szCs w:val="20"/>
      <w:lang w:eastAsia="en-US"/>
    </w:rPr>
  </w:style>
  <w:style w:type="paragraph" w:styleId="BodyText">
    <w:name w:val="Body Text"/>
    <w:basedOn w:val="Normal"/>
    <w:link w:val="BodyTextChar"/>
    <w:rsid w:val="00075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1DE"/>
    <w:rPr>
      <w:rFonts w:ascii="Times New Roman" w:eastAsia="Times New Roman" w:hAnsi="Times New Roman" w:cs="Times New Roman"/>
      <w:sz w:val="24"/>
      <w:lang w:eastAsia="en-US"/>
    </w:rPr>
  </w:style>
  <w:style w:type="paragraph" w:styleId="List">
    <w:name w:val="List"/>
    <w:basedOn w:val="BodyText"/>
    <w:next w:val="BodyText"/>
    <w:rsid w:val="000751DE"/>
    <w:pPr>
      <w:tabs>
        <w:tab w:val="left" w:pos="340"/>
      </w:tabs>
      <w:spacing w:before="60" w:after="60"/>
      <w:ind w:left="340" w:hanging="340"/>
    </w:pPr>
  </w:style>
  <w:style w:type="paragraph" w:styleId="ListBullet">
    <w:name w:val="List Bullet"/>
    <w:basedOn w:val="List"/>
    <w:rsid w:val="000751DE"/>
    <w:pPr>
      <w:numPr>
        <w:numId w:val="12"/>
      </w:numPr>
      <w:tabs>
        <w:tab w:val="clear" w:pos="340"/>
      </w:tabs>
      <w:spacing w:before="40" w:after="40"/>
    </w:pPr>
  </w:style>
  <w:style w:type="character" w:customStyle="1" w:styleId="SpecialBold">
    <w:name w:val="Special Bold"/>
    <w:basedOn w:val="DefaultParagraphFont"/>
    <w:rsid w:val="000751DE"/>
    <w:rPr>
      <w:b/>
      <w:spacing w:val="0"/>
    </w:rPr>
  </w:style>
  <w:style w:type="paragraph" w:styleId="ListBullet2">
    <w:name w:val="List Bullet 2"/>
    <w:basedOn w:val="List2"/>
    <w:rsid w:val="000751DE"/>
    <w:pPr>
      <w:numPr>
        <w:numId w:val="13"/>
      </w:numPr>
      <w:tabs>
        <w:tab w:val="clear" w:pos="680"/>
      </w:tabs>
    </w:pPr>
  </w:style>
  <w:style w:type="paragraph" w:customStyle="1" w:styleId="SuperHeading">
    <w:name w:val="SuperHeading"/>
    <w:basedOn w:val="Normal"/>
    <w:rsid w:val="000751DE"/>
    <w:pPr>
      <w:spacing w:before="240" w:after="120"/>
      <w:outlineLvl w:val="0"/>
    </w:pPr>
    <w:rPr>
      <w:rFonts w:ascii="Times New Roman" w:hAnsi="Times New Roman"/>
      <w:b/>
      <w:sz w:val="32"/>
    </w:rPr>
  </w:style>
  <w:style w:type="paragraph" w:customStyle="1" w:styleId="AllowPageBreak">
    <w:name w:val="AllowPageBreak"/>
    <w:rsid w:val="000751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51DE"/>
    <w:rPr>
      <w:b/>
    </w:rPr>
  </w:style>
  <w:style w:type="character" w:customStyle="1" w:styleId="Heading2Char">
    <w:name w:val="Heading 2 Char"/>
    <w:basedOn w:val="DefaultParagraphFont"/>
    <w:link w:val="Heading2"/>
    <w:rsid w:val="00075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1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5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1DE"/>
    <w:rPr>
      <w:rFonts w:ascii="Courier New" w:eastAsia="Times New Roman" w:hAnsi="Courier New" w:cs="Times New Roman"/>
      <w:i/>
      <w:szCs w:val="20"/>
      <w:lang w:eastAsia="en-US"/>
    </w:rPr>
  </w:style>
  <w:style w:type="paragraph" w:customStyle="1" w:styleId="HeadingBase">
    <w:name w:val="Heading Base"/>
    <w:rsid w:val="00075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1DE"/>
    <w:pPr>
      <w:tabs>
        <w:tab w:val="right" w:leader="dot" w:pos="9072"/>
      </w:tabs>
      <w:ind w:left="567"/>
    </w:pPr>
    <w:rPr>
      <w:szCs w:val="22"/>
    </w:rPr>
  </w:style>
  <w:style w:type="paragraph" w:customStyle="1" w:styleId="TOCBase">
    <w:name w:val="TOC Base"/>
    <w:rsid w:val="00075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1DE"/>
    <w:pPr>
      <w:tabs>
        <w:tab w:val="right" w:leader="dot" w:pos="9072"/>
      </w:tabs>
      <w:spacing w:before="40" w:after="40"/>
      <w:ind w:left="284"/>
    </w:pPr>
    <w:rPr>
      <w:rFonts w:ascii="Times New Roman" w:hAnsi="Times New Roman"/>
    </w:rPr>
  </w:style>
  <w:style w:type="paragraph" w:styleId="TOC1">
    <w:name w:val="toc 1"/>
    <w:basedOn w:val="TOCBase"/>
    <w:next w:val="Normal"/>
    <w:rsid w:val="00075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1DE"/>
    <w:rPr>
      <w:rFonts w:ascii="Times New Roman" w:eastAsia="Times New Roman" w:hAnsi="Times New Roman" w:cs="Times New Roman"/>
      <w:sz w:val="16"/>
      <w:lang w:eastAsia="en-US"/>
    </w:rPr>
  </w:style>
  <w:style w:type="paragraph" w:styleId="Title">
    <w:name w:val="Title"/>
    <w:basedOn w:val="HeadingBase"/>
    <w:link w:val="TitleChar"/>
    <w:qFormat/>
    <w:rsid w:val="000751DE"/>
    <w:pPr>
      <w:spacing w:before="5040"/>
      <w:jc w:val="center"/>
    </w:pPr>
    <w:rPr>
      <w:sz w:val="48"/>
      <w:szCs w:val="72"/>
      <w:lang w:val="en-US"/>
    </w:rPr>
  </w:style>
  <w:style w:type="character" w:customStyle="1" w:styleId="TitleChar">
    <w:name w:val="Title Char"/>
    <w:basedOn w:val="DefaultParagraphFont"/>
    <w:link w:val="Title"/>
    <w:rsid w:val="00075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1DE"/>
    <w:pPr>
      <w:tabs>
        <w:tab w:val="left" w:pos="3600"/>
        <w:tab w:val="left" w:pos="3958"/>
      </w:tabs>
    </w:pPr>
  </w:style>
  <w:style w:type="paragraph" w:customStyle="1" w:styleId="Note">
    <w:name w:val="Note"/>
    <w:basedOn w:val="BodyText"/>
    <w:rsid w:val="00075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1DE"/>
    <w:pPr>
      <w:framePr w:wrap="auto" w:hAnchor="text" w:y="6049"/>
    </w:pPr>
    <w:rPr>
      <w:color w:val="000000"/>
      <w:sz w:val="40"/>
    </w:rPr>
  </w:style>
  <w:style w:type="paragraph" w:customStyle="1" w:styleId="TOCTitle">
    <w:name w:val="TOCTitle"/>
    <w:basedOn w:val="Heading1"/>
    <w:rsid w:val="000751DE"/>
    <w:pPr>
      <w:spacing w:after="240"/>
      <w:jc w:val="center"/>
      <w:outlineLvl w:val="9"/>
    </w:pPr>
    <w:rPr>
      <w:caps/>
    </w:rPr>
  </w:style>
  <w:style w:type="paragraph" w:customStyle="1" w:styleId="Version">
    <w:name w:val="Version"/>
    <w:rsid w:val="00075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1DE"/>
    <w:pPr>
      <w:keepNext w:val="0"/>
      <w:tabs>
        <w:tab w:val="right" w:pos="4176"/>
      </w:tabs>
      <w:ind w:left="198" w:hanging="198"/>
    </w:pPr>
    <w:rPr>
      <w:rFonts w:ascii="Garamond" w:hAnsi="Garamond"/>
    </w:rPr>
  </w:style>
  <w:style w:type="paragraph" w:styleId="IndexHeading">
    <w:name w:val="index heading"/>
    <w:basedOn w:val="Normal"/>
    <w:next w:val="Index1"/>
    <w:semiHidden/>
    <w:rsid w:val="000751DE"/>
    <w:pPr>
      <w:spacing w:before="120" w:after="120"/>
    </w:pPr>
    <w:rPr>
      <w:rFonts w:ascii="Arial" w:hAnsi="Arial"/>
      <w:b/>
      <w:color w:val="918585"/>
      <w:sz w:val="24"/>
    </w:rPr>
  </w:style>
  <w:style w:type="paragraph" w:styleId="Header">
    <w:name w:val="header"/>
    <w:basedOn w:val="Normal"/>
    <w:link w:val="HeaderChar"/>
    <w:rsid w:val="00075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1DE"/>
    <w:rPr>
      <w:rFonts w:ascii="Times New Roman" w:eastAsia="Times New Roman" w:hAnsi="Times New Roman" w:cs="Times New Roman"/>
      <w:sz w:val="16"/>
      <w:szCs w:val="20"/>
      <w:lang w:val="en-GB" w:eastAsia="en-US"/>
    </w:rPr>
  </w:style>
  <w:style w:type="paragraph" w:customStyle="1" w:styleId="Chapter">
    <w:name w:val="Chapter"/>
    <w:basedOn w:val="Normal"/>
    <w:rsid w:val="000751DE"/>
    <w:pPr>
      <w:spacing w:before="240"/>
    </w:pPr>
    <w:rPr>
      <w:rFonts w:ascii="Times New Roman" w:hAnsi="Times New Roman"/>
      <w:smallCaps/>
      <w:spacing w:val="80"/>
      <w:sz w:val="28"/>
    </w:rPr>
  </w:style>
  <w:style w:type="paragraph" w:customStyle="1" w:styleId="InChapter">
    <w:name w:val="InChapter"/>
    <w:basedOn w:val="Heading3"/>
    <w:rsid w:val="000751DE"/>
    <w:pPr>
      <w:spacing w:after="240"/>
      <w:outlineLvl w:val="9"/>
    </w:pPr>
    <w:rPr>
      <w:noProof/>
    </w:rPr>
  </w:style>
  <w:style w:type="paragraph" w:styleId="Index2">
    <w:name w:val="index 2"/>
    <w:basedOn w:val="Normal"/>
    <w:next w:val="Normal"/>
    <w:semiHidden/>
    <w:rsid w:val="000751DE"/>
    <w:pPr>
      <w:tabs>
        <w:tab w:val="right" w:pos="4176"/>
      </w:tabs>
      <w:ind w:left="568" w:hanging="284"/>
    </w:pPr>
    <w:rPr>
      <w:rFonts w:ascii="Garamond" w:hAnsi="Garamond"/>
    </w:rPr>
  </w:style>
  <w:style w:type="paragraph" w:customStyle="1" w:styleId="Byline">
    <w:name w:val="Byline"/>
    <w:rsid w:val="00075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1DE"/>
    <w:pPr>
      <w:tabs>
        <w:tab w:val="clear" w:pos="3600"/>
        <w:tab w:val="clear" w:pos="3958"/>
      </w:tabs>
      <w:jc w:val="right"/>
    </w:pPr>
  </w:style>
  <w:style w:type="character" w:styleId="Emphasis">
    <w:name w:val="Emphasis"/>
    <w:basedOn w:val="DefaultParagraphFont"/>
    <w:qFormat/>
    <w:rsid w:val="000751DE"/>
    <w:rPr>
      <w:i/>
    </w:rPr>
  </w:style>
  <w:style w:type="paragraph" w:styleId="Caption">
    <w:name w:val="caption"/>
    <w:basedOn w:val="BodyText"/>
    <w:next w:val="Normal"/>
    <w:qFormat/>
    <w:rsid w:val="000751DE"/>
    <w:pPr>
      <w:framePr w:w="2268" w:hSpace="181" w:vSpace="181" w:wrap="around" w:vAnchor="text" w:hAnchor="page" w:x="1135" w:y="285" w:anchorLock="1"/>
    </w:pPr>
    <w:rPr>
      <w:i/>
    </w:rPr>
  </w:style>
  <w:style w:type="paragraph" w:customStyle="1" w:styleId="MiniTOCTitle">
    <w:name w:val="MiniTOCTitle"/>
    <w:basedOn w:val="Heading4"/>
    <w:rsid w:val="000751DE"/>
    <w:pPr>
      <w:spacing w:before="240"/>
      <w:outlineLvl w:val="9"/>
    </w:pPr>
    <w:rPr>
      <w:noProof/>
      <w:sz w:val="24"/>
    </w:rPr>
  </w:style>
  <w:style w:type="paragraph" w:customStyle="1" w:styleId="MiniTOCItem">
    <w:name w:val="MiniTOCItem"/>
    <w:basedOn w:val="ListBullet"/>
    <w:rsid w:val="000751DE"/>
    <w:pPr>
      <w:numPr>
        <w:numId w:val="0"/>
      </w:numPr>
      <w:tabs>
        <w:tab w:val="right" w:leader="dot" w:pos="6521"/>
      </w:tabs>
      <w:spacing w:before="0" w:after="0"/>
    </w:pPr>
  </w:style>
  <w:style w:type="paragraph" w:customStyle="1" w:styleId="TOFTitle">
    <w:name w:val="TOFTitle"/>
    <w:basedOn w:val="TOCTitle"/>
    <w:rsid w:val="000751DE"/>
  </w:style>
  <w:style w:type="paragraph" w:styleId="TableofFigures">
    <w:name w:val="table of figures"/>
    <w:basedOn w:val="Normal"/>
    <w:next w:val="Normal"/>
    <w:semiHidden/>
    <w:rsid w:val="000751DE"/>
    <w:pPr>
      <w:tabs>
        <w:tab w:val="right" w:leader="dot" w:pos="9072"/>
      </w:tabs>
      <w:ind w:left="970" w:hanging="403"/>
    </w:pPr>
    <w:rPr>
      <w:rFonts w:ascii="Times New Roman" w:hAnsi="Times New Roman"/>
      <w:b/>
    </w:rPr>
  </w:style>
  <w:style w:type="paragraph" w:styleId="ListNumber">
    <w:name w:val="List Number"/>
    <w:basedOn w:val="List"/>
    <w:rsid w:val="000751DE"/>
    <w:pPr>
      <w:numPr>
        <w:numId w:val="15"/>
      </w:numPr>
      <w:tabs>
        <w:tab w:val="clear" w:pos="340"/>
      </w:tabs>
    </w:pPr>
  </w:style>
  <w:style w:type="character" w:customStyle="1" w:styleId="WingdingSymbols">
    <w:name w:val="Wingding Symbols"/>
    <w:rsid w:val="000751DE"/>
    <w:rPr>
      <w:rFonts w:ascii="Wingdings" w:hAnsi="Wingdings"/>
    </w:rPr>
  </w:style>
  <w:style w:type="paragraph" w:customStyle="1" w:styleId="TableHeading">
    <w:name w:val="Table Heading"/>
    <w:basedOn w:val="HeadingBase"/>
    <w:rsid w:val="000751DE"/>
    <w:pPr>
      <w:keepLines/>
      <w:pBdr>
        <w:bottom w:val="single" w:sz="6" w:space="1" w:color="918585"/>
      </w:pBdr>
      <w:spacing w:before="240"/>
    </w:pPr>
  </w:style>
  <w:style w:type="character" w:customStyle="1" w:styleId="HotSpot">
    <w:name w:val="HotSpot"/>
    <w:rsid w:val="000751DE"/>
    <w:rPr>
      <w:color w:val="0033CC"/>
      <w:u w:val="none"/>
    </w:rPr>
  </w:style>
  <w:style w:type="paragraph" w:customStyle="1" w:styleId="BodyTextRight">
    <w:name w:val="Body Text Right"/>
    <w:basedOn w:val="BodyText"/>
    <w:rsid w:val="000751DE"/>
    <w:pPr>
      <w:spacing w:before="0" w:after="0"/>
      <w:jc w:val="right"/>
    </w:pPr>
  </w:style>
  <w:style w:type="paragraph" w:styleId="Index3">
    <w:name w:val="index 3"/>
    <w:basedOn w:val="ListNumber2"/>
    <w:next w:val="Normal"/>
    <w:semiHidden/>
    <w:rsid w:val="000751DE"/>
    <w:pPr>
      <w:numPr>
        <w:numId w:val="0"/>
      </w:numPr>
      <w:tabs>
        <w:tab w:val="right" w:leader="dot" w:pos="4176"/>
      </w:tabs>
    </w:pPr>
  </w:style>
  <w:style w:type="paragraph" w:styleId="ListNumber2">
    <w:name w:val="List Number 2"/>
    <w:basedOn w:val="List2"/>
    <w:rsid w:val="000751DE"/>
    <w:pPr>
      <w:numPr>
        <w:numId w:val="10"/>
      </w:numPr>
      <w:tabs>
        <w:tab w:val="clear" w:pos="1060"/>
      </w:tabs>
    </w:pPr>
  </w:style>
  <w:style w:type="paragraph" w:customStyle="1" w:styleId="MarginNote">
    <w:name w:val="Margin Note"/>
    <w:basedOn w:val="BodyText"/>
    <w:rsid w:val="00075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1DE"/>
    <w:rPr>
      <w:sz w:val="32"/>
    </w:rPr>
  </w:style>
  <w:style w:type="paragraph" w:customStyle="1" w:styleId="HeadingProcedure">
    <w:name w:val="Heading Procedure"/>
    <w:basedOn w:val="HeadingBase"/>
    <w:next w:val="Normal"/>
    <w:rsid w:val="000751DE"/>
    <w:pPr>
      <w:tabs>
        <w:tab w:val="left" w:pos="0"/>
      </w:tabs>
      <w:spacing w:before="120" w:after="60"/>
    </w:pPr>
    <w:rPr>
      <w:i/>
      <w:color w:val="918585"/>
      <w:sz w:val="22"/>
    </w:rPr>
  </w:style>
  <w:style w:type="paragraph" w:customStyle="1" w:styleId="TableBodyText">
    <w:name w:val="Table Body Text"/>
    <w:basedOn w:val="BodyText"/>
    <w:rsid w:val="000751DE"/>
    <w:pPr>
      <w:spacing w:before="60" w:after="60"/>
    </w:pPr>
  </w:style>
  <w:style w:type="paragraph" w:styleId="ListContinue">
    <w:name w:val="List Continue"/>
    <w:basedOn w:val="List"/>
    <w:rsid w:val="000751DE"/>
    <w:pPr>
      <w:ind w:firstLine="0"/>
    </w:pPr>
  </w:style>
  <w:style w:type="paragraph" w:customStyle="1" w:styleId="ListNote">
    <w:name w:val="List Note"/>
    <w:basedOn w:val="List"/>
    <w:rsid w:val="000751DE"/>
    <w:pPr>
      <w:pBdr>
        <w:top w:val="single" w:sz="6" w:space="2" w:color="918585"/>
        <w:bottom w:val="single" w:sz="6" w:space="2" w:color="918585"/>
      </w:pBdr>
      <w:tabs>
        <w:tab w:val="left" w:pos="1021"/>
      </w:tabs>
      <w:ind w:firstLine="0"/>
    </w:pPr>
  </w:style>
  <w:style w:type="paragraph" w:customStyle="1" w:styleId="Warning">
    <w:name w:val="Warning"/>
    <w:basedOn w:val="BodyText"/>
    <w:rsid w:val="000751DE"/>
    <w:pPr>
      <w:shd w:val="clear" w:color="auto" w:fill="D9D9D9"/>
      <w:tabs>
        <w:tab w:val="left" w:pos="992"/>
      </w:tabs>
      <w:ind w:left="119" w:right="119"/>
    </w:pPr>
    <w:rPr>
      <w:sz w:val="20"/>
    </w:rPr>
  </w:style>
  <w:style w:type="paragraph" w:customStyle="1" w:styleId="MarginIcons">
    <w:name w:val="Margin Icons"/>
    <w:basedOn w:val="BodyText"/>
    <w:rsid w:val="00075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1DE"/>
    <w:rPr>
      <w:rFonts w:ascii="Courier New" w:hAnsi="Courier New"/>
    </w:rPr>
  </w:style>
  <w:style w:type="paragraph" w:customStyle="1" w:styleId="NoteBullet">
    <w:name w:val="Note Bullet"/>
    <w:basedOn w:val="Note"/>
    <w:rsid w:val="000751DE"/>
    <w:pPr>
      <w:tabs>
        <w:tab w:val="clear" w:pos="680"/>
      </w:tabs>
      <w:spacing w:before="60" w:after="60"/>
    </w:pPr>
  </w:style>
  <w:style w:type="paragraph" w:customStyle="1" w:styleId="SubHeading2">
    <w:name w:val="SubHeading2"/>
    <w:basedOn w:val="HeadingBase"/>
    <w:rsid w:val="000751DE"/>
    <w:pPr>
      <w:spacing w:before="240" w:after="60"/>
    </w:pPr>
    <w:rPr>
      <w:sz w:val="20"/>
    </w:rPr>
  </w:style>
  <w:style w:type="paragraph" w:customStyle="1" w:styleId="SubHeading1">
    <w:name w:val="SubHeading1"/>
    <w:basedOn w:val="HeadingBase"/>
    <w:rsid w:val="000751DE"/>
    <w:pPr>
      <w:spacing w:before="240" w:after="60"/>
    </w:pPr>
    <w:rPr>
      <w:color w:val="918585"/>
      <w:sz w:val="22"/>
    </w:rPr>
  </w:style>
  <w:style w:type="paragraph" w:customStyle="1" w:styleId="SideHeading">
    <w:name w:val="Side Heading"/>
    <w:basedOn w:val="HeadingBase"/>
    <w:rsid w:val="00075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1DE"/>
    <w:pPr>
      <w:tabs>
        <w:tab w:val="num" w:pos="360"/>
      </w:tabs>
    </w:pPr>
  </w:style>
  <w:style w:type="paragraph" w:styleId="PlainText">
    <w:name w:val="Plain Text"/>
    <w:basedOn w:val="Normal"/>
    <w:link w:val="PlainTextChar"/>
    <w:rsid w:val="000751DE"/>
    <w:rPr>
      <w:sz w:val="20"/>
    </w:rPr>
  </w:style>
  <w:style w:type="character" w:customStyle="1" w:styleId="PlainTextChar">
    <w:name w:val="Plain Text Char"/>
    <w:basedOn w:val="DefaultParagraphFont"/>
    <w:link w:val="PlainText"/>
    <w:rsid w:val="000751DE"/>
    <w:rPr>
      <w:rFonts w:ascii="Courier New" w:eastAsia="Times New Roman" w:hAnsi="Courier New" w:cs="Times New Roman"/>
      <w:sz w:val="20"/>
      <w:szCs w:val="20"/>
      <w:lang w:eastAsia="en-US"/>
    </w:rPr>
  </w:style>
  <w:style w:type="character" w:customStyle="1" w:styleId="MenuOption">
    <w:name w:val="Menu Option"/>
    <w:basedOn w:val="DefaultParagraphFont"/>
    <w:rsid w:val="000751DE"/>
    <w:rPr>
      <w:b/>
      <w:smallCaps/>
    </w:rPr>
  </w:style>
  <w:style w:type="paragraph" w:customStyle="1" w:styleId="TableListNumber">
    <w:name w:val="Table List Number"/>
    <w:basedOn w:val="ListNumber"/>
    <w:rsid w:val="000751DE"/>
    <w:pPr>
      <w:numPr>
        <w:numId w:val="0"/>
      </w:numPr>
    </w:pPr>
  </w:style>
  <w:style w:type="paragraph" w:styleId="TOC4">
    <w:name w:val="toc 4"/>
    <w:basedOn w:val="TOCBase"/>
    <w:next w:val="Normal"/>
    <w:semiHidden/>
    <w:rsid w:val="000751DE"/>
    <w:pPr>
      <w:tabs>
        <w:tab w:val="right" w:leader="dot" w:pos="9071"/>
      </w:tabs>
      <w:ind w:left="1701"/>
    </w:pPr>
  </w:style>
  <w:style w:type="paragraph" w:customStyle="1" w:styleId="ListAlpha">
    <w:name w:val="List Alpha"/>
    <w:basedOn w:val="List"/>
    <w:rsid w:val="000751DE"/>
    <w:pPr>
      <w:numPr>
        <w:numId w:val="9"/>
      </w:numPr>
    </w:pPr>
  </w:style>
  <w:style w:type="paragraph" w:customStyle="1" w:styleId="ListAlpha2">
    <w:name w:val="List Alpha 2"/>
    <w:basedOn w:val="List2"/>
    <w:rsid w:val="000751DE"/>
    <w:pPr>
      <w:numPr>
        <w:numId w:val="8"/>
      </w:numPr>
    </w:pPr>
  </w:style>
  <w:style w:type="paragraph" w:styleId="List2">
    <w:name w:val="List 2"/>
    <w:basedOn w:val="BodyText"/>
    <w:rsid w:val="000751DE"/>
    <w:pPr>
      <w:tabs>
        <w:tab w:val="left" w:pos="680"/>
      </w:tabs>
      <w:spacing w:before="60" w:after="60"/>
      <w:ind w:left="680" w:hanging="340"/>
    </w:pPr>
  </w:style>
  <w:style w:type="paragraph" w:styleId="List3">
    <w:name w:val="List 3"/>
    <w:basedOn w:val="BodyText"/>
    <w:rsid w:val="000751DE"/>
    <w:pPr>
      <w:tabs>
        <w:tab w:val="left" w:pos="1021"/>
      </w:tabs>
      <w:spacing w:before="60" w:after="60"/>
      <w:ind w:left="1020" w:hanging="340"/>
    </w:pPr>
  </w:style>
  <w:style w:type="paragraph" w:styleId="List4">
    <w:name w:val="List 4"/>
    <w:basedOn w:val="BodyText"/>
    <w:rsid w:val="000751DE"/>
    <w:pPr>
      <w:tabs>
        <w:tab w:val="left" w:pos="1361"/>
      </w:tabs>
      <w:spacing w:before="60" w:after="60"/>
      <w:ind w:left="1361" w:hanging="340"/>
    </w:pPr>
  </w:style>
  <w:style w:type="paragraph" w:styleId="List5">
    <w:name w:val="List 5"/>
    <w:basedOn w:val="BodyText"/>
    <w:rsid w:val="000751DE"/>
    <w:pPr>
      <w:tabs>
        <w:tab w:val="left" w:pos="1701"/>
      </w:tabs>
      <w:spacing w:before="60" w:after="60"/>
      <w:ind w:left="1701" w:hanging="340"/>
    </w:pPr>
  </w:style>
  <w:style w:type="paragraph" w:styleId="ListBullet3">
    <w:name w:val="List Bullet 3"/>
    <w:basedOn w:val="List3"/>
    <w:rsid w:val="000751DE"/>
    <w:pPr>
      <w:numPr>
        <w:numId w:val="14"/>
      </w:numPr>
      <w:tabs>
        <w:tab w:val="clear" w:pos="1021"/>
      </w:tabs>
      <w:ind w:left="1037" w:hanging="357"/>
    </w:pPr>
  </w:style>
  <w:style w:type="paragraph" w:styleId="ListBullet4">
    <w:name w:val="List Bullet 4"/>
    <w:basedOn w:val="List4"/>
    <w:rsid w:val="000751DE"/>
    <w:pPr>
      <w:numPr>
        <w:numId w:val="3"/>
      </w:numPr>
      <w:tabs>
        <w:tab w:val="clear" w:pos="1361"/>
      </w:tabs>
    </w:pPr>
  </w:style>
  <w:style w:type="paragraph" w:styleId="ListBullet5">
    <w:name w:val="List Bullet 5"/>
    <w:basedOn w:val="List5"/>
    <w:rsid w:val="000751DE"/>
    <w:pPr>
      <w:numPr>
        <w:numId w:val="4"/>
      </w:numPr>
    </w:pPr>
  </w:style>
  <w:style w:type="paragraph" w:styleId="ListContinue2">
    <w:name w:val="List Continue 2"/>
    <w:basedOn w:val="List2"/>
    <w:rsid w:val="000751DE"/>
    <w:pPr>
      <w:ind w:firstLine="0"/>
    </w:pPr>
  </w:style>
  <w:style w:type="paragraph" w:styleId="ListContinue3">
    <w:name w:val="List Continue 3"/>
    <w:basedOn w:val="List3"/>
    <w:rsid w:val="000751DE"/>
    <w:pPr>
      <w:ind w:left="1021" w:firstLine="0"/>
    </w:pPr>
  </w:style>
  <w:style w:type="paragraph" w:styleId="ListContinue4">
    <w:name w:val="List Continue 4"/>
    <w:basedOn w:val="List4"/>
    <w:rsid w:val="000751DE"/>
    <w:pPr>
      <w:ind w:firstLine="0"/>
    </w:pPr>
  </w:style>
  <w:style w:type="paragraph" w:styleId="ListContinue5">
    <w:name w:val="List Continue 5"/>
    <w:basedOn w:val="List5"/>
    <w:rsid w:val="000751DE"/>
    <w:pPr>
      <w:ind w:firstLine="0"/>
    </w:pPr>
  </w:style>
  <w:style w:type="paragraph" w:styleId="ListNumber3">
    <w:name w:val="List Number 3"/>
    <w:basedOn w:val="List3"/>
    <w:rsid w:val="000751DE"/>
    <w:pPr>
      <w:numPr>
        <w:numId w:val="5"/>
      </w:numPr>
    </w:pPr>
  </w:style>
  <w:style w:type="paragraph" w:styleId="ListNumber4">
    <w:name w:val="List Number 4"/>
    <w:basedOn w:val="List4"/>
    <w:rsid w:val="000751DE"/>
    <w:pPr>
      <w:numPr>
        <w:numId w:val="6"/>
      </w:numPr>
    </w:pPr>
  </w:style>
  <w:style w:type="paragraph" w:styleId="ListNumber5">
    <w:name w:val="List Number 5"/>
    <w:basedOn w:val="List5"/>
    <w:rsid w:val="000751DE"/>
    <w:pPr>
      <w:numPr>
        <w:numId w:val="7"/>
      </w:numPr>
    </w:pPr>
  </w:style>
  <w:style w:type="paragraph" w:styleId="BlockText">
    <w:name w:val="Block Text"/>
    <w:basedOn w:val="Normal"/>
    <w:rsid w:val="000751DE"/>
    <w:pPr>
      <w:spacing w:after="120"/>
      <w:ind w:left="1440" w:right="1440"/>
    </w:pPr>
  </w:style>
  <w:style w:type="character" w:customStyle="1" w:styleId="Subscript">
    <w:name w:val="Subscript"/>
    <w:basedOn w:val="DefaultParagraphFont"/>
    <w:rsid w:val="000751DE"/>
    <w:rPr>
      <w:sz w:val="16"/>
      <w:vertAlign w:val="subscript"/>
    </w:rPr>
  </w:style>
  <w:style w:type="character" w:customStyle="1" w:styleId="Superscript">
    <w:name w:val="Superscript"/>
    <w:basedOn w:val="DefaultParagraphFont"/>
    <w:rsid w:val="000751DE"/>
    <w:rPr>
      <w:sz w:val="16"/>
      <w:vertAlign w:val="superscript"/>
    </w:rPr>
  </w:style>
  <w:style w:type="character" w:customStyle="1" w:styleId="Symbols">
    <w:name w:val="Symbols"/>
    <w:basedOn w:val="DefaultParagraphFont"/>
    <w:rsid w:val="000751DE"/>
    <w:rPr>
      <w:rFonts w:ascii="Symbol" w:hAnsi="Symbol"/>
    </w:rPr>
  </w:style>
  <w:style w:type="character" w:customStyle="1" w:styleId="MenuOptions">
    <w:name w:val="Menu Options"/>
    <w:basedOn w:val="DefaultParagraphFont"/>
    <w:rsid w:val="000751DE"/>
    <w:rPr>
      <w:rFonts w:ascii="Arial Narrow" w:hAnsi="Arial Narrow"/>
      <w:smallCaps/>
    </w:rPr>
  </w:style>
  <w:style w:type="character" w:customStyle="1" w:styleId="Buttons">
    <w:name w:val="Buttons"/>
    <w:basedOn w:val="DefaultParagraphFont"/>
    <w:rsid w:val="000751DE"/>
    <w:rPr>
      <w:b/>
    </w:rPr>
  </w:style>
  <w:style w:type="character" w:customStyle="1" w:styleId="Underlined">
    <w:name w:val="Underlined"/>
    <w:basedOn w:val="DefaultParagraphFont"/>
    <w:rsid w:val="000751DE"/>
    <w:rPr>
      <w:u w:val="single"/>
    </w:rPr>
  </w:style>
  <w:style w:type="paragraph" w:customStyle="1" w:styleId="TableBodyTextRight">
    <w:name w:val="Table Body Text Right"/>
    <w:basedOn w:val="TableBodyText"/>
    <w:rsid w:val="000751DE"/>
    <w:pPr>
      <w:widowControl w:val="0"/>
      <w:autoSpaceDE w:val="0"/>
      <w:autoSpaceDN w:val="0"/>
      <w:adjustRightInd w:val="0"/>
      <w:jc w:val="right"/>
    </w:pPr>
    <w:rPr>
      <w:rFonts w:cs="Arial"/>
      <w:szCs w:val="18"/>
    </w:rPr>
  </w:style>
  <w:style w:type="paragraph" w:customStyle="1" w:styleId="CopyrightText">
    <w:name w:val="Copyright Text"/>
    <w:basedOn w:val="BodyText"/>
    <w:rsid w:val="000751DE"/>
    <w:rPr>
      <w:sz w:val="18"/>
    </w:rPr>
  </w:style>
  <w:style w:type="paragraph" w:customStyle="1" w:styleId="BodySmallRight">
    <w:name w:val="Body Small Right"/>
    <w:basedOn w:val="BodyTextRight"/>
    <w:rsid w:val="000751DE"/>
    <w:rPr>
      <w:sz w:val="18"/>
      <w:szCs w:val="18"/>
    </w:rPr>
  </w:style>
  <w:style w:type="paragraph" w:customStyle="1" w:styleId="MarginEdition">
    <w:name w:val="Margin Edition"/>
    <w:basedOn w:val="MarginNote"/>
    <w:rsid w:val="000751DE"/>
    <w:pPr>
      <w:spacing w:before="0" w:after="0"/>
    </w:pPr>
    <w:rPr>
      <w:rFonts w:ascii="Times New Roman" w:hAnsi="Times New Roman"/>
      <w:color w:val="999999"/>
    </w:rPr>
  </w:style>
  <w:style w:type="paragraph" w:customStyle="1" w:styleId="Spacer">
    <w:name w:val="Spacer"/>
    <w:basedOn w:val="Normal"/>
    <w:rsid w:val="000751DE"/>
    <w:rPr>
      <w:sz w:val="2"/>
      <w:szCs w:val="2"/>
    </w:rPr>
  </w:style>
  <w:style w:type="character" w:customStyle="1" w:styleId="Small">
    <w:name w:val="Small"/>
    <w:basedOn w:val="DefaultParagraphFont"/>
    <w:rsid w:val="000751DE"/>
    <w:rPr>
      <w:sz w:val="16"/>
    </w:rPr>
  </w:style>
  <w:style w:type="paragraph" w:customStyle="1" w:styleId="WideTable">
    <w:name w:val="Wide Table"/>
    <w:basedOn w:val="Normal"/>
    <w:rsid w:val="000751DE"/>
    <w:pPr>
      <w:ind w:left="-1418"/>
    </w:pPr>
    <w:rPr>
      <w:sz w:val="2"/>
      <w:szCs w:val="2"/>
    </w:rPr>
  </w:style>
  <w:style w:type="character" w:styleId="PageNumber">
    <w:name w:val="page number"/>
    <w:basedOn w:val="DefaultParagraphFont"/>
    <w:rsid w:val="000751DE"/>
  </w:style>
  <w:style w:type="paragraph" w:styleId="Quote">
    <w:name w:val="Quote"/>
    <w:basedOn w:val="Heading1"/>
    <w:link w:val="QuoteChar"/>
    <w:qFormat/>
    <w:rsid w:val="000751DE"/>
    <w:rPr>
      <w:b w:val="0"/>
      <w:sz w:val="72"/>
      <w:szCs w:val="72"/>
      <w:lang w:val="en-NZ"/>
    </w:rPr>
  </w:style>
  <w:style w:type="character" w:customStyle="1" w:styleId="QuoteChar">
    <w:name w:val="Quote Char"/>
    <w:basedOn w:val="DefaultParagraphFont"/>
    <w:link w:val="Quote"/>
    <w:rsid w:val="00075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1DE"/>
    <w:pPr>
      <w:pageBreakBefore/>
    </w:pPr>
  </w:style>
  <w:style w:type="paragraph" w:customStyle="1" w:styleId="Border">
    <w:name w:val="Border"/>
    <w:basedOn w:val="Normal"/>
    <w:qFormat/>
    <w:rsid w:val="00075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1DE"/>
    <w:rPr>
      <w:b/>
      <w:bCs/>
      <w:i/>
      <w:iCs/>
      <w:color w:val="auto"/>
    </w:rPr>
  </w:style>
  <w:style w:type="paragraph" w:styleId="IntenseQuote">
    <w:name w:val="Intense Quote"/>
    <w:basedOn w:val="Normal"/>
    <w:next w:val="Normal"/>
    <w:link w:val="IntenseQuoteChar"/>
    <w:uiPriority w:val="30"/>
    <w:qFormat/>
    <w:rsid w:val="00075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1DE"/>
    <w:rPr>
      <w:smallCaps/>
      <w:color w:val="auto"/>
      <w:u w:val="single"/>
    </w:rPr>
  </w:style>
  <w:style w:type="character" w:styleId="IntenseReference">
    <w:name w:val="Intense Reference"/>
    <w:basedOn w:val="DefaultParagraphFont"/>
    <w:uiPriority w:val="32"/>
    <w:qFormat/>
    <w:rsid w:val="000751DE"/>
    <w:rPr>
      <w:b/>
      <w:bCs/>
      <w:smallCaps/>
      <w:color w:val="auto"/>
      <w:spacing w:val="5"/>
      <w:u w:val="single"/>
    </w:rPr>
  </w:style>
  <w:style w:type="paragraph" w:customStyle="1" w:styleId="2ColumnHeading">
    <w:name w:val="2Column Heading"/>
    <w:basedOn w:val="BodyText"/>
    <w:qFormat/>
    <w:rsid w:val="000751DE"/>
    <w:pPr>
      <w:spacing w:after="60"/>
      <w:ind w:left="-2268"/>
    </w:pPr>
    <w:rPr>
      <w:b/>
    </w:rPr>
  </w:style>
  <w:style w:type="paragraph" w:customStyle="1" w:styleId="Heading1TOC">
    <w:name w:val="Heading1 TOC"/>
    <w:basedOn w:val="Normal"/>
    <w:qFormat/>
    <w:rsid w:val="000751DE"/>
    <w:pPr>
      <w:spacing w:before="240" w:after="120"/>
    </w:pPr>
    <w:rPr>
      <w:rFonts w:ascii="Times New Roman" w:hAnsi="Times New Roman"/>
      <w:b/>
      <w:sz w:val="32"/>
    </w:rPr>
  </w:style>
  <w:style w:type="paragraph" w:customStyle="1" w:styleId="Heading2TOC">
    <w:name w:val="Heading2 TOC"/>
    <w:basedOn w:val="Normal"/>
    <w:qFormat/>
    <w:rsid w:val="000751DE"/>
    <w:pPr>
      <w:spacing w:before="240" w:after="60"/>
    </w:pPr>
    <w:rPr>
      <w:rFonts w:ascii="Times New Roman" w:hAnsi="Times New Roman"/>
      <w:b/>
      <w:sz w:val="28"/>
    </w:rPr>
  </w:style>
  <w:style w:type="character" w:customStyle="1" w:styleId="Underline">
    <w:name w:val="Underline"/>
    <w:basedOn w:val="DefaultParagraphFont"/>
    <w:qFormat/>
    <w:rsid w:val="000751DE"/>
    <w:rPr>
      <w:u w:val="single"/>
    </w:rPr>
  </w:style>
  <w:style w:type="character" w:customStyle="1" w:styleId="BoldandItalics">
    <w:name w:val="Bold and Italics"/>
    <w:qFormat/>
    <w:rsid w:val="000751DE"/>
    <w:rPr>
      <w:b/>
      <w:i/>
      <w:u w:val="none"/>
    </w:rPr>
  </w:style>
  <w:style w:type="paragraph" w:styleId="BalloonText">
    <w:name w:val="Balloon Text"/>
    <w:basedOn w:val="Normal"/>
    <w:link w:val="BalloonTextChar"/>
    <w:rsid w:val="000751DE"/>
    <w:rPr>
      <w:rFonts w:ascii="Tahoma" w:hAnsi="Tahoma" w:cs="Tahoma"/>
      <w:sz w:val="16"/>
      <w:szCs w:val="16"/>
    </w:rPr>
  </w:style>
  <w:style w:type="character" w:customStyle="1" w:styleId="BalloonTextChar">
    <w:name w:val="Balloon Text Char"/>
    <w:basedOn w:val="DefaultParagraphFont"/>
    <w:link w:val="BalloonText"/>
    <w:rsid w:val="00075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1DE"/>
    <w:rPr>
      <w:b/>
      <w:color w:val="660033"/>
      <w:spacing w:val="0"/>
    </w:rPr>
  </w:style>
  <w:style w:type="paragraph" w:customStyle="1" w:styleId="Nameditemlist">
    <w:name w:val="Named item list"/>
    <w:basedOn w:val="BodyText"/>
    <w:qFormat/>
    <w:rsid w:val="000751DE"/>
    <w:pPr>
      <w:tabs>
        <w:tab w:val="left" w:pos="2835"/>
      </w:tabs>
      <w:ind w:left="2835" w:hanging="2835"/>
    </w:pPr>
  </w:style>
  <w:style w:type="paragraph" w:customStyle="1" w:styleId="BodyTextnopadding">
    <w:name w:val="Body Text no padding"/>
    <w:basedOn w:val="BodyText"/>
    <w:qFormat/>
    <w:rsid w:val="000751DE"/>
    <w:pPr>
      <w:spacing w:before="0" w:after="0"/>
    </w:pPr>
  </w:style>
  <w:style w:type="character" w:styleId="Hyperlink">
    <w:name w:val="Hyperlink"/>
    <w:basedOn w:val="DefaultParagraphFont"/>
    <w:uiPriority w:val="99"/>
    <w:unhideWhenUsed/>
    <w:rsid w:val="00ED2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7875</Characters>
  <Application>Microsoft Office Word</Application>
  <DocSecurity>0</DocSecurity>
  <Lines>192</Lines>
  <Paragraphs>129</Paragraphs>
  <ScaleCrop>false</ScaleCrop>
  <Company>Author-it Software Corporation Ltd.</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RIIARO401 Supervise autonomous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