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3321" w:rsidP="00593321">
      <w:pPr>
        <w:pStyle w:val="Title"/>
      </w:pPr>
      <w:r>
        <w:fldChar w:fldCharType="begin"/>
      </w:r>
      <w:r>
        <w:instrText xml:space="preserve"> TITLE   \* MERGEFORMAT </w:instrText>
      </w:r>
      <w:r>
        <w:fldChar w:fldCharType="separate"/>
      </w:r>
      <w:r>
        <w:t>RII31615 Certificate III in Trenchless Technology</w:t>
      </w:r>
      <w:r>
        <w:fldChar w:fldCharType="end"/>
      </w:r>
    </w:p>
    <w:p w:rsidR="00593321" w:rsidP="00593321">
      <w:pPr>
        <w:pStyle w:val="Version"/>
        <w:sectPr w:rsidSect="003532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32AB" w:rsidP="003532AB">
      <w:pPr>
        <w:pStyle w:val="SuperHeading"/>
      </w:pPr>
      <w:r w:rsidRPr="003532AB">
        <w:t>RII31615 Certificate III in Trenchless Technology</w:t>
      </w:r>
    </w:p>
    <w:p w:rsidR="00000000" w:rsidRPr="003532AB" w:rsidP="003532AB">
      <w:pPr>
        <w:pStyle w:val="Heading1"/>
      </w:pPr>
      <w:bookmarkStart w:id="1" w:name="O_1017864"/>
      <w:bookmarkEnd w:id="1"/>
      <w:r w:rsidRPr="003532AB">
        <w:t>Modification History</w:t>
      </w:r>
    </w:p>
    <w:tbl>
      <w:tblPr>
        <w:tblW w:w="9330" w:type="dxa"/>
        <w:tblLayout w:type="fixed"/>
        <w:tblCellMar>
          <w:left w:w="62" w:type="dxa"/>
          <w:right w:w="62" w:type="dxa"/>
        </w:tblCellMar>
        <w:tblLook w:val="0000"/>
      </w:tblPr>
      <w:tblGrid>
        <w:gridCol w:w="973"/>
        <w:gridCol w:w="8357"/>
      </w:tblGrid>
      <w:tr w:rsidTr="00593321">
        <w:tblPrEx>
          <w:tblW w:w="9330" w:type="dxa"/>
          <w:tblLayout w:type="fixed"/>
          <w:tblCellMar>
            <w:left w:w="62" w:type="dxa"/>
            <w:right w:w="62" w:type="dxa"/>
          </w:tblCellMar>
          <w:tblLook w:val="0000"/>
        </w:tblPrEx>
        <w:tc>
          <w:tcPr>
            <w:tcW w:w="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AB">
            <w:pPr>
              <w:pStyle w:val="Heading4"/>
              <w:rPr>
                <w:lang w:val="en-NZ"/>
              </w:rPr>
            </w:pPr>
            <w:r w:rsidRPr="003532AB">
              <w:t>Release</w:t>
            </w:r>
          </w:p>
        </w:tc>
        <w:tc>
          <w:tcPr>
            <w:tcW w:w="8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AB">
            <w:pPr>
              <w:pStyle w:val="Heading4"/>
              <w:rPr>
                <w:lang w:val="en-NZ"/>
              </w:rPr>
            </w:pPr>
            <w:r w:rsidRPr="003532AB">
              <w:t>Comments</w:t>
            </w:r>
          </w:p>
        </w:tc>
      </w:tr>
      <w:tr w:rsidTr="00593321">
        <w:tblPrEx>
          <w:tblW w:w="9330" w:type="dxa"/>
          <w:tblLayout w:type="fixed"/>
          <w:tblCellMar>
            <w:left w:w="62" w:type="dxa"/>
            <w:right w:w="62" w:type="dxa"/>
          </w:tblCellMar>
          <w:tblLook w:val="0000"/>
        </w:tblPrEx>
        <w:trPr>
          <w:trHeight w:val="481"/>
        </w:trPr>
        <w:tc>
          <w:tcPr>
            <w:tcW w:w="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AB">
            <w:pPr>
              <w:pStyle w:val="BodyText"/>
              <w:rPr>
                <w:lang w:val="en-NZ"/>
              </w:rPr>
            </w:pPr>
            <w:r w:rsidRPr="003532AB">
              <w:t>1</w:t>
            </w:r>
          </w:p>
        </w:tc>
        <w:tc>
          <w:tcPr>
            <w:tcW w:w="8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AB">
            <w:pPr>
              <w:pStyle w:val="BodyText"/>
              <w:rPr>
                <w:lang w:val="en-NZ"/>
              </w:rPr>
            </w:pPr>
            <w:r w:rsidRPr="003532AB">
              <w:t>This qualification replaces RII31613 Certificate III in Trenchless Technology. Elective groups and packaging rules amended. RIICPL301D Install water mains pipelines, RIICPL302D Install stormwater systems, R</w:t>
            </w:r>
            <w:r w:rsidRPr="003532AB">
              <w:t>IICPL303D Install sewer pipelines and RIICPL304D Install pre-cast gully pits added to elective Group A. BSBDIV301 added to elective Group B. Updated codes of imported units. Added qualification mapping information.</w:t>
            </w:r>
          </w:p>
        </w:tc>
      </w:tr>
      <w:tr w:rsidTr="00593321">
        <w:tblPrEx>
          <w:tblW w:w="9330" w:type="dxa"/>
          <w:tblLayout w:type="fixed"/>
          <w:tblCellMar>
            <w:left w:w="62" w:type="dxa"/>
            <w:right w:w="62" w:type="dxa"/>
          </w:tblCellMar>
          <w:tblLook w:val="0000"/>
        </w:tblPrEx>
        <w:trPr>
          <w:trHeight w:val="481"/>
        </w:trPr>
        <w:tc>
          <w:tcPr>
            <w:tcW w:w="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AB">
            <w:pPr>
              <w:pStyle w:val="BodyText"/>
              <w:rPr>
                <w:lang w:val="en-NZ"/>
              </w:rPr>
            </w:pPr>
            <w:r w:rsidRPr="003532AB">
              <w:t>2</w:t>
            </w:r>
          </w:p>
        </w:tc>
        <w:tc>
          <w:tcPr>
            <w:tcW w:w="8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AB" w:rsidP="003532AB">
            <w:pPr>
              <w:pStyle w:val="BodyText"/>
            </w:pPr>
            <w:r w:rsidRPr="003532AB">
              <w:t>This version was released with RII Res</w:t>
            </w:r>
            <w:r w:rsidRPr="003532AB">
              <w:t>ources and Infrastructure Training Package version 3.0.</w:t>
            </w:r>
          </w:p>
        </w:tc>
      </w:tr>
    </w:tbl>
    <w:p w:rsidR="00000000" w:rsidRPr="003532AB" w:rsidP="003532AB">
      <w:pPr>
        <w:pStyle w:val="BodyText"/>
      </w:pPr>
    </w:p>
    <w:p w:rsidR="00000000" w:rsidRPr="003532AB" w:rsidP="003532AB">
      <w:pPr>
        <w:pStyle w:val="AllowPageBreak"/>
      </w:pPr>
    </w:p>
    <w:p w:rsidR="00000000" w:rsidRPr="003532AB" w:rsidP="003532AB">
      <w:pPr>
        <w:pStyle w:val="Heading1"/>
      </w:pPr>
      <w:bookmarkStart w:id="2" w:name="O_1017863"/>
      <w:bookmarkEnd w:id="2"/>
      <w:r w:rsidRPr="003532AB">
        <w:t>Qualification Description</w:t>
      </w:r>
    </w:p>
    <w:p w:rsidR="00000000" w:rsidRPr="003532AB" w:rsidP="00593321">
      <w:pPr>
        <w:pStyle w:val="BodyText"/>
      </w:pPr>
      <w:r w:rsidRPr="003532AB">
        <w:t xml:space="preserve">This qualification reflects the role of a skilled operator working in trenchless technology in the Civil construction industry, who applies a broad </w:t>
      </w:r>
      <w:r w:rsidRPr="003532AB">
        <w:t>range of skills in a varied work context, using some discretion and judgement and relevant theoretical knowledge. The individual may provide theoretical advice and support a team.</w:t>
      </w:r>
    </w:p>
    <w:p w:rsidR="00000000" w:rsidRPr="003532AB" w:rsidP="00593321">
      <w:pPr>
        <w:pStyle w:val="BodyText"/>
      </w:pPr>
      <w:r w:rsidRPr="003532AB">
        <w:t>Licensing, legislative, regulatory and certification requirements that apply</w:t>
      </w:r>
      <w:r w:rsidRPr="003532AB">
        <w:t xml:space="preserve"> to this qualification can vary between states, territories, and industry sectors. Relevant information must be sourced prior to application of the qualification.</w:t>
      </w:r>
    </w:p>
    <w:p w:rsidR="00000000" w:rsidRPr="003532AB" w:rsidP="003532AB">
      <w:pPr>
        <w:pStyle w:val="Heading1"/>
      </w:pPr>
      <w:bookmarkStart w:id="3" w:name="O_1017862"/>
      <w:bookmarkEnd w:id="3"/>
      <w:r w:rsidRPr="003532AB">
        <w:t>Entry Requirements</w:t>
      </w:r>
    </w:p>
    <w:p w:rsidR="00000000" w:rsidRPr="003532AB" w:rsidP="00593321">
      <w:pPr>
        <w:pStyle w:val="BodyText"/>
      </w:pPr>
      <w:r w:rsidRPr="003532AB">
        <w:t>There are no entry requirements for this qualification.</w:t>
      </w:r>
    </w:p>
    <w:p w:rsidR="00000000" w:rsidRPr="003532AB" w:rsidP="003532AB">
      <w:pPr>
        <w:pStyle w:val="Heading1"/>
      </w:pPr>
      <w:bookmarkStart w:id="4" w:name="O_1017861"/>
      <w:bookmarkEnd w:id="4"/>
      <w:r w:rsidRPr="003532AB">
        <w:t>Packaging Rules</w:t>
      </w:r>
    </w:p>
    <w:p w:rsidR="00000000" w:rsidRPr="003532AB" w:rsidP="00593321">
      <w:pPr>
        <w:pStyle w:val="BodyText"/>
      </w:pPr>
      <w:r w:rsidRPr="003532AB">
        <w:t>The following provides the packaging rules for this qualification, followed by the list of relevant units of competency.</w:t>
      </w:r>
    </w:p>
    <w:p w:rsidR="00000000" w:rsidRPr="003532AB" w:rsidP="00593321">
      <w:pPr>
        <w:pStyle w:val="Heading3"/>
      </w:pPr>
      <w:r w:rsidRPr="003532AB">
        <w:rPr>
          <w:rStyle w:val="SpecialBold"/>
        </w:rPr>
        <w:t>Total number of units = 26</w:t>
      </w:r>
    </w:p>
    <w:p w:rsidR="00000000" w:rsidRPr="003532AB" w:rsidP="00593321">
      <w:pPr>
        <w:pStyle w:val="List"/>
      </w:pPr>
      <w:r w:rsidRPr="003532AB">
        <w:rPr>
          <w:rStyle w:val="SpecialBold"/>
        </w:rPr>
        <w:t xml:space="preserve">18 core units </w:t>
      </w:r>
      <w:r w:rsidRPr="003532AB">
        <w:t>plus</w:t>
      </w:r>
    </w:p>
    <w:p w:rsidR="00000000" w:rsidRPr="003532AB" w:rsidP="00593321">
      <w:pPr>
        <w:pStyle w:val="List"/>
      </w:pPr>
      <w:r w:rsidRPr="003532AB">
        <w:rPr>
          <w:rStyle w:val="SpecialBold"/>
        </w:rPr>
        <w:t xml:space="preserve">8 elective units, </w:t>
      </w:r>
      <w:r w:rsidRPr="003532AB">
        <w:t>of which:</w:t>
      </w:r>
    </w:p>
    <w:p w:rsidR="00000000" w:rsidRPr="003532AB" w:rsidP="003532AB">
      <w:pPr>
        <w:pStyle w:val="ListBullet"/>
      </w:pPr>
      <w:r w:rsidRPr="003532AB">
        <w:t>at least four (4) must b</w:t>
      </w:r>
      <w:r w:rsidRPr="003532AB">
        <w:t>e chosen from Group A, of which at least one (1) must be a trenchless technology (RIICTT) unit</w:t>
      </w:r>
    </w:p>
    <w:p w:rsidR="00000000" w:rsidRPr="003532AB" w:rsidP="003532AB">
      <w:pPr>
        <w:pStyle w:val="ListBullet"/>
      </w:pPr>
      <w:r w:rsidRPr="003532AB">
        <w:t>at least one (1) must be chosen from Group B</w:t>
      </w:r>
    </w:p>
    <w:p w:rsidR="00000000" w:rsidRPr="003532AB" w:rsidP="003532AB">
      <w:pPr>
        <w:pStyle w:val="ListBullet"/>
      </w:pPr>
      <w:r w:rsidRPr="003532AB">
        <w:t>no more than three (3) may be chosen from elsewhere withi</w:t>
      </w:r>
      <w:r w:rsidRPr="003532AB">
        <w:t>n this training package, or from another endorsed training package, or from an accredited course.</w:t>
      </w:r>
    </w:p>
    <w:p w:rsidR="00000000" w:rsidRPr="003532AB" w:rsidP="00593321">
      <w:pPr>
        <w:pStyle w:val="BodyText"/>
      </w:pPr>
      <w:r w:rsidRPr="003532AB">
        <w:t>All elective units selected for this qualification must reflect current occupational and learning outcomes of this AQF qualification level.</w:t>
      </w:r>
    </w:p>
    <w:p w:rsidR="00000000" w:rsidRPr="003532AB" w:rsidP="00593321">
      <w:pPr>
        <w:pStyle w:val="BodyText"/>
      </w:pPr>
      <w:r w:rsidRPr="003532AB">
        <w:t>There are both lic</w:t>
      </w:r>
      <w:r w:rsidRPr="003532AB">
        <w:t>ensed and non-licensed units of competency relating to high risk work in the Resources and Infrastructure Industry Training Package. To be appointed under any statutory requirements in related roles, units of competency should be selected to meet the state</w:t>
      </w:r>
      <w:r w:rsidRPr="003532AB">
        <w:t>/territory licensing requirements.</w:t>
      </w:r>
    </w:p>
    <w:p w:rsidR="00000000" w:rsidRPr="003532AB" w:rsidP="00593321">
      <w:pPr>
        <w:pStyle w:val="BodyText"/>
      </w:pPr>
      <w:r w:rsidRPr="003532AB">
        <w:t>There are no prerequisites to imported units listed in this qualification. Where a unit is imported as an elective care must be taken to ensure that all prerequisites specified are complied with.</w:t>
      </w:r>
    </w:p>
    <w:tbl>
      <w:tblPr>
        <w:tblW w:w="0" w:type="auto"/>
        <w:tblLayout w:type="fixed"/>
        <w:tblCellMar>
          <w:left w:w="62" w:type="dxa"/>
          <w:right w:w="62" w:type="dxa"/>
        </w:tblCellMar>
        <w:tblLook w:val="0000"/>
      </w:tblPr>
      <w:tblGrid>
        <w:gridCol w:w="1918"/>
        <w:gridCol w:w="7154"/>
      </w:tblGrid>
      <w:tr w:rsidTr="003532A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AB">
            <w:pPr>
              <w:pStyle w:val="Heading4"/>
              <w:rPr>
                <w:lang w:val="en-NZ"/>
              </w:rPr>
            </w:pPr>
            <w:r w:rsidRPr="003532AB">
              <w:t>Core units of competency</w:t>
            </w:r>
            <w:r w:rsidRPr="003532AB">
              <w:t xml:space="preserve"> </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AB" w:rsidP="003532AB">
            <w:pPr>
              <w:pStyle w:val="BodyText"/>
            </w:pPr>
            <w:r w:rsidRPr="003532AB">
              <w:rPr>
                <w:rStyle w:val="BoldandItalics"/>
              </w:rPr>
              <w:t>Unit code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AB">
            <w:pPr>
              <w:pStyle w:val="BodyText"/>
              <w:rPr>
                <w:lang w:val="en-NZ"/>
              </w:rPr>
            </w:pPr>
            <w:r w:rsidRPr="003532AB">
              <w:rPr>
                <w:rStyle w:val="BoldandItalics"/>
              </w:rPr>
              <w:t>Unit title</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RIIBEF201D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Plan and organise work</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RIICCM201D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Carry out measurements and calculations</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RIICCM202D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Identify, locate and protect underground services</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RIICCM203D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Read and interpret plans and specifications</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RIICCM205E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Carry out manual excavation</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RIICCM206D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Support plant operations</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RIICCM207D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Spread and compact materials manually</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RIICCM208D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Carry out basic levelling</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RIICCM210D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Install trench support</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RIICOM201D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Communicate in the workplace</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RIICRC203D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Install sub-soil drainage</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RIIRIS201D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Conduct local risk control</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AB">
            <w:pPr>
              <w:pStyle w:val="TableBodyText"/>
              <w:rPr>
                <w:lang w:val="en-NZ"/>
              </w:rPr>
            </w:pPr>
            <w:r w:rsidRPr="003532AB">
              <w:t>RIISAM201D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Handle resources and infrastructure materials and safely dispose of nontoxic materials</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RIISAM203D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Use hand and power tools</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RIISAM204D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Operate small plant and equipment</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RIIWHS201D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Work safely and follow WHS policies and procedures</w:t>
            </w:r>
          </w:p>
        </w:tc>
      </w:tr>
      <w:tr w:rsidTr="003532AB">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RIIWMG203D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Drain and dewater civil construction site</w:t>
            </w:r>
          </w:p>
        </w:tc>
      </w:tr>
      <w:tr w:rsidTr="003532AB">
        <w:tblPrEx>
          <w:tblW w:w="0" w:type="auto"/>
          <w:tblLayout w:type="fixed"/>
          <w:tblCellMar>
            <w:left w:w="62" w:type="dxa"/>
            <w:right w:w="62" w:type="dxa"/>
          </w:tblCellMar>
          <w:tblLook w:val="0000"/>
        </w:tblPrEx>
        <w:trPr>
          <w:trHeight w:val="349"/>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RIIWMG301D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Control construction site water table</w:t>
            </w:r>
          </w:p>
        </w:tc>
      </w:tr>
      <w:tr w:rsidTr="003532AB">
        <w:tblPrEx>
          <w:tblW w:w="0" w:type="auto"/>
          <w:tblLayout w:type="fixed"/>
          <w:tblCellMar>
            <w:left w:w="62" w:type="dxa"/>
            <w:right w:w="62" w:type="dxa"/>
          </w:tblCellMar>
          <w:tblLook w:val="0000"/>
        </w:tblPrEx>
        <w:trPr>
          <w:trHeight w:val="435"/>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AB">
            <w:pPr>
              <w:pStyle w:val="Heading4"/>
              <w:rPr>
                <w:lang w:val="en-NZ"/>
              </w:rPr>
            </w:pPr>
            <w:r w:rsidRPr="003532AB">
              <w:t>Electives</w:t>
            </w:r>
          </w:p>
        </w:tc>
      </w:tr>
      <w:tr w:rsidTr="003532AB">
        <w:tblPrEx>
          <w:tblW w:w="0" w:type="auto"/>
          <w:tblLayout w:type="fixed"/>
          <w:tblCellMar>
            <w:left w:w="62" w:type="dxa"/>
            <w:right w:w="62" w:type="dxa"/>
          </w:tblCellMar>
          <w:tblLook w:val="0000"/>
        </w:tblPrEx>
        <w:trPr>
          <w:trHeight w:val="416"/>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AB">
            <w:pPr>
              <w:pStyle w:val="Heading4"/>
              <w:rPr>
                <w:lang w:val="en-NZ"/>
              </w:rPr>
            </w:pPr>
            <w:r w:rsidRPr="003532AB">
              <w:t>Group A</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AB" w:rsidP="003532AB">
            <w:pPr>
              <w:pStyle w:val="BodyText"/>
            </w:pPr>
            <w:r w:rsidRPr="003532AB">
              <w:rPr>
                <w:rStyle w:val="BoldandItalics"/>
              </w:rPr>
              <w:t>Unit code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AB">
            <w:pPr>
              <w:pStyle w:val="BodyText"/>
              <w:rPr>
                <w:lang w:val="en-NZ"/>
              </w:rPr>
            </w:pPr>
            <w:r w:rsidRPr="003532AB">
              <w:rPr>
                <w:rStyle w:val="BoldandItalics"/>
              </w:rPr>
              <w:t>Unit title</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NWPNET016</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Inspect sewer or stormwater line</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NWPNET017</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Supervise and report on conduit inspections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RIICPL301D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Install water mains pipelines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RIICPL302D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Install stormwater systems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RIICPL303D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Install sewer pipelines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RIICPL304D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Install pre-cast gully pits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RIICTT301D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Conduct fluid assisted directional boring</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RIICTT302D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Conduct impact moling, ramming and augering</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RIICTT303D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Control micro tunnelling and pipe-jacking</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RIICTT304D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Undertake on-line replacement for existing pipeline systems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RIICTT305D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 xml:space="preserve">Undertake localised </w:t>
            </w:r>
            <w:r w:rsidRPr="003532AB">
              <w:t>repair and sealing of existing pipeline systems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RIICTT306D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Install cure in-place linings for existing pipeline systems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RIICTT307D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Spray linings for existing pipeline systems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RIICTT308D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Install close-fit linings for existing pipeline systems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RIICTT309D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Install slip lining in existing pipeline systems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RIICTT310D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Renovate large diameter pipes and chambers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RIIHAN301E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Operate elevating work platform</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RIIHAN307E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Operate a vehicle loading crane</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RIIIMG301D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Maintain site records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RIIOGF302D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Operate drilling f</w:t>
            </w:r>
            <w:r w:rsidRPr="003532AB">
              <w:t>luids and mud pits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RIIOGN303D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Operate mud systems</w:t>
            </w:r>
          </w:p>
        </w:tc>
      </w:tr>
      <w:tr w:rsidTr="003532AB">
        <w:tblPrEx>
          <w:tblW w:w="0" w:type="auto"/>
          <w:tblLayout w:type="fixed"/>
          <w:tblCellMar>
            <w:left w:w="62" w:type="dxa"/>
            <w:right w:w="62" w:type="dxa"/>
          </w:tblCellMar>
          <w:tblLook w:val="0000"/>
        </w:tblPrEx>
        <w:trPr>
          <w:trHeight w:val="416"/>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AB">
            <w:pPr>
              <w:pStyle w:val="Heading4"/>
              <w:rPr>
                <w:lang w:val="en-NZ"/>
              </w:rPr>
            </w:pPr>
            <w:r w:rsidRPr="003532AB">
              <w:t xml:space="preserve">Group B </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32AB" w:rsidP="003532AB">
            <w:pPr>
              <w:pStyle w:val="BodyText"/>
            </w:pPr>
            <w:r w:rsidRPr="003532AB">
              <w:rPr>
                <w:rStyle w:val="BoldandItalics"/>
              </w:rPr>
              <w:t>Unit code</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AB">
            <w:pPr>
              <w:pStyle w:val="BodyText"/>
              <w:rPr>
                <w:lang w:val="en-NZ"/>
              </w:rPr>
            </w:pPr>
            <w:r w:rsidRPr="003532AB">
              <w:rPr>
                <w:rStyle w:val="BoldandItalics"/>
              </w:rPr>
              <w:t>Unit title</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AB">
            <w:pPr>
              <w:pStyle w:val="TableBodyText"/>
              <w:rPr>
                <w:lang w:val="en-NZ"/>
              </w:rPr>
            </w:pPr>
            <w:r w:rsidRPr="003532AB">
              <w:t>BSBDIV301</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32AB">
            <w:pPr>
              <w:pStyle w:val="TableBodyText"/>
              <w:rPr>
                <w:lang w:val="en-NZ"/>
              </w:rPr>
            </w:pPr>
            <w:r w:rsidRPr="003532AB">
              <w:t>Work effectively with diversity</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CPCCLDG3001A</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Licence to perform dogging</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CPCCLSF2001A</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Licence to erect, alter and dismantle scaffolding basic level</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RIICCM209D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Carry out concrete work</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RIICRC208D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Lay pipes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RIIHAN208D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Perform dogging</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RIIHAN211D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Conduct basic scaffolding operations</w:t>
            </w:r>
          </w:p>
        </w:tc>
      </w:tr>
      <w:tr w:rsidTr="003532AB">
        <w:tblPrEx>
          <w:tblW w:w="0" w:type="auto"/>
          <w:tblLayout w:type="fixed"/>
          <w:tblCellMar>
            <w:left w:w="62" w:type="dxa"/>
            <w:right w:w="62" w:type="dxa"/>
          </w:tblCellMar>
          <w:tblLook w:val="0000"/>
        </w:tblPrEx>
        <w:trPr>
          <w:trHeight w:val="416"/>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RIIRIS202D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Responding to site based spills</w:t>
            </w:r>
          </w:p>
        </w:tc>
      </w:tr>
      <w:tr w:rsidTr="003532AB">
        <w:tblPrEx>
          <w:tblW w:w="0" w:type="auto"/>
          <w:tblLayout w:type="fixed"/>
          <w:tblCellMar>
            <w:left w:w="62" w:type="dxa"/>
            <w:right w:w="62" w:type="dxa"/>
          </w:tblCellMar>
          <w:tblLook w:val="0000"/>
        </w:tblPrEx>
        <w:trPr>
          <w:trHeight w:val="362"/>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RIISAM205D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Cut, weld and bend materials</w:t>
            </w:r>
          </w:p>
        </w:tc>
      </w:tr>
      <w:tr w:rsidTr="003532AB">
        <w:tblPrEx>
          <w:tblW w:w="0" w:type="auto"/>
          <w:tblLayout w:type="fixed"/>
          <w:tblCellMar>
            <w:left w:w="62" w:type="dxa"/>
            <w:right w:w="62" w:type="dxa"/>
          </w:tblCellMar>
          <w:tblLook w:val="0000"/>
        </w:tblPrEx>
        <w:trPr>
          <w:trHeight w:val="362"/>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RIIWHS202D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Enter and work in confined spaces</w:t>
            </w:r>
          </w:p>
        </w:tc>
      </w:tr>
      <w:tr w:rsidTr="003532AB">
        <w:tblPrEx>
          <w:tblW w:w="0" w:type="auto"/>
          <w:tblLayout w:type="fixed"/>
          <w:tblCellMar>
            <w:left w:w="62" w:type="dxa"/>
            <w:right w:w="62" w:type="dxa"/>
          </w:tblCellMar>
          <w:tblLook w:val="0000"/>
        </w:tblPrEx>
        <w:trPr>
          <w:trHeight w:val="362"/>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RIIWHS205D</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Control traffic with stop-slow bat</w:t>
            </w:r>
          </w:p>
        </w:tc>
      </w:tr>
      <w:tr w:rsidTr="003532AB">
        <w:tblPrEx>
          <w:tblW w:w="0" w:type="auto"/>
          <w:tblLayout w:type="fixed"/>
          <w:tblCellMar>
            <w:left w:w="62" w:type="dxa"/>
            <w:right w:w="62" w:type="dxa"/>
          </w:tblCellMar>
          <w:tblLook w:val="0000"/>
        </w:tblPrEx>
        <w:trPr>
          <w:trHeight w:val="362"/>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TLILIC0002</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Licence to operate a vehicle loading crane (capacity 10 metre tonnes and above)</w:t>
            </w:r>
          </w:p>
        </w:tc>
      </w:tr>
      <w:tr w:rsidTr="003532AB">
        <w:tblPrEx>
          <w:tblW w:w="0" w:type="auto"/>
          <w:tblLayout w:type="fixed"/>
          <w:tblCellMar>
            <w:left w:w="62" w:type="dxa"/>
            <w:right w:w="62" w:type="dxa"/>
          </w:tblCellMar>
          <w:tblLook w:val="0000"/>
        </w:tblPrEx>
        <w:trPr>
          <w:trHeight w:val="362"/>
        </w:trPr>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32AB">
            <w:pPr>
              <w:pStyle w:val="TableBodyText"/>
              <w:rPr>
                <w:lang w:val="en-NZ"/>
              </w:rPr>
            </w:pPr>
            <w:r w:rsidRPr="003532AB">
              <w:t>TLILIC0005</w:t>
            </w:r>
          </w:p>
        </w:tc>
        <w:tc>
          <w:tcPr>
            <w:tcW w:w="71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32AB" w:rsidP="003532AB">
            <w:pPr>
              <w:pStyle w:val="TableBodyText"/>
            </w:pPr>
            <w:r w:rsidRPr="003532AB">
              <w:t>Licence to operate a boom-type elevating work platform (boom length 11 metres or more)</w:t>
            </w:r>
          </w:p>
        </w:tc>
      </w:tr>
    </w:tbl>
    <w:p w:rsidR="00000000" w:rsidRPr="003532AB" w:rsidP="003532AB">
      <w:pPr>
        <w:pStyle w:val="BodyText"/>
      </w:pPr>
    </w:p>
    <w:p w:rsidR="00000000" w:rsidRPr="003532AB" w:rsidP="003532AB">
      <w:pPr>
        <w:pStyle w:val="AllowPageBreak"/>
      </w:pPr>
    </w:p>
    <w:p w:rsidR="00000000" w:rsidRPr="003532AB" w:rsidP="003532AB">
      <w:pPr>
        <w:pStyle w:val="Heading1"/>
      </w:pPr>
      <w:bookmarkStart w:id="5" w:name="O_1017860"/>
      <w:bookmarkEnd w:id="5"/>
      <w:r w:rsidRPr="003532AB">
        <w:t>Qualification Mapping Information</w:t>
      </w:r>
    </w:p>
    <w:tbl>
      <w:tblPr>
        <w:tblW w:w="0" w:type="auto"/>
        <w:tblCellMar>
          <w:left w:w="62" w:type="dxa"/>
          <w:right w:w="62" w:type="dxa"/>
        </w:tblCellMar>
        <w:tblLook w:val="0000"/>
      </w:tblPr>
      <w:tblGrid>
        <w:gridCol w:w="2296"/>
        <w:gridCol w:w="2296"/>
        <w:gridCol w:w="3465"/>
        <w:gridCol w:w="1139"/>
      </w:tblGrid>
      <w:tr w:rsidTr="00593321">
        <w:tblPrEx>
          <w:tblW w:w="0" w:type="auto"/>
          <w:tblCellMar>
            <w:left w:w="62" w:type="dxa"/>
            <w:right w:w="62" w:type="dxa"/>
          </w:tblCellMar>
          <w:tblLook w:val="0000"/>
        </w:tblPrEx>
        <w:trPr>
          <w:trHeight w:val="563"/>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AB" w:rsidP="003532AB">
            <w:pPr>
              <w:pStyle w:val="Heading4"/>
            </w:pPr>
            <w:r w:rsidRPr="003532AB">
              <w:t>Code and title</w:t>
            </w:r>
          </w:p>
          <w:p w:rsidR="00000000" w:rsidP="003532AB">
            <w:pPr>
              <w:pStyle w:val="Heading4"/>
              <w:rPr>
                <w:lang w:val="en-NZ"/>
              </w:rPr>
            </w:pPr>
            <w:r w:rsidRPr="003532AB">
              <w:t>current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AB" w:rsidP="003532AB">
            <w:pPr>
              <w:pStyle w:val="Heading4"/>
            </w:pPr>
            <w:r w:rsidRPr="003532AB">
              <w:t>Code and title</w:t>
            </w:r>
          </w:p>
          <w:p w:rsidR="00000000" w:rsidP="003532AB">
            <w:pPr>
              <w:pStyle w:val="Heading4"/>
              <w:rPr>
                <w:lang w:val="en-NZ"/>
              </w:rPr>
            </w:pPr>
            <w:r w:rsidRPr="003532AB">
              <w:t>previous 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AB">
            <w:pPr>
              <w:pStyle w:val="Heading4"/>
              <w:rPr>
                <w:lang w:val="en-NZ"/>
              </w:rPr>
            </w:pPr>
            <w:r w:rsidRPr="003532AB">
              <w:t>Comments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AB">
            <w:pPr>
              <w:pStyle w:val="Heading4"/>
              <w:rPr>
                <w:lang w:val="en-NZ"/>
              </w:rPr>
            </w:pPr>
            <w:r w:rsidRPr="003532AB">
              <w:t>Equivalence status</w:t>
            </w:r>
          </w:p>
        </w:tc>
      </w:tr>
      <w:tr w:rsidTr="00593321">
        <w:tblPrEx>
          <w:tblW w:w="0" w:type="auto"/>
          <w:tblCellMar>
            <w:left w:w="62" w:type="dxa"/>
            <w:right w:w="62" w:type="dxa"/>
          </w:tblCellMar>
          <w:tblLook w:val="0000"/>
        </w:tblPrEx>
        <w:trPr>
          <w:trHeight w:val="56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AB">
            <w:pPr>
              <w:pStyle w:val="BodyText"/>
              <w:rPr>
                <w:lang w:val="en-NZ"/>
              </w:rPr>
            </w:pPr>
            <w:r w:rsidRPr="003532AB">
              <w:t>RII31615 Certificate III in Trenchless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AB">
            <w:pPr>
              <w:pStyle w:val="BodyText"/>
              <w:rPr>
                <w:lang w:val="en-NZ"/>
              </w:rPr>
            </w:pPr>
            <w:r w:rsidRPr="003532AB">
              <w:t>RII31613 Certificate III in Trenchless 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32AB">
            <w:pPr>
              <w:pStyle w:val="BodyText"/>
              <w:rPr>
                <w:lang w:val="en-NZ"/>
              </w:rPr>
            </w:pPr>
            <w:r w:rsidRPr="003532AB">
              <w:t>Elective groups and packaging rules amended but outcomes are unchanged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32AB" w:rsidP="003532AB">
            <w:pPr>
              <w:pStyle w:val="BodyText"/>
            </w:pPr>
            <w:r w:rsidRPr="003532AB">
              <w:t>Equivalent qualification</w:t>
            </w:r>
          </w:p>
        </w:tc>
      </w:tr>
    </w:tbl>
    <w:p w:rsidR="00000000" w:rsidRPr="003532AB" w:rsidP="003532AB">
      <w:pPr>
        <w:pStyle w:val="BodyText"/>
      </w:pPr>
    </w:p>
    <w:p w:rsidR="00000000" w:rsidRPr="003532AB" w:rsidP="003532AB">
      <w:pPr>
        <w:pStyle w:val="AllowPageBreak"/>
      </w:pPr>
    </w:p>
    <w:p w:rsidR="00000000" w:rsidRPr="003532AB" w:rsidP="003532AB">
      <w:pPr>
        <w:pStyle w:val="Heading1"/>
      </w:pPr>
      <w:bookmarkStart w:id="6" w:name="O_1017865"/>
      <w:bookmarkEnd w:id="6"/>
      <w:r w:rsidRPr="003532AB">
        <w:t>Links</w:t>
      </w:r>
    </w:p>
    <w:p w:rsidR="00000000" w:rsidRPr="003532AB" w:rsidP="00593321">
      <w:pPr>
        <w:pStyle w:val="BodyText"/>
      </w:pPr>
      <w:r w:rsidRPr="003532AB">
        <w:t xml:space="preserve">Companion Volume implementation guides are found in VETNet - </w:t>
      </w:r>
      <w:r>
        <w:fldChar w:fldCharType="begin"/>
      </w:r>
      <w:r>
        <w:instrText xml:space="preserve"> HYPERLINK "https://vetnet.education.gov.au/Pages/TrainingDocs.aspx?q=88a61002-9a21-4386-aaf8-69c76e675272" </w:instrText>
      </w:r>
      <w:r>
        <w:fldChar w:fldCharType="separate"/>
      </w:r>
      <w:r w:rsidRPr="00226167">
        <w:rPr>
          <w:rStyle w:val="Hyperlink"/>
        </w:rPr>
        <w:t>https://vetnet.education.gov.au/Pages/TrainingDocs.aspx?q=88a61002-9a21-4386-aaf8-69c76e675272</w:t>
      </w:r>
      <w:r>
        <w:fldChar w:fldCharType="end"/>
      </w:r>
    </w:p>
    <w:p w:rsidR="00000000" w:rsidRPr="003532AB" w:rsidP="003532AB"/>
    <w:sectPr w:rsidSect="003532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AB" w:rsidRPr="00593321" w:rsidP="00593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321" w:rsidP="003532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93321" w:rsidP="003532A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93321" w:rsidP="003532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3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32AB" w:rsidRPr="00593321" w:rsidP="005933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2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321" w:rsidRPr="002D2AF8" w:rsidP="003532AB">
    <w:pPr>
      <w:pStyle w:val="Header"/>
      <w:framePr w:wrap="around"/>
    </w:pPr>
    <w:r>
      <w:fldChar w:fldCharType="begin"/>
    </w:r>
    <w:r>
      <w:instrText xml:space="preserve"> TITLE   \* MERGEFORMAT </w:instrText>
    </w:r>
    <w:r>
      <w:fldChar w:fldCharType="separate"/>
    </w:r>
    <w:r>
      <w:t>RII31615 Certificate III in Trenchless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December 2018</w:t>
    </w:r>
    <w:r>
      <w:fldChar w:fldCharType="end"/>
    </w:r>
  </w:p>
  <w:p w:rsidR="00593321" w:rsidP="003532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E2EC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84D2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2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32AB"/>
    <w:pPr>
      <w:spacing w:before="360" w:after="60"/>
      <w:outlineLvl w:val="0"/>
    </w:pPr>
    <w:rPr>
      <w:sz w:val="32"/>
    </w:rPr>
  </w:style>
  <w:style w:type="paragraph" w:styleId="Heading2">
    <w:name w:val="heading 2"/>
    <w:basedOn w:val="HeadingBase"/>
    <w:next w:val="BodyText"/>
    <w:link w:val="Heading2Char"/>
    <w:qFormat/>
    <w:rsid w:val="003532AB"/>
    <w:pPr>
      <w:keepLines/>
      <w:spacing w:before="240" w:after="120"/>
      <w:outlineLvl w:val="1"/>
    </w:pPr>
    <w:rPr>
      <w:sz w:val="28"/>
      <w:szCs w:val="40"/>
    </w:rPr>
  </w:style>
  <w:style w:type="paragraph" w:styleId="Heading3">
    <w:name w:val="heading 3"/>
    <w:basedOn w:val="HeadingBase"/>
    <w:next w:val="BodyText"/>
    <w:link w:val="Heading3Char"/>
    <w:qFormat/>
    <w:rsid w:val="003532AB"/>
    <w:pPr>
      <w:spacing w:before="180" w:after="120"/>
      <w:outlineLvl w:val="2"/>
    </w:pPr>
    <w:rPr>
      <w:spacing w:val="-10"/>
      <w:kern w:val="32"/>
    </w:rPr>
  </w:style>
  <w:style w:type="paragraph" w:styleId="Heading4">
    <w:name w:val="heading 4"/>
    <w:basedOn w:val="HeadingBase"/>
    <w:next w:val="BodyText"/>
    <w:link w:val="Heading4Char"/>
    <w:qFormat/>
    <w:rsid w:val="003532AB"/>
    <w:pPr>
      <w:spacing w:before="160" w:after="120"/>
      <w:outlineLvl w:val="3"/>
    </w:pPr>
    <w:rPr>
      <w:sz w:val="22"/>
    </w:rPr>
  </w:style>
  <w:style w:type="paragraph" w:styleId="Heading5">
    <w:name w:val="heading 5"/>
    <w:basedOn w:val="HeadingBase"/>
    <w:next w:val="Normal"/>
    <w:link w:val="Heading5Char"/>
    <w:qFormat/>
    <w:rsid w:val="003532AB"/>
    <w:pPr>
      <w:spacing w:before="80"/>
      <w:outlineLvl w:val="4"/>
    </w:pPr>
    <w:rPr>
      <w:color w:val="918585"/>
      <w:sz w:val="20"/>
    </w:rPr>
  </w:style>
  <w:style w:type="paragraph" w:styleId="Heading6">
    <w:name w:val="heading 6"/>
    <w:basedOn w:val="HeadingBase"/>
    <w:next w:val="Normal"/>
    <w:link w:val="Heading6Char"/>
    <w:qFormat/>
    <w:rsid w:val="003532AB"/>
    <w:pPr>
      <w:spacing w:before="60"/>
      <w:outlineLvl w:val="5"/>
    </w:pPr>
    <w:rPr>
      <w:color w:val="918585"/>
      <w:sz w:val="20"/>
    </w:rPr>
  </w:style>
  <w:style w:type="paragraph" w:styleId="Heading7">
    <w:name w:val="heading 7"/>
    <w:basedOn w:val="Normal"/>
    <w:next w:val="Normal"/>
    <w:link w:val="Heading7Char"/>
    <w:qFormat/>
    <w:rsid w:val="003532AB"/>
    <w:pPr>
      <w:ind w:left="720"/>
      <w:outlineLvl w:val="6"/>
    </w:pPr>
    <w:rPr>
      <w:i/>
    </w:rPr>
  </w:style>
  <w:style w:type="paragraph" w:styleId="Heading8">
    <w:name w:val="heading 8"/>
    <w:basedOn w:val="Normal"/>
    <w:next w:val="Normal"/>
    <w:link w:val="Heading8Char"/>
    <w:qFormat/>
    <w:rsid w:val="003532AB"/>
    <w:pPr>
      <w:ind w:left="720"/>
      <w:outlineLvl w:val="7"/>
    </w:pPr>
    <w:rPr>
      <w:i/>
    </w:rPr>
  </w:style>
  <w:style w:type="paragraph" w:styleId="Heading9">
    <w:name w:val="heading 9"/>
    <w:basedOn w:val="Normal"/>
    <w:next w:val="Normal"/>
    <w:link w:val="Heading9Char"/>
    <w:qFormat/>
    <w:rsid w:val="003532AB"/>
    <w:pPr>
      <w:ind w:left="720"/>
      <w:outlineLvl w:val="8"/>
    </w:pPr>
    <w:rPr>
      <w:i/>
    </w:rPr>
  </w:style>
  <w:style w:type="character" w:default="1" w:styleId="DefaultParagraphFont">
    <w:name w:val="Default Paragraph Font"/>
    <w:uiPriority w:val="1"/>
    <w:unhideWhenUsed/>
    <w:rsid w:val="003532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32AB"/>
  </w:style>
  <w:style w:type="character" w:customStyle="1" w:styleId="Heading1Char">
    <w:name w:val="Heading 1 Char"/>
    <w:basedOn w:val="DefaultParagraphFont"/>
    <w:link w:val="Heading1"/>
    <w:rsid w:val="003532A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532AB"/>
    <w:rPr>
      <w:rFonts w:ascii="Times New Roman" w:eastAsia="Times New Roman" w:hAnsi="Times New Roman" w:cs="Times New Roman"/>
      <w:b/>
      <w:szCs w:val="20"/>
      <w:lang w:eastAsia="en-US"/>
    </w:rPr>
  </w:style>
  <w:style w:type="paragraph" w:styleId="BodyText">
    <w:name w:val="Body Text"/>
    <w:basedOn w:val="Normal"/>
    <w:link w:val="BodyTextChar"/>
    <w:rsid w:val="003532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32AB"/>
    <w:rPr>
      <w:rFonts w:ascii="Times New Roman" w:eastAsia="Times New Roman" w:hAnsi="Times New Roman" w:cs="Times New Roman"/>
      <w:sz w:val="24"/>
      <w:lang w:eastAsia="en-US"/>
    </w:rPr>
  </w:style>
  <w:style w:type="paragraph" w:styleId="ListBullet">
    <w:name w:val="List Bullet"/>
    <w:basedOn w:val="List"/>
    <w:rsid w:val="003532AB"/>
    <w:pPr>
      <w:numPr>
        <w:numId w:val="12"/>
      </w:numPr>
      <w:tabs>
        <w:tab w:val="clear" w:pos="340"/>
      </w:tabs>
      <w:spacing w:before="40" w:after="40"/>
    </w:pPr>
  </w:style>
  <w:style w:type="character" w:customStyle="1" w:styleId="SpecialBold">
    <w:name w:val="Special Bold"/>
    <w:basedOn w:val="DefaultParagraphFont"/>
    <w:rsid w:val="003532AB"/>
    <w:rPr>
      <w:b/>
      <w:spacing w:val="0"/>
    </w:rPr>
  </w:style>
  <w:style w:type="paragraph" w:customStyle="1" w:styleId="SuperHeading">
    <w:name w:val="SuperHeading"/>
    <w:basedOn w:val="Normal"/>
    <w:rsid w:val="003532AB"/>
    <w:pPr>
      <w:spacing w:before="240" w:after="120"/>
      <w:outlineLvl w:val="0"/>
    </w:pPr>
    <w:rPr>
      <w:rFonts w:ascii="Times New Roman" w:hAnsi="Times New Roman"/>
      <w:b/>
      <w:sz w:val="32"/>
    </w:rPr>
  </w:style>
  <w:style w:type="paragraph" w:customStyle="1" w:styleId="AllowPageBreak">
    <w:name w:val="AllowPageBreak"/>
    <w:rsid w:val="003532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3532AB"/>
    <w:pPr>
      <w:spacing w:before="60" w:after="60"/>
    </w:pPr>
  </w:style>
  <w:style w:type="character" w:customStyle="1" w:styleId="BoldandItalics">
    <w:name w:val="Bold and Italics"/>
    <w:qFormat/>
    <w:rsid w:val="003532AB"/>
    <w:rPr>
      <w:b/>
      <w:i/>
      <w:u w:val="none"/>
    </w:rPr>
  </w:style>
  <w:style w:type="character" w:customStyle="1" w:styleId="Heading2Char">
    <w:name w:val="Heading 2 Char"/>
    <w:basedOn w:val="DefaultParagraphFont"/>
    <w:link w:val="Heading2"/>
    <w:rsid w:val="003532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32A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532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32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32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32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32AB"/>
    <w:rPr>
      <w:rFonts w:ascii="Courier New" w:eastAsia="Times New Roman" w:hAnsi="Courier New" w:cs="Times New Roman"/>
      <w:i/>
      <w:szCs w:val="20"/>
      <w:lang w:eastAsia="en-US"/>
    </w:rPr>
  </w:style>
  <w:style w:type="paragraph" w:customStyle="1" w:styleId="HeadingBase">
    <w:name w:val="Heading Base"/>
    <w:rsid w:val="003532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32AB"/>
    <w:pPr>
      <w:tabs>
        <w:tab w:val="right" w:leader="dot" w:pos="9072"/>
      </w:tabs>
      <w:ind w:left="567"/>
    </w:pPr>
    <w:rPr>
      <w:szCs w:val="22"/>
    </w:rPr>
  </w:style>
  <w:style w:type="paragraph" w:customStyle="1" w:styleId="TOCBase">
    <w:name w:val="TOC Base"/>
    <w:rsid w:val="003532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32AB"/>
    <w:pPr>
      <w:tabs>
        <w:tab w:val="right" w:leader="dot" w:pos="9072"/>
      </w:tabs>
      <w:spacing w:before="40" w:after="40"/>
      <w:ind w:left="284"/>
    </w:pPr>
    <w:rPr>
      <w:rFonts w:ascii="Times New Roman" w:hAnsi="Times New Roman"/>
    </w:rPr>
  </w:style>
  <w:style w:type="paragraph" w:styleId="TOC1">
    <w:name w:val="toc 1"/>
    <w:basedOn w:val="TOCBase"/>
    <w:next w:val="Normal"/>
    <w:rsid w:val="003532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32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32AB"/>
    <w:rPr>
      <w:rFonts w:ascii="Times New Roman" w:eastAsia="Times New Roman" w:hAnsi="Times New Roman" w:cs="Times New Roman"/>
      <w:sz w:val="16"/>
      <w:lang w:eastAsia="en-US"/>
    </w:rPr>
  </w:style>
  <w:style w:type="paragraph" w:styleId="Title">
    <w:name w:val="Title"/>
    <w:basedOn w:val="HeadingBase"/>
    <w:link w:val="TitleChar"/>
    <w:qFormat/>
    <w:rsid w:val="003532AB"/>
    <w:pPr>
      <w:spacing w:before="5040"/>
      <w:jc w:val="center"/>
    </w:pPr>
    <w:rPr>
      <w:sz w:val="48"/>
      <w:szCs w:val="72"/>
      <w:lang w:val="en-US"/>
    </w:rPr>
  </w:style>
  <w:style w:type="character" w:customStyle="1" w:styleId="TitleChar">
    <w:name w:val="Title Char"/>
    <w:basedOn w:val="DefaultParagraphFont"/>
    <w:link w:val="Title"/>
    <w:rsid w:val="003532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32AB"/>
    <w:pPr>
      <w:tabs>
        <w:tab w:val="left" w:pos="3600"/>
        <w:tab w:val="left" w:pos="3958"/>
      </w:tabs>
    </w:pPr>
  </w:style>
  <w:style w:type="paragraph" w:styleId="List">
    <w:name w:val="List"/>
    <w:basedOn w:val="BodyText"/>
    <w:next w:val="BodyText"/>
    <w:rsid w:val="003532AB"/>
    <w:pPr>
      <w:tabs>
        <w:tab w:val="left" w:pos="340"/>
      </w:tabs>
      <w:spacing w:before="60" w:after="60"/>
      <w:ind w:left="340" w:hanging="340"/>
    </w:pPr>
  </w:style>
  <w:style w:type="paragraph" w:customStyle="1" w:styleId="Note">
    <w:name w:val="Note"/>
    <w:basedOn w:val="BodyText"/>
    <w:rsid w:val="003532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32AB"/>
    <w:pPr>
      <w:framePr w:wrap="auto" w:hAnchor="text" w:y="6049"/>
    </w:pPr>
    <w:rPr>
      <w:color w:val="000000"/>
      <w:sz w:val="40"/>
    </w:rPr>
  </w:style>
  <w:style w:type="paragraph" w:customStyle="1" w:styleId="TOCTitle">
    <w:name w:val="TOCTitle"/>
    <w:basedOn w:val="Heading1"/>
    <w:rsid w:val="003532AB"/>
    <w:pPr>
      <w:spacing w:after="240"/>
      <w:jc w:val="center"/>
      <w:outlineLvl w:val="9"/>
    </w:pPr>
    <w:rPr>
      <w:caps/>
    </w:rPr>
  </w:style>
  <w:style w:type="paragraph" w:customStyle="1" w:styleId="Version">
    <w:name w:val="Version"/>
    <w:rsid w:val="003532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532AB"/>
    <w:pPr>
      <w:numPr>
        <w:numId w:val="13"/>
      </w:numPr>
      <w:tabs>
        <w:tab w:val="clear" w:pos="680"/>
      </w:tabs>
    </w:pPr>
  </w:style>
  <w:style w:type="paragraph" w:styleId="Index1">
    <w:name w:val="index 1"/>
    <w:basedOn w:val="Normal"/>
    <w:next w:val="Normal"/>
    <w:semiHidden/>
    <w:rsid w:val="003532AB"/>
    <w:pPr>
      <w:keepNext w:val="0"/>
      <w:tabs>
        <w:tab w:val="right" w:pos="4176"/>
      </w:tabs>
      <w:ind w:left="198" w:hanging="198"/>
    </w:pPr>
    <w:rPr>
      <w:rFonts w:ascii="Garamond" w:hAnsi="Garamond"/>
    </w:rPr>
  </w:style>
  <w:style w:type="paragraph" w:styleId="IndexHeading">
    <w:name w:val="index heading"/>
    <w:basedOn w:val="Normal"/>
    <w:next w:val="Index1"/>
    <w:semiHidden/>
    <w:rsid w:val="003532AB"/>
    <w:pPr>
      <w:spacing w:before="120" w:after="120"/>
    </w:pPr>
    <w:rPr>
      <w:rFonts w:ascii="Arial" w:hAnsi="Arial"/>
      <w:b/>
      <w:color w:val="918585"/>
      <w:sz w:val="24"/>
    </w:rPr>
  </w:style>
  <w:style w:type="paragraph" w:styleId="Header">
    <w:name w:val="header"/>
    <w:basedOn w:val="Normal"/>
    <w:link w:val="HeaderChar"/>
    <w:rsid w:val="003532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32AB"/>
    <w:rPr>
      <w:rFonts w:ascii="Times New Roman" w:eastAsia="Times New Roman" w:hAnsi="Times New Roman" w:cs="Times New Roman"/>
      <w:sz w:val="16"/>
      <w:szCs w:val="20"/>
      <w:lang w:val="en-GB" w:eastAsia="en-US"/>
    </w:rPr>
  </w:style>
  <w:style w:type="paragraph" w:customStyle="1" w:styleId="Chapter">
    <w:name w:val="Chapter"/>
    <w:basedOn w:val="Normal"/>
    <w:rsid w:val="003532AB"/>
    <w:pPr>
      <w:spacing w:before="240"/>
    </w:pPr>
    <w:rPr>
      <w:rFonts w:ascii="Times New Roman" w:hAnsi="Times New Roman"/>
      <w:smallCaps/>
      <w:spacing w:val="80"/>
      <w:sz w:val="28"/>
    </w:rPr>
  </w:style>
  <w:style w:type="paragraph" w:customStyle="1" w:styleId="InChapter">
    <w:name w:val="InChapter"/>
    <w:basedOn w:val="Heading3"/>
    <w:rsid w:val="003532AB"/>
    <w:pPr>
      <w:spacing w:after="240"/>
      <w:outlineLvl w:val="9"/>
    </w:pPr>
    <w:rPr>
      <w:noProof/>
    </w:rPr>
  </w:style>
  <w:style w:type="paragraph" w:styleId="Index2">
    <w:name w:val="index 2"/>
    <w:basedOn w:val="Normal"/>
    <w:next w:val="Normal"/>
    <w:semiHidden/>
    <w:rsid w:val="003532AB"/>
    <w:pPr>
      <w:tabs>
        <w:tab w:val="right" w:pos="4176"/>
      </w:tabs>
      <w:ind w:left="568" w:hanging="284"/>
    </w:pPr>
    <w:rPr>
      <w:rFonts w:ascii="Garamond" w:hAnsi="Garamond"/>
    </w:rPr>
  </w:style>
  <w:style w:type="paragraph" w:customStyle="1" w:styleId="Byline">
    <w:name w:val="Byline"/>
    <w:rsid w:val="003532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32AB"/>
    <w:pPr>
      <w:tabs>
        <w:tab w:val="clear" w:pos="3600"/>
        <w:tab w:val="clear" w:pos="3958"/>
      </w:tabs>
      <w:jc w:val="right"/>
    </w:pPr>
  </w:style>
  <w:style w:type="character" w:styleId="Emphasis">
    <w:name w:val="Emphasis"/>
    <w:basedOn w:val="DefaultParagraphFont"/>
    <w:qFormat/>
    <w:rsid w:val="003532AB"/>
    <w:rPr>
      <w:i/>
    </w:rPr>
  </w:style>
  <w:style w:type="paragraph" w:styleId="Caption">
    <w:name w:val="caption"/>
    <w:basedOn w:val="BodyText"/>
    <w:next w:val="Normal"/>
    <w:qFormat/>
    <w:rsid w:val="003532AB"/>
    <w:pPr>
      <w:framePr w:w="2268" w:hSpace="181" w:vSpace="181" w:wrap="around" w:vAnchor="text" w:hAnchor="page" w:x="1135" w:y="285" w:anchorLock="1"/>
    </w:pPr>
    <w:rPr>
      <w:i/>
    </w:rPr>
  </w:style>
  <w:style w:type="paragraph" w:customStyle="1" w:styleId="MiniTOCTitle">
    <w:name w:val="MiniTOCTitle"/>
    <w:basedOn w:val="Heading4"/>
    <w:rsid w:val="003532AB"/>
    <w:pPr>
      <w:spacing w:before="240"/>
      <w:outlineLvl w:val="9"/>
    </w:pPr>
    <w:rPr>
      <w:noProof/>
      <w:sz w:val="24"/>
    </w:rPr>
  </w:style>
  <w:style w:type="paragraph" w:customStyle="1" w:styleId="MiniTOCItem">
    <w:name w:val="MiniTOCItem"/>
    <w:basedOn w:val="ListBullet"/>
    <w:rsid w:val="003532AB"/>
    <w:pPr>
      <w:numPr>
        <w:numId w:val="0"/>
      </w:numPr>
      <w:tabs>
        <w:tab w:val="right" w:leader="dot" w:pos="6521"/>
      </w:tabs>
      <w:spacing w:before="0" w:after="0"/>
    </w:pPr>
  </w:style>
  <w:style w:type="paragraph" w:customStyle="1" w:styleId="TOFTitle">
    <w:name w:val="TOFTitle"/>
    <w:basedOn w:val="TOCTitle"/>
    <w:rsid w:val="003532AB"/>
  </w:style>
  <w:style w:type="paragraph" w:styleId="TableofFigures">
    <w:name w:val="table of figures"/>
    <w:basedOn w:val="Normal"/>
    <w:next w:val="Normal"/>
    <w:semiHidden/>
    <w:rsid w:val="003532AB"/>
    <w:pPr>
      <w:tabs>
        <w:tab w:val="right" w:leader="dot" w:pos="9072"/>
      </w:tabs>
      <w:ind w:left="970" w:hanging="403"/>
    </w:pPr>
    <w:rPr>
      <w:rFonts w:ascii="Times New Roman" w:hAnsi="Times New Roman"/>
      <w:b/>
    </w:rPr>
  </w:style>
  <w:style w:type="paragraph" w:styleId="ListNumber">
    <w:name w:val="List Number"/>
    <w:basedOn w:val="List"/>
    <w:rsid w:val="003532AB"/>
    <w:pPr>
      <w:numPr>
        <w:numId w:val="10"/>
      </w:numPr>
    </w:pPr>
  </w:style>
  <w:style w:type="character" w:customStyle="1" w:styleId="WingdingSymbols">
    <w:name w:val="Wingding Symbols"/>
    <w:rsid w:val="003532AB"/>
    <w:rPr>
      <w:rFonts w:ascii="Wingdings" w:hAnsi="Wingdings"/>
    </w:rPr>
  </w:style>
  <w:style w:type="paragraph" w:customStyle="1" w:styleId="TableHeading">
    <w:name w:val="Table Heading"/>
    <w:basedOn w:val="HeadingBase"/>
    <w:rsid w:val="003532AB"/>
    <w:pPr>
      <w:keepLines/>
      <w:pBdr>
        <w:bottom w:val="single" w:sz="6" w:space="1" w:color="918585"/>
      </w:pBdr>
      <w:spacing w:before="240"/>
    </w:pPr>
  </w:style>
  <w:style w:type="character" w:customStyle="1" w:styleId="HotSpot">
    <w:name w:val="HotSpot"/>
    <w:rsid w:val="003532AB"/>
    <w:rPr>
      <w:color w:val="0033CC"/>
      <w:u w:val="none"/>
    </w:rPr>
  </w:style>
  <w:style w:type="paragraph" w:customStyle="1" w:styleId="BodyTextRight">
    <w:name w:val="Body Text Right"/>
    <w:basedOn w:val="BodyText"/>
    <w:rsid w:val="003532AB"/>
    <w:pPr>
      <w:spacing w:before="0" w:after="0"/>
      <w:jc w:val="right"/>
    </w:pPr>
  </w:style>
  <w:style w:type="paragraph" w:styleId="Index3">
    <w:name w:val="index 3"/>
    <w:basedOn w:val="ListNumber2"/>
    <w:next w:val="Normal"/>
    <w:semiHidden/>
    <w:rsid w:val="003532AB"/>
    <w:pPr>
      <w:numPr>
        <w:numId w:val="0"/>
      </w:numPr>
      <w:tabs>
        <w:tab w:val="right" w:leader="dot" w:pos="4176"/>
      </w:tabs>
    </w:pPr>
  </w:style>
  <w:style w:type="paragraph" w:styleId="ListNumber2">
    <w:name w:val="List Number 2"/>
    <w:basedOn w:val="List2"/>
    <w:rsid w:val="003532AB"/>
    <w:pPr>
      <w:numPr>
        <w:numId w:val="9"/>
      </w:numPr>
      <w:tabs>
        <w:tab w:val="clear" w:pos="1060"/>
      </w:tabs>
    </w:pPr>
  </w:style>
  <w:style w:type="paragraph" w:customStyle="1" w:styleId="MarginNote">
    <w:name w:val="Margin Note"/>
    <w:basedOn w:val="BodyText"/>
    <w:rsid w:val="003532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32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32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32AB"/>
    <w:rPr>
      <w:sz w:val="32"/>
    </w:rPr>
  </w:style>
  <w:style w:type="paragraph" w:customStyle="1" w:styleId="HeadingProcedure">
    <w:name w:val="Heading Procedure"/>
    <w:basedOn w:val="HeadingBase"/>
    <w:next w:val="Normal"/>
    <w:rsid w:val="003532AB"/>
    <w:pPr>
      <w:tabs>
        <w:tab w:val="left" w:pos="0"/>
      </w:tabs>
      <w:spacing w:before="120" w:after="60"/>
    </w:pPr>
    <w:rPr>
      <w:i/>
      <w:color w:val="918585"/>
      <w:sz w:val="22"/>
    </w:rPr>
  </w:style>
  <w:style w:type="paragraph" w:styleId="ListContinue">
    <w:name w:val="List Continue"/>
    <w:basedOn w:val="List"/>
    <w:rsid w:val="003532AB"/>
    <w:pPr>
      <w:ind w:firstLine="0"/>
    </w:pPr>
  </w:style>
  <w:style w:type="paragraph" w:customStyle="1" w:styleId="ListNote">
    <w:name w:val="List Note"/>
    <w:basedOn w:val="List"/>
    <w:rsid w:val="003532AB"/>
    <w:pPr>
      <w:pBdr>
        <w:top w:val="single" w:sz="6" w:space="2" w:color="918585"/>
        <w:bottom w:val="single" w:sz="6" w:space="2" w:color="918585"/>
      </w:pBdr>
      <w:tabs>
        <w:tab w:val="left" w:pos="1021"/>
      </w:tabs>
      <w:ind w:firstLine="0"/>
    </w:pPr>
  </w:style>
  <w:style w:type="paragraph" w:customStyle="1" w:styleId="Warning">
    <w:name w:val="Warning"/>
    <w:basedOn w:val="BodyText"/>
    <w:rsid w:val="003532AB"/>
    <w:pPr>
      <w:shd w:val="clear" w:color="auto" w:fill="D9D9D9"/>
      <w:tabs>
        <w:tab w:val="left" w:pos="992"/>
      </w:tabs>
      <w:ind w:left="119" w:right="119"/>
    </w:pPr>
    <w:rPr>
      <w:sz w:val="20"/>
    </w:rPr>
  </w:style>
  <w:style w:type="paragraph" w:customStyle="1" w:styleId="MarginIcons">
    <w:name w:val="Margin Icons"/>
    <w:basedOn w:val="BodyText"/>
    <w:rsid w:val="003532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32AB"/>
    <w:rPr>
      <w:rFonts w:ascii="Courier New" w:hAnsi="Courier New"/>
    </w:rPr>
  </w:style>
  <w:style w:type="paragraph" w:customStyle="1" w:styleId="NoteBullet">
    <w:name w:val="Note Bullet"/>
    <w:basedOn w:val="Note"/>
    <w:rsid w:val="003532AB"/>
    <w:pPr>
      <w:tabs>
        <w:tab w:val="clear" w:pos="680"/>
      </w:tabs>
      <w:spacing w:before="60" w:after="60"/>
    </w:pPr>
  </w:style>
  <w:style w:type="paragraph" w:customStyle="1" w:styleId="SubHeading2">
    <w:name w:val="SubHeading2"/>
    <w:basedOn w:val="HeadingBase"/>
    <w:rsid w:val="003532AB"/>
    <w:pPr>
      <w:spacing w:before="240" w:after="60"/>
    </w:pPr>
    <w:rPr>
      <w:sz w:val="20"/>
    </w:rPr>
  </w:style>
  <w:style w:type="paragraph" w:customStyle="1" w:styleId="SubHeading1">
    <w:name w:val="SubHeading1"/>
    <w:basedOn w:val="HeadingBase"/>
    <w:rsid w:val="003532AB"/>
    <w:pPr>
      <w:spacing w:before="240" w:after="60"/>
    </w:pPr>
    <w:rPr>
      <w:color w:val="918585"/>
      <w:sz w:val="22"/>
    </w:rPr>
  </w:style>
  <w:style w:type="paragraph" w:customStyle="1" w:styleId="SideHeading">
    <w:name w:val="Side Heading"/>
    <w:basedOn w:val="HeadingBase"/>
    <w:rsid w:val="003532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32AB"/>
    <w:pPr>
      <w:tabs>
        <w:tab w:val="num" w:pos="360"/>
      </w:tabs>
    </w:pPr>
  </w:style>
  <w:style w:type="paragraph" w:styleId="PlainText">
    <w:name w:val="Plain Text"/>
    <w:basedOn w:val="Normal"/>
    <w:link w:val="PlainTextChar"/>
    <w:rsid w:val="003532AB"/>
    <w:rPr>
      <w:sz w:val="20"/>
    </w:rPr>
  </w:style>
  <w:style w:type="character" w:customStyle="1" w:styleId="PlainTextChar">
    <w:name w:val="Plain Text Char"/>
    <w:basedOn w:val="DefaultParagraphFont"/>
    <w:link w:val="PlainText"/>
    <w:rsid w:val="003532AB"/>
    <w:rPr>
      <w:rFonts w:ascii="Courier New" w:eastAsia="Times New Roman" w:hAnsi="Courier New" w:cs="Times New Roman"/>
      <w:sz w:val="20"/>
      <w:szCs w:val="20"/>
      <w:lang w:eastAsia="en-US"/>
    </w:rPr>
  </w:style>
  <w:style w:type="character" w:customStyle="1" w:styleId="MenuOption">
    <w:name w:val="Menu Option"/>
    <w:basedOn w:val="DefaultParagraphFont"/>
    <w:rsid w:val="003532AB"/>
    <w:rPr>
      <w:b/>
      <w:smallCaps/>
    </w:rPr>
  </w:style>
  <w:style w:type="paragraph" w:customStyle="1" w:styleId="TableListNumber">
    <w:name w:val="Table List Number"/>
    <w:basedOn w:val="ListNumber"/>
    <w:rsid w:val="003532AB"/>
    <w:pPr>
      <w:numPr>
        <w:numId w:val="0"/>
      </w:numPr>
    </w:pPr>
  </w:style>
  <w:style w:type="paragraph" w:styleId="TOC4">
    <w:name w:val="toc 4"/>
    <w:basedOn w:val="TOCBase"/>
    <w:next w:val="Normal"/>
    <w:semiHidden/>
    <w:rsid w:val="003532AB"/>
    <w:pPr>
      <w:tabs>
        <w:tab w:val="right" w:leader="dot" w:pos="9071"/>
      </w:tabs>
      <w:ind w:left="1701"/>
    </w:pPr>
  </w:style>
  <w:style w:type="paragraph" w:customStyle="1" w:styleId="ListAlpha">
    <w:name w:val="List Alpha"/>
    <w:basedOn w:val="List"/>
    <w:rsid w:val="003532AB"/>
    <w:pPr>
      <w:numPr>
        <w:numId w:val="8"/>
      </w:numPr>
    </w:pPr>
  </w:style>
  <w:style w:type="paragraph" w:customStyle="1" w:styleId="ListAlpha2">
    <w:name w:val="List Alpha 2"/>
    <w:basedOn w:val="List2"/>
    <w:rsid w:val="003532AB"/>
    <w:pPr>
      <w:numPr>
        <w:numId w:val="7"/>
      </w:numPr>
    </w:pPr>
  </w:style>
  <w:style w:type="paragraph" w:styleId="List2">
    <w:name w:val="List 2"/>
    <w:basedOn w:val="BodyText"/>
    <w:rsid w:val="003532AB"/>
    <w:pPr>
      <w:tabs>
        <w:tab w:val="left" w:pos="680"/>
      </w:tabs>
      <w:spacing w:before="60" w:after="60"/>
      <w:ind w:left="680" w:hanging="340"/>
    </w:pPr>
  </w:style>
  <w:style w:type="paragraph" w:styleId="List3">
    <w:name w:val="List 3"/>
    <w:basedOn w:val="BodyText"/>
    <w:rsid w:val="003532AB"/>
    <w:pPr>
      <w:tabs>
        <w:tab w:val="left" w:pos="1021"/>
      </w:tabs>
      <w:spacing w:before="60" w:after="60"/>
      <w:ind w:left="1020" w:hanging="340"/>
    </w:pPr>
  </w:style>
  <w:style w:type="paragraph" w:styleId="List4">
    <w:name w:val="List 4"/>
    <w:basedOn w:val="BodyText"/>
    <w:rsid w:val="003532AB"/>
    <w:pPr>
      <w:tabs>
        <w:tab w:val="left" w:pos="1361"/>
      </w:tabs>
      <w:spacing w:before="60" w:after="60"/>
      <w:ind w:left="1361" w:hanging="340"/>
    </w:pPr>
  </w:style>
  <w:style w:type="paragraph" w:styleId="List5">
    <w:name w:val="List 5"/>
    <w:basedOn w:val="BodyText"/>
    <w:rsid w:val="003532AB"/>
    <w:pPr>
      <w:tabs>
        <w:tab w:val="left" w:pos="1701"/>
      </w:tabs>
      <w:spacing w:before="60" w:after="60"/>
      <w:ind w:left="1701" w:hanging="340"/>
    </w:pPr>
  </w:style>
  <w:style w:type="paragraph" w:styleId="ListBullet3">
    <w:name w:val="List Bullet 3"/>
    <w:basedOn w:val="List3"/>
    <w:rsid w:val="003532AB"/>
    <w:pPr>
      <w:numPr>
        <w:numId w:val="14"/>
      </w:numPr>
      <w:tabs>
        <w:tab w:val="clear" w:pos="1021"/>
      </w:tabs>
      <w:ind w:left="1037" w:hanging="357"/>
    </w:pPr>
  </w:style>
  <w:style w:type="paragraph" w:styleId="ListBullet4">
    <w:name w:val="List Bullet 4"/>
    <w:basedOn w:val="List4"/>
    <w:rsid w:val="003532AB"/>
    <w:pPr>
      <w:numPr>
        <w:numId w:val="2"/>
      </w:numPr>
      <w:tabs>
        <w:tab w:val="clear" w:pos="1361"/>
      </w:tabs>
    </w:pPr>
  </w:style>
  <w:style w:type="paragraph" w:styleId="ListBullet5">
    <w:name w:val="List Bullet 5"/>
    <w:basedOn w:val="List5"/>
    <w:rsid w:val="003532AB"/>
    <w:pPr>
      <w:numPr>
        <w:numId w:val="3"/>
      </w:numPr>
    </w:pPr>
  </w:style>
  <w:style w:type="paragraph" w:styleId="ListContinue2">
    <w:name w:val="List Continue 2"/>
    <w:basedOn w:val="List2"/>
    <w:rsid w:val="003532AB"/>
    <w:pPr>
      <w:ind w:firstLine="0"/>
    </w:pPr>
  </w:style>
  <w:style w:type="paragraph" w:styleId="ListContinue3">
    <w:name w:val="List Continue 3"/>
    <w:basedOn w:val="List3"/>
    <w:rsid w:val="003532AB"/>
    <w:pPr>
      <w:ind w:left="1021" w:firstLine="0"/>
    </w:pPr>
  </w:style>
  <w:style w:type="paragraph" w:styleId="ListContinue4">
    <w:name w:val="List Continue 4"/>
    <w:basedOn w:val="List4"/>
    <w:rsid w:val="003532AB"/>
    <w:pPr>
      <w:ind w:firstLine="0"/>
    </w:pPr>
  </w:style>
  <w:style w:type="paragraph" w:styleId="ListContinue5">
    <w:name w:val="List Continue 5"/>
    <w:basedOn w:val="List5"/>
    <w:rsid w:val="003532AB"/>
    <w:pPr>
      <w:ind w:firstLine="0"/>
    </w:pPr>
  </w:style>
  <w:style w:type="paragraph" w:styleId="ListNumber3">
    <w:name w:val="List Number 3"/>
    <w:basedOn w:val="List3"/>
    <w:rsid w:val="003532AB"/>
    <w:pPr>
      <w:numPr>
        <w:numId w:val="4"/>
      </w:numPr>
    </w:pPr>
  </w:style>
  <w:style w:type="paragraph" w:styleId="ListNumber4">
    <w:name w:val="List Number 4"/>
    <w:basedOn w:val="List4"/>
    <w:rsid w:val="003532AB"/>
    <w:pPr>
      <w:numPr>
        <w:numId w:val="5"/>
      </w:numPr>
    </w:pPr>
  </w:style>
  <w:style w:type="paragraph" w:styleId="ListNumber5">
    <w:name w:val="List Number 5"/>
    <w:basedOn w:val="List5"/>
    <w:rsid w:val="003532AB"/>
    <w:pPr>
      <w:numPr>
        <w:numId w:val="6"/>
      </w:numPr>
    </w:pPr>
  </w:style>
  <w:style w:type="paragraph" w:styleId="BlockText">
    <w:name w:val="Block Text"/>
    <w:basedOn w:val="Normal"/>
    <w:rsid w:val="003532AB"/>
    <w:pPr>
      <w:spacing w:after="120"/>
      <w:ind w:left="1440" w:right="1440"/>
    </w:pPr>
  </w:style>
  <w:style w:type="character" w:customStyle="1" w:styleId="Subscript">
    <w:name w:val="Subscript"/>
    <w:basedOn w:val="DefaultParagraphFont"/>
    <w:rsid w:val="003532AB"/>
    <w:rPr>
      <w:sz w:val="16"/>
      <w:vertAlign w:val="subscript"/>
    </w:rPr>
  </w:style>
  <w:style w:type="character" w:customStyle="1" w:styleId="Superscript">
    <w:name w:val="Superscript"/>
    <w:basedOn w:val="DefaultParagraphFont"/>
    <w:rsid w:val="003532AB"/>
    <w:rPr>
      <w:sz w:val="16"/>
      <w:vertAlign w:val="superscript"/>
    </w:rPr>
  </w:style>
  <w:style w:type="character" w:customStyle="1" w:styleId="Symbols">
    <w:name w:val="Symbols"/>
    <w:basedOn w:val="DefaultParagraphFont"/>
    <w:rsid w:val="003532AB"/>
    <w:rPr>
      <w:rFonts w:ascii="Symbol" w:hAnsi="Symbol"/>
    </w:rPr>
  </w:style>
  <w:style w:type="character" w:customStyle="1" w:styleId="MenuOptions">
    <w:name w:val="Menu Options"/>
    <w:basedOn w:val="DefaultParagraphFont"/>
    <w:rsid w:val="003532AB"/>
    <w:rPr>
      <w:rFonts w:ascii="Arial Narrow" w:hAnsi="Arial Narrow"/>
      <w:smallCaps/>
    </w:rPr>
  </w:style>
  <w:style w:type="character" w:customStyle="1" w:styleId="Buttons">
    <w:name w:val="Buttons"/>
    <w:basedOn w:val="DefaultParagraphFont"/>
    <w:rsid w:val="003532AB"/>
    <w:rPr>
      <w:b/>
    </w:rPr>
  </w:style>
  <w:style w:type="character" w:customStyle="1" w:styleId="Underlined">
    <w:name w:val="Underlined"/>
    <w:basedOn w:val="DefaultParagraphFont"/>
    <w:rsid w:val="003532AB"/>
    <w:rPr>
      <w:u w:val="single"/>
    </w:rPr>
  </w:style>
  <w:style w:type="paragraph" w:customStyle="1" w:styleId="TableBodyTextRight">
    <w:name w:val="Table Body Text Right"/>
    <w:basedOn w:val="TableBodyText"/>
    <w:rsid w:val="003532AB"/>
    <w:pPr>
      <w:widowControl w:val="0"/>
      <w:autoSpaceDE w:val="0"/>
      <w:autoSpaceDN w:val="0"/>
      <w:adjustRightInd w:val="0"/>
      <w:jc w:val="right"/>
    </w:pPr>
    <w:rPr>
      <w:rFonts w:cs="Arial"/>
      <w:szCs w:val="18"/>
    </w:rPr>
  </w:style>
  <w:style w:type="paragraph" w:customStyle="1" w:styleId="CopyrightText">
    <w:name w:val="Copyright Text"/>
    <w:basedOn w:val="BodyText"/>
    <w:rsid w:val="003532AB"/>
    <w:rPr>
      <w:sz w:val="18"/>
    </w:rPr>
  </w:style>
  <w:style w:type="paragraph" w:customStyle="1" w:styleId="BodySmallRight">
    <w:name w:val="Body Small Right"/>
    <w:basedOn w:val="BodyTextRight"/>
    <w:rsid w:val="003532AB"/>
    <w:rPr>
      <w:sz w:val="18"/>
      <w:szCs w:val="18"/>
    </w:rPr>
  </w:style>
  <w:style w:type="paragraph" w:customStyle="1" w:styleId="MarginEdition">
    <w:name w:val="Margin Edition"/>
    <w:basedOn w:val="MarginNote"/>
    <w:rsid w:val="003532AB"/>
    <w:pPr>
      <w:spacing w:before="0" w:after="0"/>
    </w:pPr>
    <w:rPr>
      <w:rFonts w:ascii="Times New Roman" w:hAnsi="Times New Roman"/>
      <w:color w:val="999999"/>
    </w:rPr>
  </w:style>
  <w:style w:type="paragraph" w:customStyle="1" w:styleId="Spacer">
    <w:name w:val="Spacer"/>
    <w:basedOn w:val="Normal"/>
    <w:rsid w:val="003532AB"/>
    <w:rPr>
      <w:sz w:val="2"/>
      <w:szCs w:val="2"/>
    </w:rPr>
  </w:style>
  <w:style w:type="character" w:customStyle="1" w:styleId="Small">
    <w:name w:val="Small"/>
    <w:basedOn w:val="DefaultParagraphFont"/>
    <w:rsid w:val="003532AB"/>
    <w:rPr>
      <w:sz w:val="16"/>
    </w:rPr>
  </w:style>
  <w:style w:type="paragraph" w:customStyle="1" w:styleId="WideTable">
    <w:name w:val="Wide Table"/>
    <w:basedOn w:val="Normal"/>
    <w:rsid w:val="003532AB"/>
    <w:pPr>
      <w:ind w:left="-1418"/>
    </w:pPr>
    <w:rPr>
      <w:sz w:val="2"/>
      <w:szCs w:val="2"/>
    </w:rPr>
  </w:style>
  <w:style w:type="character" w:styleId="PageNumber">
    <w:name w:val="page number"/>
    <w:basedOn w:val="DefaultParagraphFont"/>
    <w:rsid w:val="003532AB"/>
  </w:style>
  <w:style w:type="paragraph" w:styleId="Quote">
    <w:name w:val="Quote"/>
    <w:basedOn w:val="Heading1"/>
    <w:link w:val="QuoteChar"/>
    <w:qFormat/>
    <w:rsid w:val="003532AB"/>
    <w:rPr>
      <w:b w:val="0"/>
      <w:sz w:val="72"/>
      <w:szCs w:val="72"/>
      <w:lang w:val="en-NZ"/>
    </w:rPr>
  </w:style>
  <w:style w:type="character" w:customStyle="1" w:styleId="QuoteChar">
    <w:name w:val="Quote Char"/>
    <w:basedOn w:val="DefaultParagraphFont"/>
    <w:link w:val="Quote"/>
    <w:rsid w:val="003532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32AB"/>
    <w:pPr>
      <w:pageBreakBefore/>
    </w:pPr>
  </w:style>
  <w:style w:type="paragraph" w:customStyle="1" w:styleId="Border">
    <w:name w:val="Border"/>
    <w:basedOn w:val="Normal"/>
    <w:qFormat/>
    <w:rsid w:val="003532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32AB"/>
    <w:rPr>
      <w:b/>
      <w:bCs/>
      <w:i/>
      <w:iCs/>
      <w:color w:val="auto"/>
    </w:rPr>
  </w:style>
  <w:style w:type="paragraph" w:styleId="IntenseQuote">
    <w:name w:val="Intense Quote"/>
    <w:basedOn w:val="Normal"/>
    <w:next w:val="Normal"/>
    <w:link w:val="IntenseQuoteChar"/>
    <w:uiPriority w:val="30"/>
    <w:qFormat/>
    <w:rsid w:val="003532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32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32AB"/>
    <w:rPr>
      <w:smallCaps/>
      <w:color w:val="auto"/>
      <w:u w:val="single"/>
    </w:rPr>
  </w:style>
  <w:style w:type="character" w:styleId="IntenseReference">
    <w:name w:val="Intense Reference"/>
    <w:basedOn w:val="DefaultParagraphFont"/>
    <w:uiPriority w:val="32"/>
    <w:qFormat/>
    <w:rsid w:val="003532AB"/>
    <w:rPr>
      <w:b/>
      <w:bCs/>
      <w:smallCaps/>
      <w:color w:val="auto"/>
      <w:spacing w:val="5"/>
      <w:u w:val="single"/>
    </w:rPr>
  </w:style>
  <w:style w:type="paragraph" w:customStyle="1" w:styleId="2ColumnHeading">
    <w:name w:val="2Column Heading"/>
    <w:basedOn w:val="BodyText"/>
    <w:qFormat/>
    <w:rsid w:val="003532AB"/>
    <w:pPr>
      <w:spacing w:after="60"/>
      <w:ind w:left="-2268"/>
    </w:pPr>
    <w:rPr>
      <w:b/>
    </w:rPr>
  </w:style>
  <w:style w:type="paragraph" w:customStyle="1" w:styleId="Heading1TOC">
    <w:name w:val="Heading1 TOC"/>
    <w:basedOn w:val="Normal"/>
    <w:qFormat/>
    <w:rsid w:val="003532AB"/>
    <w:pPr>
      <w:spacing w:before="240" w:after="120"/>
    </w:pPr>
    <w:rPr>
      <w:rFonts w:ascii="Times New Roman" w:hAnsi="Times New Roman"/>
      <w:b/>
      <w:sz w:val="32"/>
    </w:rPr>
  </w:style>
  <w:style w:type="paragraph" w:customStyle="1" w:styleId="Heading2TOC">
    <w:name w:val="Heading2 TOC"/>
    <w:basedOn w:val="Normal"/>
    <w:qFormat/>
    <w:rsid w:val="003532AB"/>
    <w:pPr>
      <w:spacing w:before="240" w:after="60"/>
    </w:pPr>
    <w:rPr>
      <w:rFonts w:ascii="Times New Roman" w:hAnsi="Times New Roman"/>
      <w:b/>
      <w:sz w:val="28"/>
    </w:rPr>
  </w:style>
  <w:style w:type="character" w:customStyle="1" w:styleId="Underline">
    <w:name w:val="Underline"/>
    <w:basedOn w:val="DefaultParagraphFont"/>
    <w:qFormat/>
    <w:rsid w:val="003532AB"/>
    <w:rPr>
      <w:u w:val="single"/>
    </w:rPr>
  </w:style>
  <w:style w:type="paragraph" w:styleId="BalloonText">
    <w:name w:val="Balloon Text"/>
    <w:basedOn w:val="Normal"/>
    <w:link w:val="BalloonTextChar"/>
    <w:rsid w:val="003532AB"/>
    <w:rPr>
      <w:rFonts w:ascii="Tahoma" w:hAnsi="Tahoma" w:cs="Tahoma"/>
      <w:sz w:val="16"/>
      <w:szCs w:val="16"/>
    </w:rPr>
  </w:style>
  <w:style w:type="character" w:customStyle="1" w:styleId="BalloonTextChar">
    <w:name w:val="Balloon Text Char"/>
    <w:basedOn w:val="DefaultParagraphFont"/>
    <w:link w:val="BalloonText"/>
    <w:rsid w:val="003532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32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32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32AB"/>
    <w:rPr>
      <w:b/>
      <w:color w:val="660033"/>
      <w:spacing w:val="0"/>
    </w:rPr>
  </w:style>
  <w:style w:type="paragraph" w:customStyle="1" w:styleId="Nameditemlist">
    <w:name w:val="Named item list"/>
    <w:basedOn w:val="BodyText"/>
    <w:qFormat/>
    <w:rsid w:val="003532AB"/>
    <w:pPr>
      <w:tabs>
        <w:tab w:val="left" w:pos="2835"/>
      </w:tabs>
      <w:ind w:left="2835" w:hanging="2835"/>
    </w:pPr>
  </w:style>
  <w:style w:type="paragraph" w:customStyle="1" w:styleId="BodyTextnopadding">
    <w:name w:val="Body Text no padding"/>
    <w:basedOn w:val="BodyText"/>
    <w:qFormat/>
    <w:rsid w:val="003532AB"/>
    <w:pPr>
      <w:spacing w:before="0" w:after="0"/>
    </w:pPr>
  </w:style>
  <w:style w:type="character" w:styleId="Hyperlink">
    <w:name w:val="Hyperlink"/>
    <w:basedOn w:val="DefaultParagraphFont"/>
    <w:uiPriority w:val="99"/>
    <w:unhideWhenUsed/>
    <w:rsid w:val="005933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803</Words>
  <Characters>5128</Characters>
  <Application>Microsoft Office Word</Application>
  <DocSecurity>0</DocSecurity>
  <Lines>205</Lines>
  <Paragraphs>179</Paragraphs>
  <ScaleCrop>false</ScaleCrop>
  <Company>Author-it Software Corporation Ltd.</Company>
  <LinksUpToDate>false</LinksUpToDate>
  <CharactersWithSpaces>5752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RII31615 Certificate III in Trenchless Technology</dc:title>
  <dc:subject>Approved</dc:subject>
  <dc:creator>PwC’s Skills for Australia</dc:creator>
  <cp:keywords>Release 2</cp:keywords>
  <dc:description>Review Date: 12 April 2008</dc:description>
  <cp:lastModifiedBy>HSD_TPCMSd.prod</cp:lastModifiedBy>
  <cp:revision>3</cp:revision>
  <dcterms:created xsi:type="dcterms:W3CDTF">2018-12-11T19:37:10Z</dcterms:created>
  <dcterms:modified xsi:type="dcterms:W3CDTF">2018-12-06T23:38:00Z</dcterms:modified>
</cp:coreProperties>
</file>