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14A" w:rsidP="008A714A">
      <w:pPr>
        <w:pStyle w:val="Title"/>
      </w:pPr>
      <w:r>
        <w:fldChar w:fldCharType="begin"/>
      </w:r>
      <w:r>
        <w:instrText xml:space="preserve"> TITLE   \* MERGEFORMAT </w:instrText>
      </w:r>
      <w:r>
        <w:fldChar w:fldCharType="separate"/>
      </w:r>
      <w:r>
        <w:t>RII20313 Certificate II in Underground Coal Mining</w:t>
      </w:r>
      <w:r>
        <w:fldChar w:fldCharType="end"/>
      </w:r>
    </w:p>
    <w:p w:rsidR="008A714A" w:rsidP="008A714A">
      <w:pPr>
        <w:pStyle w:val="Version"/>
        <w:sectPr w:rsidSect="00AD2A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D2AD9" w:rsidP="00AD2AD9">
      <w:pPr>
        <w:pStyle w:val="SuperHeading"/>
      </w:pPr>
      <w:r w:rsidRPr="00AD2AD9">
        <w:t>RII20313 Certificate II in Underground Coal Mining</w:t>
      </w:r>
    </w:p>
    <w:p w:rsidR="00000000" w:rsidRPr="00AD2AD9" w:rsidP="00AD2AD9">
      <w:pPr>
        <w:pStyle w:val="Heading1"/>
      </w:pPr>
      <w:bookmarkStart w:id="1" w:name="O_715122"/>
      <w:bookmarkEnd w:id="1"/>
      <w:r w:rsidRPr="00AD2AD9">
        <w:t>Modification History</w:t>
      </w:r>
    </w:p>
    <w:tbl>
      <w:tblPr>
        <w:tblW w:w="0" w:type="auto"/>
        <w:tblCellMar>
          <w:left w:w="62" w:type="dxa"/>
          <w:right w:w="62" w:type="dxa"/>
        </w:tblCellMar>
        <w:tblLook w:val="0000"/>
      </w:tblPr>
      <w:tblGrid>
        <w:gridCol w:w="943"/>
        <w:gridCol w:w="8253"/>
      </w:tblGrid>
      <w:tr w:rsidTr="008A71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AD9">
            <w:pPr>
              <w:pStyle w:val="Heading4"/>
              <w:rPr>
                <w:lang w:val="en-NZ"/>
              </w:rPr>
            </w:pPr>
            <w:r w:rsidRPr="00AD2AD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AD9">
            <w:pPr>
              <w:pStyle w:val="Heading4"/>
              <w:rPr>
                <w:lang w:val="en-NZ"/>
              </w:rPr>
            </w:pPr>
            <w:r w:rsidRPr="00AD2AD9">
              <w:t>Comments</w:t>
            </w:r>
          </w:p>
        </w:tc>
      </w:tr>
      <w:tr w:rsidTr="008A714A">
        <w:tblPrEx>
          <w:tblW w:w="0" w:type="auto"/>
          <w:tblCellMar>
            <w:left w:w="62" w:type="dxa"/>
            <w:right w:w="62" w:type="dxa"/>
          </w:tblCellMar>
          <w:tblLook w:val="0000"/>
        </w:tblPrEx>
        <w:trPr>
          <w:trHeight w:val="730"/>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AD9">
            <w:pPr>
              <w:pStyle w:val="BodyText"/>
              <w:rPr>
                <w:lang w:val="en-NZ"/>
              </w:rPr>
            </w:pPr>
            <w:r w:rsidRPr="00AD2AD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AD9">
            <w:pPr>
              <w:pStyle w:val="BodyText"/>
              <w:rPr>
                <w:lang w:val="en-NZ"/>
              </w:rPr>
            </w:pPr>
            <w:r w:rsidRPr="00AD2AD9">
              <w:t>Replaces RII20309 Certificate II in Underground Coal Mining.</w:t>
            </w:r>
          </w:p>
        </w:tc>
      </w:tr>
      <w:tr w:rsidTr="008A71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AD9">
            <w:pPr>
              <w:pStyle w:val="BodyText"/>
              <w:rPr>
                <w:lang w:val="en-NZ"/>
              </w:rPr>
            </w:pPr>
            <w:r w:rsidRPr="00AD2AD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AD9">
            <w:pPr>
              <w:pStyle w:val="BodyText"/>
              <w:rPr>
                <w:lang w:val="en-NZ"/>
              </w:rPr>
            </w:pPr>
            <w:r w:rsidRPr="00AD2AD9">
              <w:t>Editorial corrections.</w:t>
            </w:r>
          </w:p>
        </w:tc>
      </w:tr>
      <w:tr w:rsidTr="008A71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AD9">
            <w:pPr>
              <w:pStyle w:val="BodyText"/>
              <w:rPr>
                <w:lang w:val="en-NZ"/>
              </w:rPr>
            </w:pPr>
            <w:r w:rsidRPr="00AD2AD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AD9" w:rsidP="00AD2AD9">
            <w:pPr>
              <w:pStyle w:val="BodyText"/>
            </w:pPr>
            <w:r w:rsidRPr="00AD2AD9">
              <w:t>Corrected modification history.</w:t>
            </w:r>
          </w:p>
        </w:tc>
      </w:tr>
    </w:tbl>
    <w:p w:rsidR="00000000" w:rsidRPr="00AD2AD9" w:rsidP="00AD2AD9">
      <w:pPr>
        <w:pStyle w:val="BodyText"/>
      </w:pPr>
    </w:p>
    <w:p w:rsidR="00000000" w:rsidRPr="00AD2AD9" w:rsidP="00AD2AD9">
      <w:pPr>
        <w:pStyle w:val="AllowPageBreak"/>
      </w:pPr>
    </w:p>
    <w:p w:rsidR="00000000" w:rsidRPr="00AD2AD9" w:rsidP="00AD2AD9">
      <w:pPr>
        <w:pStyle w:val="Heading1"/>
      </w:pPr>
      <w:bookmarkStart w:id="2" w:name="O_715121"/>
      <w:bookmarkEnd w:id="2"/>
      <w:r w:rsidRPr="00AD2AD9">
        <w:t>Qualification Description</w:t>
      </w:r>
    </w:p>
    <w:p w:rsidR="00000000" w:rsidRPr="00AD2AD9" w:rsidP="00AD2AD9">
      <w:pPr>
        <w:pStyle w:val="BodyText"/>
      </w:pPr>
      <w:r w:rsidRPr="00AD2AD9">
        <w:t xml:space="preserve">This qualification reflects the role of an individual working as an operator in an underground coal mine, who performs a range of mainly routine tasks using limited practical skills and fundamental operational knowledge, in a defined context working under </w:t>
      </w:r>
      <w:r w:rsidRPr="00AD2AD9">
        <w:t>direct supervision.</w:t>
      </w:r>
    </w:p>
    <w:p w:rsidR="00000000" w:rsidRPr="00AD2AD9" w:rsidP="00AD2AD9">
      <w:pPr>
        <w:pStyle w:val="BodyText"/>
      </w:pPr>
      <w:r w:rsidRPr="00AD2AD9">
        <w:t>Licensing, legislative, regulatory and certification requirements that apply to this qualification can vary between states, territories, and Industry sectors.  Relevant information must be sourced prior to application of the qualificati</w:t>
      </w:r>
      <w:r w:rsidRPr="00AD2AD9">
        <w:t>on.</w:t>
      </w:r>
    </w:p>
    <w:p w:rsidR="00000000" w:rsidRPr="00AD2AD9" w:rsidP="00AD2AD9">
      <w:pPr>
        <w:pStyle w:val="AllowPageBreak"/>
      </w:pPr>
    </w:p>
    <w:p w:rsidR="00000000" w:rsidRPr="00AD2AD9" w:rsidP="00AD2AD9">
      <w:pPr>
        <w:pStyle w:val="Heading1"/>
      </w:pPr>
      <w:bookmarkStart w:id="3" w:name="O_715120"/>
      <w:bookmarkEnd w:id="3"/>
      <w:r w:rsidRPr="00AD2AD9">
        <w:t>Entry Requirements</w:t>
      </w:r>
    </w:p>
    <w:p w:rsidR="00000000" w:rsidRPr="00AD2AD9" w:rsidP="00AD2AD9">
      <w:pPr>
        <w:pStyle w:val="BodyText"/>
      </w:pPr>
      <w:r w:rsidRPr="00AD2AD9">
        <w:t xml:space="preserve">There are no entry requirements for this qualification. </w:t>
      </w:r>
    </w:p>
    <w:p w:rsidR="00000000" w:rsidRPr="00AD2AD9" w:rsidP="00AD2AD9">
      <w:pPr>
        <w:pStyle w:val="AllowPageBreak"/>
      </w:pPr>
    </w:p>
    <w:p w:rsidR="00000000" w:rsidRPr="00AD2AD9" w:rsidP="00AD2AD9">
      <w:pPr>
        <w:pStyle w:val="Heading1"/>
      </w:pPr>
      <w:bookmarkStart w:id="4" w:name="O_715119"/>
      <w:bookmarkEnd w:id="4"/>
      <w:r w:rsidRPr="00AD2AD9">
        <w:t>Packaging Rules</w:t>
      </w:r>
    </w:p>
    <w:p w:rsidR="00000000" w:rsidRPr="00AD2AD9" w:rsidP="00AD2AD9">
      <w:pPr>
        <w:pStyle w:val="Heading4"/>
      </w:pPr>
      <w:r w:rsidRPr="00AD2AD9">
        <w:t>Requirements for completion of the qualification</w:t>
      </w:r>
    </w:p>
    <w:p w:rsidR="00000000" w:rsidRPr="00AD2AD9" w:rsidP="00AD2AD9">
      <w:pPr>
        <w:pStyle w:val="BodyText"/>
      </w:pPr>
      <w:r w:rsidRPr="00AD2AD9">
        <w:t>The following provides the packaging rules for this qualification, followed b</w:t>
      </w:r>
      <w:r w:rsidRPr="00AD2AD9">
        <w:t>y the list of relevant units of competency.</w:t>
      </w:r>
    </w:p>
    <w:p w:rsidR="00000000" w:rsidRPr="00AD2AD9" w:rsidP="00AD2AD9">
      <w:pPr>
        <w:pStyle w:val="BodyText"/>
      </w:pPr>
      <w:r w:rsidRPr="00AD2AD9">
        <w:t>Successful completion of ten (10) units of competency made up of:</w:t>
      </w:r>
    </w:p>
    <w:p w:rsidR="00000000" w:rsidRPr="00AD2AD9" w:rsidP="00AD2AD9">
      <w:pPr>
        <w:pStyle w:val="ListBullet"/>
      </w:pPr>
      <w:r w:rsidRPr="00AD2AD9">
        <w:t>five (5) core units, and</w:t>
      </w:r>
    </w:p>
    <w:p w:rsidR="00000000" w:rsidRPr="00AD2AD9" w:rsidP="00AD2AD9">
      <w:pPr>
        <w:pStyle w:val="ListBullet"/>
      </w:pPr>
      <w:r w:rsidRPr="00AD2AD9">
        <w:t>five (5) elective units of which:</w:t>
      </w:r>
    </w:p>
    <w:p w:rsidR="00000000" w:rsidRPr="00AD2AD9" w:rsidP="00AD2AD9">
      <w:pPr>
        <w:pStyle w:val="ListBullet2"/>
      </w:pPr>
      <w:r w:rsidRPr="00AD2AD9">
        <w:t>at least four (4) must be chosen from the group A and/or group B</w:t>
      </w:r>
    </w:p>
    <w:p w:rsidR="00000000" w:rsidRPr="00AD2AD9" w:rsidP="00AD2AD9">
      <w:pPr>
        <w:pStyle w:val="ListBullet2"/>
      </w:pPr>
      <w:r w:rsidRPr="00AD2AD9">
        <w:t xml:space="preserve">up to one (1) may be chosen from group C </w:t>
      </w:r>
    </w:p>
    <w:p w:rsidR="00000000" w:rsidRPr="00AD2AD9" w:rsidP="00AD2AD9">
      <w:pPr>
        <w:pStyle w:val="ListBullet2"/>
      </w:pPr>
      <w:r w:rsidRPr="00AD2AD9">
        <w:t>up to one (1) may be chosen from Certificate II or Certificate III level from this, or any other Training Package or accredited course</w:t>
      </w:r>
    </w:p>
    <w:p w:rsidR="00000000" w:rsidRPr="00AD2AD9" w:rsidP="00AD2AD9">
      <w:pPr>
        <w:pStyle w:val="BodyText"/>
      </w:pPr>
      <w:r w:rsidRPr="00AD2AD9">
        <w:t>Units chosen must be relevant to the job function.</w:t>
      </w:r>
    </w:p>
    <w:p w:rsidR="00000000" w:rsidRPr="00AD2AD9" w:rsidP="00AD2AD9">
      <w:pPr>
        <w:pStyle w:val="BodyText"/>
      </w:pPr>
      <w:r w:rsidRPr="00AD2AD9">
        <w:t xml:space="preserve">There are both licensed and </w:t>
      </w:r>
      <w:r w:rsidRPr="00AD2AD9">
        <w:t>non-licensed units of competency relating to high risk work in the Resources and Infrastructure Industry Training Package. To be appointed under any statutory requirements in related roles, units of competency should be selected to meet the state/territory</w:t>
      </w:r>
      <w:r w:rsidRPr="00AD2AD9">
        <w:t xml:space="preserve"> licensing requirements. </w:t>
      </w:r>
    </w:p>
    <w:p w:rsidR="00000000" w:rsidRPr="00AD2AD9" w:rsidP="00AD2AD9">
      <w:pPr>
        <w:pStyle w:val="BodyText"/>
      </w:pPr>
      <w:r w:rsidRPr="00AD2AD9">
        <w:t>There are prerequisites to imported units listed in this qualification. Where a unit is imported as an elective care must be taken to ensure that all prerequisites specified are complied with.</w:t>
      </w:r>
    </w:p>
    <w:tbl>
      <w:tblPr>
        <w:tblW w:w="9386" w:type="dxa"/>
        <w:tblLayout w:type="fixed"/>
        <w:tblCellMar>
          <w:left w:w="62" w:type="dxa"/>
          <w:right w:w="62" w:type="dxa"/>
        </w:tblCellMar>
        <w:tblLook w:val="0000"/>
      </w:tblPr>
      <w:tblGrid>
        <w:gridCol w:w="1980"/>
        <w:gridCol w:w="7406"/>
      </w:tblGrid>
      <w:tr w:rsidTr="008A714A">
        <w:tblPrEx>
          <w:tblW w:w="9386" w:type="dxa"/>
          <w:tblLayout w:type="fixed"/>
          <w:tblCellMar>
            <w:left w:w="62" w:type="dxa"/>
            <w:right w:w="62" w:type="dxa"/>
          </w:tblCellMar>
          <w:tblLook w:val="0000"/>
        </w:tblPrEx>
        <w:tc>
          <w:tcPr>
            <w:tcW w:w="93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BodyText"/>
              <w:rPr>
                <w:lang w:val="en-NZ"/>
              </w:rPr>
            </w:pPr>
            <w:r w:rsidRPr="00AD2AD9">
              <w:t xml:space="preserve">Core units of competency </w:t>
            </w:r>
          </w:p>
        </w:tc>
      </w:tr>
      <w:tr w:rsidTr="008A714A">
        <w:tblPrEx>
          <w:tblW w:w="9386" w:type="dxa"/>
          <w:tblLayout w:type="fixed"/>
          <w:tblCellMar>
            <w:left w:w="62" w:type="dxa"/>
            <w:right w:w="62" w:type="dxa"/>
          </w:tblCellMar>
          <w:tblLook w:val="0000"/>
        </w:tblPrEx>
        <w:trPr>
          <w:trHeight w:val="50"/>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AD9" w:rsidP="00AD2AD9">
            <w:pPr>
              <w:pStyle w:val="TableBodyText"/>
            </w:pPr>
            <w:r w:rsidRPr="00AD2AD9">
              <w:rPr>
                <w:rStyle w:val="BoldandItalics"/>
              </w:rPr>
              <w:t>Unit code</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rPr>
                <w:rStyle w:val="BoldandItalics"/>
              </w:rPr>
              <w:t>Unit title</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RIICOM201D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Communicate in the workplace</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RIIERR203D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Escape from hazardous situation unaided</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RIIWHS201D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Work safely and follow WHS policies and procedues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RIIGOV201D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Comply with site work processes/procedures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RIIRIS201D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Cond</w:t>
            </w:r>
            <w:r w:rsidRPr="00AD2AD9">
              <w:t>uct local risk control</w:t>
            </w:r>
          </w:p>
        </w:tc>
      </w:tr>
      <w:tr w:rsidTr="008A714A">
        <w:tblPrEx>
          <w:tblW w:w="9386" w:type="dxa"/>
          <w:tblLayout w:type="fixed"/>
          <w:tblCellMar>
            <w:left w:w="62" w:type="dxa"/>
            <w:right w:w="62" w:type="dxa"/>
          </w:tblCellMar>
          <w:tblLook w:val="0000"/>
        </w:tblPrEx>
        <w:tc>
          <w:tcPr>
            <w:tcW w:w="93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BodyText"/>
              <w:rPr>
                <w:lang w:val="en-NZ"/>
              </w:rPr>
            </w:pPr>
            <w:r w:rsidRPr="00AD2AD9">
              <w:t>Electives</w:t>
            </w:r>
          </w:p>
        </w:tc>
      </w:tr>
      <w:tr w:rsidTr="008A714A">
        <w:tblPrEx>
          <w:tblW w:w="9386" w:type="dxa"/>
          <w:tblLayout w:type="fixed"/>
          <w:tblCellMar>
            <w:left w:w="62" w:type="dxa"/>
            <w:right w:w="62" w:type="dxa"/>
          </w:tblCellMar>
          <w:tblLook w:val="0000"/>
        </w:tblPrEx>
        <w:tc>
          <w:tcPr>
            <w:tcW w:w="93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BodyText"/>
              <w:rPr>
                <w:lang w:val="en-NZ"/>
              </w:rPr>
            </w:pPr>
            <w:r w:rsidRPr="00AD2AD9">
              <w:t xml:space="preserve">Group A </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AD9" w:rsidP="00AD2AD9">
            <w:pPr>
              <w:pStyle w:val="TableBodyText"/>
            </w:pPr>
            <w:r w:rsidRPr="00AD2AD9">
              <w:rPr>
                <w:rStyle w:val="BoldandItalics"/>
              </w:rPr>
              <w:t>Unit code</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rPr>
                <w:rStyle w:val="BoldandItalics"/>
              </w:rPr>
              <w:t>Unit title</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RIIERR205D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Apply initial response first aid</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RIIMCU201D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Operate power tram</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RIIMCU202D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Conduct tracked vehicle/plant operations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RIIMCU203D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Conduct wheeled vehicle operations (non-articulated)</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RIIMCU204D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Conduct wheeled vehicle operations (articulated)</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RIIMCU205D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Conduct rotational drilling</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RIIMCU206D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Install, maintain and recover gas drainage systems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RIIMCU207D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Install, maintain and recov</w:t>
            </w:r>
            <w:r w:rsidRPr="00AD2AD9">
              <w:t>er electrical services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RIIMCU208D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Conduct basic strata control operations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RIIMCU209D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Conduct roadway maintenance</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RIIMCU210D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Conduct stonedusting operations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RIIMCU211D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Install and maintain explosion barriers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RIIMCU212D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Construct and maintain basic ventilation devices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RIIMCU213D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Conduct feeder breaker operations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RIIMCU214D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Conduct face ventilation operations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RIIMCU215D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Operate longwall ancillary equipment</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RIIMCU216D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Maintain lamp cabin operations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RIIMCU402D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Apply spontaneous combustion management measures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RIIMPO208D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Operate support equipment</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RIIMPO307D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Conduct wheel grader operations in underground mines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RIINHB304D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Conduct air drilling</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RIIPEO202D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Provide deck support for conveyor-car high wall mining oper</w:t>
            </w:r>
            <w:r w:rsidRPr="00AD2AD9">
              <w:t>ations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RIIPEO208D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Extend, retract and maintain conveyor componentry</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RIIUND201D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Install, maintain and recover reticulation systems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RIIUND206D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Install hand held underground ground support</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RIIUND207D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Conduct underground lifting operations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RIIUND208D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Conduct skip operations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RIIUND209D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Operate automated winder</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RIIUND301D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Operate manual winder</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RIIUND302D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Conduct cage operations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RIIUND303D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Operate winder for shaft sinking</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RIIWMG202D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 xml:space="preserve">Conduct dewatering activities in underground mining operations </w:t>
            </w:r>
          </w:p>
        </w:tc>
      </w:tr>
      <w:tr w:rsidTr="008A714A">
        <w:tblPrEx>
          <w:tblW w:w="9386" w:type="dxa"/>
          <w:tblLayout w:type="fixed"/>
          <w:tblCellMar>
            <w:left w:w="62" w:type="dxa"/>
            <w:right w:w="62" w:type="dxa"/>
          </w:tblCellMar>
          <w:tblLook w:val="0000"/>
        </w:tblPrEx>
        <w:tc>
          <w:tcPr>
            <w:tcW w:w="93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Heading4"/>
              <w:rPr>
                <w:lang w:val="en-NZ"/>
              </w:rPr>
            </w:pPr>
            <w:r w:rsidRPr="00AD2AD9">
              <w:t>Group B</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AD9" w:rsidP="00AD2AD9">
            <w:pPr>
              <w:pStyle w:val="TableBodyText"/>
            </w:pPr>
            <w:r w:rsidRPr="00AD2AD9">
              <w:rPr>
                <w:rStyle w:val="BoldandItalics"/>
              </w:rPr>
              <w:t>Unit Code</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rPr>
                <w:rStyle w:val="BoldandItalics"/>
              </w:rPr>
              <w:t>Unit Title</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 xml:space="preserve">CPCCLDG3001A </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Licence to perform dogging</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 xml:space="preserve">CPCCLRG3001A </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Licence to perform rigging basic level</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CPCCLRG3002A</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Licence to perform rigging intermediate level</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CPCCLSF2001A</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Licence to erect, alter and dismantle scaffolding basic level</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CPCCLSF3001A</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Licence to erect, alter and dismantle scaffolding intermediate level</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 xml:space="preserve">TLILIC2001A </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Licence to operate a forklift truck</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TLILIC2005A</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License to operate a boom-type elevating work pl</w:t>
            </w:r>
            <w:r w:rsidRPr="00AD2AD9">
              <w:t>atform (boom length 11 meters or more)</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TLILIC3003A</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Licence to operate a bridge and gantry crane</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 xml:space="preserve">TLILIC3006A </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Licence to operate a non-slewing mobile crane (greater than 3 tonnes capacity)</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TLILIC0012A</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Licence to operate a veh</w:t>
            </w:r>
            <w:r w:rsidRPr="00AD2AD9">
              <w:t>icle loading crane (capacity 10 metre tonnes and above)</w:t>
            </w:r>
          </w:p>
        </w:tc>
      </w:tr>
      <w:tr w:rsidTr="008A714A">
        <w:tblPrEx>
          <w:tblW w:w="9386" w:type="dxa"/>
          <w:tblLayout w:type="fixed"/>
          <w:tblCellMar>
            <w:left w:w="62" w:type="dxa"/>
            <w:right w:w="62" w:type="dxa"/>
          </w:tblCellMar>
          <w:tblLook w:val="0000"/>
        </w:tblPrEx>
        <w:tc>
          <w:tcPr>
            <w:tcW w:w="93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BodyText"/>
              <w:rPr>
                <w:lang w:val="en-NZ"/>
              </w:rPr>
            </w:pPr>
            <w:r w:rsidRPr="00AD2AD9">
              <w:t>Group C</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AD9" w:rsidP="00AD2AD9">
            <w:pPr>
              <w:pStyle w:val="TableBodyText"/>
            </w:pPr>
            <w:r w:rsidRPr="00AD2AD9">
              <w:rPr>
                <w:rStyle w:val="BoldandItalics"/>
              </w:rPr>
              <w:t>Unit code</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rPr>
                <w:rStyle w:val="BoldandItalics"/>
              </w:rPr>
              <w:t>Unit title</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BSBITU101A</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Operate a personal computer</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BSBPUR301B</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Purchase goods and services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BSBSUS201A</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Participate in environmentally sustainable work practices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ICAICT308A</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Use advanced features of computer applications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RIIBLA202D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Support underground shotfiring operations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RIIERR201D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Conduct fire team operations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RIIERR204D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AD9">
            <w:pPr>
              <w:pStyle w:val="TableBodyText"/>
              <w:rPr>
                <w:lang w:val="en-NZ"/>
              </w:rPr>
            </w:pPr>
            <w:r w:rsidRPr="00AD2AD9">
              <w:t>Provide aided rescue to endangered personnel</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RIIERR302D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Respond to local emergencies and incidents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RIIHAN201D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Operate a forklift</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RIIHAN208D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Perform dogging</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RIIHAN209D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Perform basic rigging</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RIIHAN210D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Perform intermediate rigging operations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RIIHAN211D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Conduct basic scaffolding operations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RIIHAN212D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Conduct non-slewing crane operations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RIIHAN301D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Operate elevating work platform</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RIIHAN302D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Conduct intermediate scaffolding operations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RIIHAN305D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Operate a gantry or overhead crane</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RIIHAN307D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Operate a vehicle loading crane</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RIIWHS203D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Maintain amenities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RIIQUA201D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Maintain and monitor site quality standards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RIISAM205D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Cut, weld and bend materials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RIISAM207D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Apply operational maintenance skills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D2AD9">
            <w:pPr>
              <w:pStyle w:val="TableBodyText"/>
              <w:rPr>
                <w:lang w:val="en-NZ"/>
              </w:rPr>
            </w:pPr>
            <w:r w:rsidRPr="00AD2AD9">
              <w:t>RIISAM210D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D2AD9">
            <w:pPr>
              <w:pStyle w:val="TableBodyText"/>
              <w:rPr>
                <w:lang w:val="en-NZ"/>
              </w:rPr>
            </w:pPr>
            <w:r w:rsidRPr="00AD2AD9">
              <w:t>Remove and fit wheel assemblies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RIISAM211D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Remove, repair and refit tyres and tubes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RIISAM212D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Service mine plant and equipment</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RIISAM214D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Provide support to electrical tradesperson</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RIISAM301D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Test operational functions of vehicles and equipment</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RIISAM311D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Maintain winder equipment</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RIISAM312D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Inspect and maintain shafts and structures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RIISAM313</w:t>
            </w:r>
            <w:r w:rsidRPr="00AD2AD9">
              <w:t>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Monitor, inspect and service ropes and attachments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RIIRIS202D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Respond to site based spills</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RIIVEH201D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Operate light vehicle</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RIIVEH202D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Operate a medium vehicle</w:t>
            </w:r>
          </w:p>
        </w:tc>
      </w:tr>
      <w:tr w:rsidTr="008A714A">
        <w:tblPrEx>
          <w:tblW w:w="938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AD9">
            <w:pPr>
              <w:pStyle w:val="TableBodyText"/>
              <w:rPr>
                <w:lang w:val="en-NZ"/>
              </w:rPr>
            </w:pPr>
            <w:r w:rsidRPr="00AD2AD9">
              <w:t>RIIVEH301D</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AD9" w:rsidP="00AD2AD9">
            <w:pPr>
              <w:pStyle w:val="TableBodyText"/>
            </w:pPr>
            <w:r w:rsidRPr="00AD2AD9">
              <w:t>Conduct rail haulage operations</w:t>
            </w:r>
          </w:p>
        </w:tc>
      </w:tr>
    </w:tbl>
    <w:p w:rsidR="008A714A" w:rsidP="00AD2AD9">
      <w:pPr>
        <w:pStyle w:val="TableBodyText"/>
      </w:pPr>
    </w:p>
    <w:p w:rsidR="008A714A" w:rsidP="00AD2AD9">
      <w:pPr>
        <w:pStyle w:val="TableBodyText"/>
      </w:pPr>
    </w:p>
    <w:p w:rsidR="00000000" w:rsidRPr="00AD2AD9" w:rsidP="00AD2AD9">
      <w:pPr>
        <w:pStyle w:val="Heading1"/>
      </w:pPr>
      <w:bookmarkStart w:id="5" w:name="O_715118"/>
      <w:bookmarkEnd w:id="5"/>
      <w:r w:rsidRPr="00AD2AD9">
        <w:t>Qualification Mapping Information</w:t>
      </w:r>
    </w:p>
    <w:p w:rsidR="00000000" w:rsidRPr="00AD2AD9" w:rsidP="00AD2AD9">
      <w:pPr>
        <w:pStyle w:val="BodyText"/>
      </w:pPr>
      <w:r w:rsidRPr="00AD2AD9">
        <w:t xml:space="preserve">RII20309 Certificate II in Underground Coal Mining </w:t>
      </w:r>
    </w:p>
    <w:p w:rsidR="00000000" w:rsidRPr="00AD2AD9" w:rsidP="00AD2AD9">
      <w:pPr>
        <w:pStyle w:val="AllowPageBreak"/>
      </w:pPr>
    </w:p>
    <w:p w:rsidR="00000000" w:rsidRPr="00AD2AD9" w:rsidP="00AD2AD9">
      <w:pPr>
        <w:pStyle w:val="Heading1"/>
      </w:pPr>
      <w:bookmarkStart w:id="6" w:name="O_715123"/>
      <w:bookmarkEnd w:id="6"/>
      <w:r w:rsidRPr="00AD2AD9">
        <w:t>Links</w:t>
      </w:r>
    </w:p>
    <w:p w:rsidR="00000000" w:rsidRPr="00AD2AD9" w:rsidP="00AD2AD9">
      <w:pPr>
        <w:pStyle w:val="BodyText"/>
      </w:pPr>
      <w:r w:rsidRPr="00AD2AD9">
        <w:t>SkillsDMC RII Companion Volumes - http://www.skillsdmc.com.au/</w:t>
      </w:r>
    </w:p>
    <w:p w:rsidR="00000000" w:rsidRPr="00AD2AD9" w:rsidP="00AD2AD9"/>
    <w:sectPr w:rsidSect="00AD2A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A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AD9" w:rsidRPr="008A714A" w:rsidP="008A71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A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14A" w:rsidP="00AD2A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A714A" w:rsidP="00AD2AD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8A714A" w:rsidP="00AD2A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A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AD9" w:rsidRPr="008A714A" w:rsidP="008A71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A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14A" w:rsidRPr="002D2AF8" w:rsidP="00AD2AD9">
    <w:pPr>
      <w:pStyle w:val="Header"/>
      <w:framePr w:wrap="around"/>
    </w:pPr>
    <w:r>
      <w:fldChar w:fldCharType="begin"/>
    </w:r>
    <w:r>
      <w:instrText xml:space="preserve"> TITLE   \* MERGEFORMAT </w:instrText>
    </w:r>
    <w:r>
      <w:fldChar w:fldCharType="separate"/>
    </w:r>
    <w:r>
      <w:t>RII20313 Certificate II in Underground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8A714A" w:rsidP="00AD2A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5ED2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40A9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904C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A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AD9"/>
    <w:pPr>
      <w:spacing w:before="360" w:after="60"/>
      <w:outlineLvl w:val="0"/>
    </w:pPr>
    <w:rPr>
      <w:sz w:val="32"/>
    </w:rPr>
  </w:style>
  <w:style w:type="paragraph" w:styleId="Heading2">
    <w:name w:val="heading 2"/>
    <w:basedOn w:val="HeadingBase"/>
    <w:next w:val="BodyText"/>
    <w:link w:val="Heading2Char"/>
    <w:qFormat/>
    <w:rsid w:val="00AD2AD9"/>
    <w:pPr>
      <w:keepLines/>
      <w:spacing w:before="240" w:after="120"/>
      <w:outlineLvl w:val="1"/>
    </w:pPr>
    <w:rPr>
      <w:sz w:val="28"/>
      <w:szCs w:val="40"/>
    </w:rPr>
  </w:style>
  <w:style w:type="paragraph" w:styleId="Heading3">
    <w:name w:val="heading 3"/>
    <w:basedOn w:val="HeadingBase"/>
    <w:next w:val="BodyText"/>
    <w:link w:val="Heading3Char"/>
    <w:qFormat/>
    <w:rsid w:val="00AD2AD9"/>
    <w:pPr>
      <w:spacing w:before="180" w:after="120"/>
      <w:outlineLvl w:val="2"/>
    </w:pPr>
    <w:rPr>
      <w:spacing w:val="-10"/>
      <w:kern w:val="32"/>
    </w:rPr>
  </w:style>
  <w:style w:type="paragraph" w:styleId="Heading4">
    <w:name w:val="heading 4"/>
    <w:basedOn w:val="HeadingBase"/>
    <w:next w:val="BodyText"/>
    <w:link w:val="Heading4Char"/>
    <w:qFormat/>
    <w:rsid w:val="00AD2AD9"/>
    <w:pPr>
      <w:spacing w:before="160" w:after="120"/>
      <w:outlineLvl w:val="3"/>
    </w:pPr>
    <w:rPr>
      <w:sz w:val="22"/>
    </w:rPr>
  </w:style>
  <w:style w:type="paragraph" w:styleId="Heading5">
    <w:name w:val="heading 5"/>
    <w:basedOn w:val="HeadingBase"/>
    <w:next w:val="Normal"/>
    <w:link w:val="Heading5Char"/>
    <w:qFormat/>
    <w:rsid w:val="00AD2AD9"/>
    <w:pPr>
      <w:spacing w:before="80"/>
      <w:outlineLvl w:val="4"/>
    </w:pPr>
    <w:rPr>
      <w:color w:val="918585"/>
      <w:sz w:val="20"/>
    </w:rPr>
  </w:style>
  <w:style w:type="paragraph" w:styleId="Heading6">
    <w:name w:val="heading 6"/>
    <w:basedOn w:val="HeadingBase"/>
    <w:next w:val="Normal"/>
    <w:link w:val="Heading6Char"/>
    <w:qFormat/>
    <w:rsid w:val="00AD2AD9"/>
    <w:pPr>
      <w:spacing w:before="60"/>
      <w:outlineLvl w:val="5"/>
    </w:pPr>
    <w:rPr>
      <w:color w:val="918585"/>
      <w:sz w:val="20"/>
    </w:rPr>
  </w:style>
  <w:style w:type="paragraph" w:styleId="Heading7">
    <w:name w:val="heading 7"/>
    <w:basedOn w:val="Normal"/>
    <w:next w:val="Normal"/>
    <w:link w:val="Heading7Char"/>
    <w:qFormat/>
    <w:rsid w:val="00AD2AD9"/>
    <w:pPr>
      <w:ind w:left="720"/>
      <w:outlineLvl w:val="6"/>
    </w:pPr>
    <w:rPr>
      <w:i/>
    </w:rPr>
  </w:style>
  <w:style w:type="paragraph" w:styleId="Heading8">
    <w:name w:val="heading 8"/>
    <w:basedOn w:val="Normal"/>
    <w:next w:val="Normal"/>
    <w:link w:val="Heading8Char"/>
    <w:qFormat/>
    <w:rsid w:val="00AD2AD9"/>
    <w:pPr>
      <w:ind w:left="720"/>
      <w:outlineLvl w:val="7"/>
    </w:pPr>
    <w:rPr>
      <w:i/>
    </w:rPr>
  </w:style>
  <w:style w:type="paragraph" w:styleId="Heading9">
    <w:name w:val="heading 9"/>
    <w:basedOn w:val="Normal"/>
    <w:next w:val="Normal"/>
    <w:link w:val="Heading9Char"/>
    <w:qFormat/>
    <w:rsid w:val="00AD2AD9"/>
    <w:pPr>
      <w:ind w:left="720"/>
      <w:outlineLvl w:val="8"/>
    </w:pPr>
    <w:rPr>
      <w:i/>
    </w:rPr>
  </w:style>
  <w:style w:type="character" w:default="1" w:styleId="DefaultParagraphFont">
    <w:name w:val="Default Paragraph Font"/>
    <w:uiPriority w:val="1"/>
    <w:unhideWhenUsed/>
    <w:rsid w:val="00AD2A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AD9"/>
  </w:style>
  <w:style w:type="character" w:customStyle="1" w:styleId="Heading1Char">
    <w:name w:val="Heading 1 Char"/>
    <w:basedOn w:val="DefaultParagraphFont"/>
    <w:link w:val="Heading1"/>
    <w:rsid w:val="00AD2AD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D2AD9"/>
    <w:rPr>
      <w:rFonts w:ascii="Times New Roman" w:eastAsia="Times New Roman" w:hAnsi="Times New Roman" w:cs="Times New Roman"/>
      <w:b/>
      <w:szCs w:val="20"/>
      <w:lang w:eastAsia="en-US"/>
    </w:rPr>
  </w:style>
  <w:style w:type="paragraph" w:styleId="BodyText">
    <w:name w:val="Body Text"/>
    <w:basedOn w:val="Normal"/>
    <w:link w:val="BodyTextChar"/>
    <w:rsid w:val="00AD2A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2AD9"/>
    <w:rPr>
      <w:rFonts w:ascii="Times New Roman" w:eastAsia="Times New Roman" w:hAnsi="Times New Roman" w:cs="Times New Roman"/>
      <w:sz w:val="24"/>
      <w:lang w:eastAsia="en-US"/>
    </w:rPr>
  </w:style>
  <w:style w:type="paragraph" w:styleId="ListBullet">
    <w:name w:val="List Bullet"/>
    <w:basedOn w:val="List"/>
    <w:rsid w:val="00AD2AD9"/>
    <w:pPr>
      <w:numPr>
        <w:numId w:val="13"/>
      </w:numPr>
      <w:tabs>
        <w:tab w:val="clear" w:pos="340"/>
      </w:tabs>
      <w:spacing w:before="40" w:after="40"/>
    </w:pPr>
  </w:style>
  <w:style w:type="paragraph" w:styleId="ListBullet2">
    <w:name w:val="List Bullet 2"/>
    <w:basedOn w:val="List2"/>
    <w:rsid w:val="00AD2AD9"/>
    <w:pPr>
      <w:numPr>
        <w:numId w:val="14"/>
      </w:numPr>
      <w:tabs>
        <w:tab w:val="clear" w:pos="680"/>
      </w:tabs>
    </w:pPr>
  </w:style>
  <w:style w:type="paragraph" w:customStyle="1" w:styleId="SuperHeading">
    <w:name w:val="SuperHeading"/>
    <w:basedOn w:val="Normal"/>
    <w:rsid w:val="00AD2AD9"/>
    <w:pPr>
      <w:spacing w:before="240" w:after="120"/>
      <w:outlineLvl w:val="0"/>
    </w:pPr>
    <w:rPr>
      <w:rFonts w:ascii="Times New Roman" w:hAnsi="Times New Roman"/>
      <w:b/>
      <w:sz w:val="32"/>
    </w:rPr>
  </w:style>
  <w:style w:type="paragraph" w:customStyle="1" w:styleId="AllowPageBreak">
    <w:name w:val="AllowPageBreak"/>
    <w:rsid w:val="00AD2A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AD2AD9"/>
    <w:pPr>
      <w:spacing w:before="60" w:after="60"/>
    </w:pPr>
  </w:style>
  <w:style w:type="character" w:customStyle="1" w:styleId="BoldandItalics">
    <w:name w:val="Bold and Italics"/>
    <w:qFormat/>
    <w:rsid w:val="00AD2AD9"/>
    <w:rPr>
      <w:b/>
      <w:i/>
      <w:u w:val="none"/>
    </w:rPr>
  </w:style>
  <w:style w:type="character" w:customStyle="1" w:styleId="Heading2Char">
    <w:name w:val="Heading 2 Char"/>
    <w:basedOn w:val="DefaultParagraphFont"/>
    <w:link w:val="Heading2"/>
    <w:rsid w:val="00AD2A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AD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D2A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A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A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A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AD9"/>
    <w:rPr>
      <w:rFonts w:ascii="Courier New" w:eastAsia="Times New Roman" w:hAnsi="Courier New" w:cs="Times New Roman"/>
      <w:i/>
      <w:szCs w:val="20"/>
      <w:lang w:eastAsia="en-US"/>
    </w:rPr>
  </w:style>
  <w:style w:type="paragraph" w:customStyle="1" w:styleId="HeadingBase">
    <w:name w:val="Heading Base"/>
    <w:rsid w:val="00AD2A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AD9"/>
    <w:pPr>
      <w:tabs>
        <w:tab w:val="right" w:leader="dot" w:pos="9072"/>
      </w:tabs>
      <w:ind w:left="567"/>
    </w:pPr>
    <w:rPr>
      <w:szCs w:val="22"/>
    </w:rPr>
  </w:style>
  <w:style w:type="paragraph" w:customStyle="1" w:styleId="TOCBase">
    <w:name w:val="TOC Base"/>
    <w:rsid w:val="00AD2A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AD9"/>
    <w:pPr>
      <w:tabs>
        <w:tab w:val="right" w:leader="dot" w:pos="9072"/>
      </w:tabs>
      <w:spacing w:before="40" w:after="40"/>
      <w:ind w:left="284"/>
    </w:pPr>
    <w:rPr>
      <w:rFonts w:ascii="Times New Roman" w:hAnsi="Times New Roman"/>
    </w:rPr>
  </w:style>
  <w:style w:type="paragraph" w:styleId="TOC1">
    <w:name w:val="toc 1"/>
    <w:basedOn w:val="TOCBase"/>
    <w:next w:val="Normal"/>
    <w:rsid w:val="00AD2A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A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AD9"/>
    <w:rPr>
      <w:rFonts w:ascii="Times New Roman" w:eastAsia="Times New Roman" w:hAnsi="Times New Roman" w:cs="Times New Roman"/>
      <w:sz w:val="16"/>
      <w:lang w:eastAsia="en-US"/>
    </w:rPr>
  </w:style>
  <w:style w:type="paragraph" w:styleId="Title">
    <w:name w:val="Title"/>
    <w:basedOn w:val="HeadingBase"/>
    <w:link w:val="TitleChar"/>
    <w:qFormat/>
    <w:rsid w:val="00AD2AD9"/>
    <w:pPr>
      <w:spacing w:before="5040"/>
      <w:jc w:val="center"/>
    </w:pPr>
    <w:rPr>
      <w:sz w:val="48"/>
      <w:szCs w:val="72"/>
      <w:lang w:val="en-US"/>
    </w:rPr>
  </w:style>
  <w:style w:type="character" w:customStyle="1" w:styleId="TitleChar">
    <w:name w:val="Title Char"/>
    <w:basedOn w:val="DefaultParagraphFont"/>
    <w:link w:val="Title"/>
    <w:rsid w:val="00AD2A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AD9"/>
    <w:pPr>
      <w:tabs>
        <w:tab w:val="left" w:pos="3600"/>
        <w:tab w:val="left" w:pos="3958"/>
      </w:tabs>
    </w:pPr>
  </w:style>
  <w:style w:type="paragraph" w:styleId="List">
    <w:name w:val="List"/>
    <w:basedOn w:val="BodyText"/>
    <w:next w:val="BodyText"/>
    <w:rsid w:val="00AD2AD9"/>
    <w:pPr>
      <w:tabs>
        <w:tab w:val="left" w:pos="340"/>
      </w:tabs>
      <w:spacing w:before="60" w:after="60"/>
      <w:ind w:left="340" w:hanging="340"/>
    </w:pPr>
  </w:style>
  <w:style w:type="paragraph" w:customStyle="1" w:styleId="Note">
    <w:name w:val="Note"/>
    <w:basedOn w:val="BodyText"/>
    <w:rsid w:val="00AD2A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2AD9"/>
    <w:rPr>
      <w:b/>
      <w:spacing w:val="0"/>
    </w:rPr>
  </w:style>
  <w:style w:type="paragraph" w:customStyle="1" w:styleId="SuperTitle">
    <w:name w:val="SuperTitle"/>
    <w:basedOn w:val="Title"/>
    <w:rsid w:val="00AD2AD9"/>
    <w:pPr>
      <w:framePr w:wrap="auto" w:hAnchor="text" w:y="6049"/>
    </w:pPr>
    <w:rPr>
      <w:color w:val="000000"/>
      <w:sz w:val="40"/>
    </w:rPr>
  </w:style>
  <w:style w:type="paragraph" w:customStyle="1" w:styleId="TOCTitle">
    <w:name w:val="TOCTitle"/>
    <w:basedOn w:val="Heading1"/>
    <w:rsid w:val="00AD2AD9"/>
    <w:pPr>
      <w:spacing w:after="240"/>
      <w:jc w:val="center"/>
      <w:outlineLvl w:val="9"/>
    </w:pPr>
    <w:rPr>
      <w:caps/>
    </w:rPr>
  </w:style>
  <w:style w:type="paragraph" w:customStyle="1" w:styleId="Version">
    <w:name w:val="Version"/>
    <w:rsid w:val="00AD2A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2AD9"/>
    <w:pPr>
      <w:keepNext w:val="0"/>
      <w:tabs>
        <w:tab w:val="right" w:pos="4176"/>
      </w:tabs>
      <w:ind w:left="198" w:hanging="198"/>
    </w:pPr>
    <w:rPr>
      <w:rFonts w:ascii="Garamond" w:hAnsi="Garamond"/>
    </w:rPr>
  </w:style>
  <w:style w:type="paragraph" w:styleId="IndexHeading">
    <w:name w:val="index heading"/>
    <w:basedOn w:val="Normal"/>
    <w:next w:val="Index1"/>
    <w:semiHidden/>
    <w:rsid w:val="00AD2AD9"/>
    <w:pPr>
      <w:spacing w:before="120" w:after="120"/>
    </w:pPr>
    <w:rPr>
      <w:rFonts w:ascii="Arial" w:hAnsi="Arial"/>
      <w:b/>
      <w:color w:val="918585"/>
      <w:sz w:val="24"/>
    </w:rPr>
  </w:style>
  <w:style w:type="paragraph" w:styleId="Header">
    <w:name w:val="header"/>
    <w:basedOn w:val="Normal"/>
    <w:link w:val="HeaderChar"/>
    <w:rsid w:val="00AD2A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AD9"/>
    <w:rPr>
      <w:rFonts w:ascii="Times New Roman" w:eastAsia="Times New Roman" w:hAnsi="Times New Roman" w:cs="Times New Roman"/>
      <w:sz w:val="16"/>
      <w:szCs w:val="20"/>
      <w:lang w:val="en-GB" w:eastAsia="en-US"/>
    </w:rPr>
  </w:style>
  <w:style w:type="paragraph" w:customStyle="1" w:styleId="Chapter">
    <w:name w:val="Chapter"/>
    <w:basedOn w:val="Normal"/>
    <w:rsid w:val="00AD2AD9"/>
    <w:pPr>
      <w:spacing w:before="240"/>
    </w:pPr>
    <w:rPr>
      <w:rFonts w:ascii="Times New Roman" w:hAnsi="Times New Roman"/>
      <w:smallCaps/>
      <w:spacing w:val="80"/>
      <w:sz w:val="28"/>
    </w:rPr>
  </w:style>
  <w:style w:type="paragraph" w:customStyle="1" w:styleId="InChapter">
    <w:name w:val="InChapter"/>
    <w:basedOn w:val="Heading3"/>
    <w:rsid w:val="00AD2AD9"/>
    <w:pPr>
      <w:spacing w:after="240"/>
      <w:outlineLvl w:val="9"/>
    </w:pPr>
    <w:rPr>
      <w:noProof/>
    </w:rPr>
  </w:style>
  <w:style w:type="paragraph" w:styleId="Index2">
    <w:name w:val="index 2"/>
    <w:basedOn w:val="Normal"/>
    <w:next w:val="Normal"/>
    <w:semiHidden/>
    <w:rsid w:val="00AD2AD9"/>
    <w:pPr>
      <w:tabs>
        <w:tab w:val="right" w:pos="4176"/>
      </w:tabs>
      <w:ind w:left="568" w:hanging="284"/>
    </w:pPr>
    <w:rPr>
      <w:rFonts w:ascii="Garamond" w:hAnsi="Garamond"/>
    </w:rPr>
  </w:style>
  <w:style w:type="paragraph" w:customStyle="1" w:styleId="Byline">
    <w:name w:val="Byline"/>
    <w:rsid w:val="00AD2A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AD9"/>
    <w:pPr>
      <w:tabs>
        <w:tab w:val="clear" w:pos="3600"/>
        <w:tab w:val="clear" w:pos="3958"/>
      </w:tabs>
      <w:jc w:val="right"/>
    </w:pPr>
  </w:style>
  <w:style w:type="character" w:styleId="Emphasis">
    <w:name w:val="Emphasis"/>
    <w:basedOn w:val="DefaultParagraphFont"/>
    <w:qFormat/>
    <w:rsid w:val="00AD2AD9"/>
    <w:rPr>
      <w:i/>
    </w:rPr>
  </w:style>
  <w:style w:type="paragraph" w:styleId="Caption">
    <w:name w:val="caption"/>
    <w:basedOn w:val="BodyText"/>
    <w:next w:val="Normal"/>
    <w:qFormat/>
    <w:rsid w:val="00AD2AD9"/>
    <w:pPr>
      <w:framePr w:w="2268" w:hSpace="181" w:vSpace="181" w:wrap="around" w:vAnchor="text" w:hAnchor="page" w:x="1135" w:y="285" w:anchorLock="1"/>
    </w:pPr>
    <w:rPr>
      <w:i/>
    </w:rPr>
  </w:style>
  <w:style w:type="paragraph" w:customStyle="1" w:styleId="MiniTOCTitle">
    <w:name w:val="MiniTOCTitle"/>
    <w:basedOn w:val="Heading4"/>
    <w:rsid w:val="00AD2AD9"/>
    <w:pPr>
      <w:spacing w:before="240"/>
      <w:outlineLvl w:val="9"/>
    </w:pPr>
    <w:rPr>
      <w:noProof/>
      <w:sz w:val="24"/>
    </w:rPr>
  </w:style>
  <w:style w:type="paragraph" w:customStyle="1" w:styleId="MiniTOCItem">
    <w:name w:val="MiniTOCItem"/>
    <w:basedOn w:val="ListBullet"/>
    <w:rsid w:val="00AD2AD9"/>
    <w:pPr>
      <w:numPr>
        <w:numId w:val="0"/>
      </w:numPr>
      <w:tabs>
        <w:tab w:val="right" w:leader="dot" w:pos="6521"/>
      </w:tabs>
      <w:spacing w:before="0" w:after="0"/>
    </w:pPr>
  </w:style>
  <w:style w:type="paragraph" w:customStyle="1" w:styleId="TOFTitle">
    <w:name w:val="TOFTitle"/>
    <w:basedOn w:val="TOCTitle"/>
    <w:rsid w:val="00AD2AD9"/>
  </w:style>
  <w:style w:type="paragraph" w:styleId="TableofFigures">
    <w:name w:val="table of figures"/>
    <w:basedOn w:val="Normal"/>
    <w:next w:val="Normal"/>
    <w:semiHidden/>
    <w:rsid w:val="00AD2AD9"/>
    <w:pPr>
      <w:tabs>
        <w:tab w:val="right" w:leader="dot" w:pos="9072"/>
      </w:tabs>
      <w:ind w:left="970" w:hanging="403"/>
    </w:pPr>
    <w:rPr>
      <w:rFonts w:ascii="Times New Roman" w:hAnsi="Times New Roman"/>
      <w:b/>
    </w:rPr>
  </w:style>
  <w:style w:type="paragraph" w:styleId="ListNumber">
    <w:name w:val="List Number"/>
    <w:basedOn w:val="List"/>
    <w:rsid w:val="00AD2AD9"/>
    <w:pPr>
      <w:numPr>
        <w:numId w:val="11"/>
      </w:numPr>
    </w:pPr>
  </w:style>
  <w:style w:type="character" w:customStyle="1" w:styleId="WingdingSymbols">
    <w:name w:val="Wingding Symbols"/>
    <w:rsid w:val="00AD2AD9"/>
    <w:rPr>
      <w:rFonts w:ascii="Wingdings" w:hAnsi="Wingdings"/>
    </w:rPr>
  </w:style>
  <w:style w:type="paragraph" w:customStyle="1" w:styleId="TableHeading">
    <w:name w:val="Table Heading"/>
    <w:basedOn w:val="HeadingBase"/>
    <w:rsid w:val="00AD2AD9"/>
    <w:pPr>
      <w:keepLines/>
      <w:pBdr>
        <w:bottom w:val="single" w:sz="6" w:space="1" w:color="918585"/>
      </w:pBdr>
      <w:spacing w:before="240"/>
    </w:pPr>
  </w:style>
  <w:style w:type="character" w:customStyle="1" w:styleId="HotSpot">
    <w:name w:val="HotSpot"/>
    <w:rsid w:val="00AD2AD9"/>
    <w:rPr>
      <w:color w:val="0033CC"/>
      <w:u w:val="none"/>
    </w:rPr>
  </w:style>
  <w:style w:type="paragraph" w:customStyle="1" w:styleId="BodyTextRight">
    <w:name w:val="Body Text Right"/>
    <w:basedOn w:val="BodyText"/>
    <w:rsid w:val="00AD2AD9"/>
    <w:pPr>
      <w:spacing w:before="0" w:after="0"/>
      <w:jc w:val="right"/>
    </w:pPr>
  </w:style>
  <w:style w:type="paragraph" w:styleId="Index3">
    <w:name w:val="index 3"/>
    <w:basedOn w:val="ListNumber2"/>
    <w:next w:val="Normal"/>
    <w:semiHidden/>
    <w:rsid w:val="00AD2AD9"/>
    <w:pPr>
      <w:numPr>
        <w:numId w:val="0"/>
      </w:numPr>
      <w:tabs>
        <w:tab w:val="right" w:leader="dot" w:pos="4176"/>
      </w:tabs>
    </w:pPr>
  </w:style>
  <w:style w:type="paragraph" w:styleId="ListNumber2">
    <w:name w:val="List Number 2"/>
    <w:basedOn w:val="List2"/>
    <w:rsid w:val="00AD2AD9"/>
    <w:pPr>
      <w:numPr>
        <w:numId w:val="10"/>
      </w:numPr>
      <w:tabs>
        <w:tab w:val="clear" w:pos="1060"/>
      </w:tabs>
    </w:pPr>
  </w:style>
  <w:style w:type="paragraph" w:customStyle="1" w:styleId="MarginNote">
    <w:name w:val="Margin Note"/>
    <w:basedOn w:val="BodyText"/>
    <w:rsid w:val="00AD2A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A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A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AD9"/>
    <w:rPr>
      <w:sz w:val="32"/>
    </w:rPr>
  </w:style>
  <w:style w:type="paragraph" w:customStyle="1" w:styleId="HeadingProcedure">
    <w:name w:val="Heading Procedure"/>
    <w:basedOn w:val="HeadingBase"/>
    <w:next w:val="Normal"/>
    <w:rsid w:val="00AD2AD9"/>
    <w:pPr>
      <w:tabs>
        <w:tab w:val="left" w:pos="0"/>
      </w:tabs>
      <w:spacing w:before="120" w:after="60"/>
    </w:pPr>
    <w:rPr>
      <w:i/>
      <w:color w:val="918585"/>
      <w:sz w:val="22"/>
    </w:rPr>
  </w:style>
  <w:style w:type="paragraph" w:styleId="ListContinue">
    <w:name w:val="List Continue"/>
    <w:basedOn w:val="List"/>
    <w:rsid w:val="00AD2AD9"/>
    <w:pPr>
      <w:ind w:firstLine="0"/>
    </w:pPr>
  </w:style>
  <w:style w:type="paragraph" w:customStyle="1" w:styleId="ListNote">
    <w:name w:val="List Note"/>
    <w:basedOn w:val="List"/>
    <w:rsid w:val="00AD2AD9"/>
    <w:pPr>
      <w:pBdr>
        <w:top w:val="single" w:sz="6" w:space="2" w:color="918585"/>
        <w:bottom w:val="single" w:sz="6" w:space="2" w:color="918585"/>
      </w:pBdr>
      <w:tabs>
        <w:tab w:val="left" w:pos="1021"/>
      </w:tabs>
      <w:ind w:firstLine="0"/>
    </w:pPr>
  </w:style>
  <w:style w:type="paragraph" w:customStyle="1" w:styleId="Warning">
    <w:name w:val="Warning"/>
    <w:basedOn w:val="BodyText"/>
    <w:rsid w:val="00AD2AD9"/>
    <w:pPr>
      <w:shd w:val="clear" w:color="auto" w:fill="D9D9D9"/>
      <w:tabs>
        <w:tab w:val="left" w:pos="992"/>
      </w:tabs>
      <w:ind w:left="119" w:right="119"/>
    </w:pPr>
    <w:rPr>
      <w:sz w:val="20"/>
    </w:rPr>
  </w:style>
  <w:style w:type="paragraph" w:customStyle="1" w:styleId="MarginIcons">
    <w:name w:val="Margin Icons"/>
    <w:basedOn w:val="BodyText"/>
    <w:rsid w:val="00AD2A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AD9"/>
    <w:rPr>
      <w:rFonts w:ascii="Courier New" w:hAnsi="Courier New"/>
    </w:rPr>
  </w:style>
  <w:style w:type="paragraph" w:customStyle="1" w:styleId="NoteBullet">
    <w:name w:val="Note Bullet"/>
    <w:basedOn w:val="Note"/>
    <w:rsid w:val="00AD2AD9"/>
    <w:pPr>
      <w:tabs>
        <w:tab w:val="clear" w:pos="680"/>
      </w:tabs>
      <w:spacing w:before="60" w:after="60"/>
    </w:pPr>
  </w:style>
  <w:style w:type="paragraph" w:customStyle="1" w:styleId="SubHeading2">
    <w:name w:val="SubHeading2"/>
    <w:basedOn w:val="HeadingBase"/>
    <w:rsid w:val="00AD2AD9"/>
    <w:pPr>
      <w:spacing w:before="240" w:after="60"/>
    </w:pPr>
    <w:rPr>
      <w:sz w:val="20"/>
    </w:rPr>
  </w:style>
  <w:style w:type="paragraph" w:customStyle="1" w:styleId="SubHeading1">
    <w:name w:val="SubHeading1"/>
    <w:basedOn w:val="HeadingBase"/>
    <w:rsid w:val="00AD2AD9"/>
    <w:pPr>
      <w:spacing w:before="240" w:after="60"/>
    </w:pPr>
    <w:rPr>
      <w:color w:val="918585"/>
      <w:sz w:val="22"/>
    </w:rPr>
  </w:style>
  <w:style w:type="paragraph" w:customStyle="1" w:styleId="SideHeading">
    <w:name w:val="Side Heading"/>
    <w:basedOn w:val="HeadingBase"/>
    <w:rsid w:val="00AD2A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AD9"/>
    <w:pPr>
      <w:numPr>
        <w:numId w:val="12"/>
      </w:numPr>
    </w:pPr>
  </w:style>
  <w:style w:type="paragraph" w:styleId="PlainText">
    <w:name w:val="Plain Text"/>
    <w:basedOn w:val="Normal"/>
    <w:link w:val="PlainTextChar"/>
    <w:rsid w:val="00AD2AD9"/>
    <w:rPr>
      <w:sz w:val="20"/>
    </w:rPr>
  </w:style>
  <w:style w:type="character" w:customStyle="1" w:styleId="PlainTextChar">
    <w:name w:val="Plain Text Char"/>
    <w:basedOn w:val="DefaultParagraphFont"/>
    <w:link w:val="PlainText"/>
    <w:rsid w:val="00AD2AD9"/>
    <w:rPr>
      <w:rFonts w:ascii="Courier New" w:eastAsia="Times New Roman" w:hAnsi="Courier New" w:cs="Times New Roman"/>
      <w:sz w:val="20"/>
      <w:szCs w:val="20"/>
      <w:lang w:eastAsia="en-US"/>
    </w:rPr>
  </w:style>
  <w:style w:type="character" w:customStyle="1" w:styleId="MenuOption">
    <w:name w:val="Menu Option"/>
    <w:basedOn w:val="DefaultParagraphFont"/>
    <w:rsid w:val="00AD2AD9"/>
    <w:rPr>
      <w:b/>
      <w:smallCaps/>
    </w:rPr>
  </w:style>
  <w:style w:type="paragraph" w:customStyle="1" w:styleId="TableListNumber">
    <w:name w:val="Table List Number"/>
    <w:basedOn w:val="ListNumber"/>
    <w:rsid w:val="00AD2AD9"/>
    <w:pPr>
      <w:numPr>
        <w:numId w:val="0"/>
      </w:numPr>
    </w:pPr>
  </w:style>
  <w:style w:type="paragraph" w:styleId="TOC4">
    <w:name w:val="toc 4"/>
    <w:basedOn w:val="TOCBase"/>
    <w:next w:val="Normal"/>
    <w:semiHidden/>
    <w:rsid w:val="00AD2AD9"/>
    <w:pPr>
      <w:tabs>
        <w:tab w:val="right" w:leader="dot" w:pos="9071"/>
      </w:tabs>
      <w:ind w:left="1701"/>
    </w:pPr>
  </w:style>
  <w:style w:type="paragraph" w:customStyle="1" w:styleId="ListAlpha">
    <w:name w:val="List Alpha"/>
    <w:basedOn w:val="List"/>
    <w:rsid w:val="00AD2AD9"/>
    <w:pPr>
      <w:numPr>
        <w:numId w:val="9"/>
      </w:numPr>
    </w:pPr>
  </w:style>
  <w:style w:type="paragraph" w:customStyle="1" w:styleId="ListAlpha2">
    <w:name w:val="List Alpha 2"/>
    <w:basedOn w:val="List2"/>
    <w:rsid w:val="00AD2AD9"/>
    <w:pPr>
      <w:numPr>
        <w:numId w:val="8"/>
      </w:numPr>
    </w:pPr>
  </w:style>
  <w:style w:type="paragraph" w:styleId="List2">
    <w:name w:val="List 2"/>
    <w:basedOn w:val="BodyText"/>
    <w:rsid w:val="00AD2AD9"/>
    <w:pPr>
      <w:tabs>
        <w:tab w:val="left" w:pos="680"/>
      </w:tabs>
      <w:spacing w:before="60" w:after="60"/>
      <w:ind w:left="680" w:hanging="340"/>
    </w:pPr>
  </w:style>
  <w:style w:type="paragraph" w:styleId="List3">
    <w:name w:val="List 3"/>
    <w:basedOn w:val="BodyText"/>
    <w:rsid w:val="00AD2AD9"/>
    <w:pPr>
      <w:tabs>
        <w:tab w:val="left" w:pos="1021"/>
      </w:tabs>
      <w:spacing w:before="60" w:after="60"/>
      <w:ind w:left="1020" w:hanging="340"/>
    </w:pPr>
  </w:style>
  <w:style w:type="paragraph" w:styleId="List4">
    <w:name w:val="List 4"/>
    <w:basedOn w:val="BodyText"/>
    <w:rsid w:val="00AD2AD9"/>
    <w:pPr>
      <w:tabs>
        <w:tab w:val="left" w:pos="1361"/>
      </w:tabs>
      <w:spacing w:before="60" w:after="60"/>
      <w:ind w:left="1361" w:hanging="340"/>
    </w:pPr>
  </w:style>
  <w:style w:type="paragraph" w:styleId="List5">
    <w:name w:val="List 5"/>
    <w:basedOn w:val="BodyText"/>
    <w:rsid w:val="00AD2AD9"/>
    <w:pPr>
      <w:tabs>
        <w:tab w:val="left" w:pos="1701"/>
      </w:tabs>
      <w:spacing w:before="60" w:after="60"/>
      <w:ind w:left="1701" w:hanging="340"/>
    </w:pPr>
  </w:style>
  <w:style w:type="paragraph" w:styleId="ListBullet3">
    <w:name w:val="List Bullet 3"/>
    <w:basedOn w:val="List3"/>
    <w:rsid w:val="00AD2AD9"/>
    <w:pPr>
      <w:numPr>
        <w:numId w:val="15"/>
      </w:numPr>
      <w:tabs>
        <w:tab w:val="clear" w:pos="1021"/>
      </w:tabs>
      <w:ind w:left="1037" w:hanging="357"/>
    </w:pPr>
  </w:style>
  <w:style w:type="paragraph" w:styleId="ListBullet4">
    <w:name w:val="List Bullet 4"/>
    <w:basedOn w:val="List4"/>
    <w:rsid w:val="00AD2AD9"/>
    <w:pPr>
      <w:numPr>
        <w:numId w:val="3"/>
      </w:numPr>
      <w:tabs>
        <w:tab w:val="clear" w:pos="1361"/>
      </w:tabs>
    </w:pPr>
  </w:style>
  <w:style w:type="paragraph" w:styleId="ListBullet5">
    <w:name w:val="List Bullet 5"/>
    <w:basedOn w:val="List5"/>
    <w:rsid w:val="00AD2AD9"/>
    <w:pPr>
      <w:numPr>
        <w:numId w:val="4"/>
      </w:numPr>
    </w:pPr>
  </w:style>
  <w:style w:type="paragraph" w:styleId="ListContinue2">
    <w:name w:val="List Continue 2"/>
    <w:basedOn w:val="List2"/>
    <w:rsid w:val="00AD2AD9"/>
    <w:pPr>
      <w:ind w:firstLine="0"/>
    </w:pPr>
  </w:style>
  <w:style w:type="paragraph" w:styleId="ListContinue3">
    <w:name w:val="List Continue 3"/>
    <w:basedOn w:val="List3"/>
    <w:rsid w:val="00AD2AD9"/>
    <w:pPr>
      <w:ind w:left="1021" w:firstLine="0"/>
    </w:pPr>
  </w:style>
  <w:style w:type="paragraph" w:styleId="ListContinue4">
    <w:name w:val="List Continue 4"/>
    <w:basedOn w:val="List4"/>
    <w:rsid w:val="00AD2AD9"/>
    <w:pPr>
      <w:ind w:firstLine="0"/>
    </w:pPr>
  </w:style>
  <w:style w:type="paragraph" w:styleId="ListContinue5">
    <w:name w:val="List Continue 5"/>
    <w:basedOn w:val="List5"/>
    <w:rsid w:val="00AD2AD9"/>
    <w:pPr>
      <w:ind w:firstLine="0"/>
    </w:pPr>
  </w:style>
  <w:style w:type="paragraph" w:styleId="ListNumber3">
    <w:name w:val="List Number 3"/>
    <w:basedOn w:val="List3"/>
    <w:rsid w:val="00AD2AD9"/>
    <w:pPr>
      <w:numPr>
        <w:numId w:val="5"/>
      </w:numPr>
    </w:pPr>
  </w:style>
  <w:style w:type="paragraph" w:styleId="ListNumber4">
    <w:name w:val="List Number 4"/>
    <w:basedOn w:val="List4"/>
    <w:rsid w:val="00AD2AD9"/>
    <w:pPr>
      <w:numPr>
        <w:numId w:val="6"/>
      </w:numPr>
    </w:pPr>
  </w:style>
  <w:style w:type="paragraph" w:styleId="ListNumber5">
    <w:name w:val="List Number 5"/>
    <w:basedOn w:val="List5"/>
    <w:rsid w:val="00AD2AD9"/>
    <w:pPr>
      <w:numPr>
        <w:numId w:val="7"/>
      </w:numPr>
    </w:pPr>
  </w:style>
  <w:style w:type="paragraph" w:styleId="BlockText">
    <w:name w:val="Block Text"/>
    <w:basedOn w:val="Normal"/>
    <w:rsid w:val="00AD2AD9"/>
    <w:pPr>
      <w:spacing w:after="120"/>
      <w:ind w:left="1440" w:right="1440"/>
    </w:pPr>
  </w:style>
  <w:style w:type="character" w:customStyle="1" w:styleId="Subscript">
    <w:name w:val="Subscript"/>
    <w:basedOn w:val="DefaultParagraphFont"/>
    <w:rsid w:val="00AD2AD9"/>
    <w:rPr>
      <w:sz w:val="16"/>
      <w:vertAlign w:val="subscript"/>
    </w:rPr>
  </w:style>
  <w:style w:type="character" w:customStyle="1" w:styleId="Superscript">
    <w:name w:val="Superscript"/>
    <w:basedOn w:val="DefaultParagraphFont"/>
    <w:rsid w:val="00AD2AD9"/>
    <w:rPr>
      <w:sz w:val="16"/>
      <w:vertAlign w:val="superscript"/>
    </w:rPr>
  </w:style>
  <w:style w:type="character" w:customStyle="1" w:styleId="Symbols">
    <w:name w:val="Symbols"/>
    <w:basedOn w:val="DefaultParagraphFont"/>
    <w:rsid w:val="00AD2AD9"/>
    <w:rPr>
      <w:rFonts w:ascii="Symbol" w:hAnsi="Symbol"/>
    </w:rPr>
  </w:style>
  <w:style w:type="character" w:customStyle="1" w:styleId="MenuOptions">
    <w:name w:val="Menu Options"/>
    <w:basedOn w:val="DefaultParagraphFont"/>
    <w:rsid w:val="00AD2AD9"/>
    <w:rPr>
      <w:rFonts w:ascii="Arial Narrow" w:hAnsi="Arial Narrow"/>
      <w:smallCaps/>
    </w:rPr>
  </w:style>
  <w:style w:type="character" w:customStyle="1" w:styleId="Buttons">
    <w:name w:val="Buttons"/>
    <w:basedOn w:val="DefaultParagraphFont"/>
    <w:rsid w:val="00AD2AD9"/>
    <w:rPr>
      <w:b/>
    </w:rPr>
  </w:style>
  <w:style w:type="character" w:customStyle="1" w:styleId="Underlined">
    <w:name w:val="Underlined"/>
    <w:basedOn w:val="DefaultParagraphFont"/>
    <w:rsid w:val="00AD2AD9"/>
    <w:rPr>
      <w:u w:val="single"/>
    </w:rPr>
  </w:style>
  <w:style w:type="paragraph" w:customStyle="1" w:styleId="TableBodyTextRight">
    <w:name w:val="Table Body Text Right"/>
    <w:basedOn w:val="TableBodyText"/>
    <w:rsid w:val="00AD2AD9"/>
    <w:pPr>
      <w:widowControl w:val="0"/>
      <w:autoSpaceDE w:val="0"/>
      <w:autoSpaceDN w:val="0"/>
      <w:adjustRightInd w:val="0"/>
      <w:jc w:val="right"/>
    </w:pPr>
    <w:rPr>
      <w:rFonts w:cs="Arial"/>
      <w:szCs w:val="18"/>
    </w:rPr>
  </w:style>
  <w:style w:type="paragraph" w:customStyle="1" w:styleId="CopyrightText">
    <w:name w:val="Copyright Text"/>
    <w:basedOn w:val="BodyText"/>
    <w:rsid w:val="00AD2AD9"/>
    <w:rPr>
      <w:sz w:val="18"/>
    </w:rPr>
  </w:style>
  <w:style w:type="paragraph" w:customStyle="1" w:styleId="BodySmallRight">
    <w:name w:val="Body Small Right"/>
    <w:basedOn w:val="BodyTextRight"/>
    <w:rsid w:val="00AD2AD9"/>
    <w:rPr>
      <w:sz w:val="18"/>
      <w:szCs w:val="18"/>
    </w:rPr>
  </w:style>
  <w:style w:type="paragraph" w:customStyle="1" w:styleId="MarginEdition">
    <w:name w:val="Margin Edition"/>
    <w:basedOn w:val="MarginNote"/>
    <w:rsid w:val="00AD2AD9"/>
    <w:pPr>
      <w:spacing w:before="0" w:after="0"/>
    </w:pPr>
    <w:rPr>
      <w:rFonts w:ascii="Times New Roman" w:hAnsi="Times New Roman"/>
      <w:color w:val="999999"/>
    </w:rPr>
  </w:style>
  <w:style w:type="paragraph" w:customStyle="1" w:styleId="Spacer">
    <w:name w:val="Spacer"/>
    <w:basedOn w:val="Normal"/>
    <w:rsid w:val="00AD2AD9"/>
    <w:rPr>
      <w:sz w:val="2"/>
      <w:szCs w:val="2"/>
    </w:rPr>
  </w:style>
  <w:style w:type="character" w:customStyle="1" w:styleId="Small">
    <w:name w:val="Small"/>
    <w:basedOn w:val="DefaultParagraphFont"/>
    <w:rsid w:val="00AD2AD9"/>
    <w:rPr>
      <w:sz w:val="16"/>
    </w:rPr>
  </w:style>
  <w:style w:type="paragraph" w:customStyle="1" w:styleId="WideTable">
    <w:name w:val="Wide Table"/>
    <w:basedOn w:val="Normal"/>
    <w:rsid w:val="00AD2AD9"/>
    <w:pPr>
      <w:ind w:left="-1418"/>
    </w:pPr>
    <w:rPr>
      <w:sz w:val="2"/>
      <w:szCs w:val="2"/>
    </w:rPr>
  </w:style>
  <w:style w:type="character" w:styleId="PageNumber">
    <w:name w:val="page number"/>
    <w:basedOn w:val="DefaultParagraphFont"/>
    <w:rsid w:val="00AD2AD9"/>
  </w:style>
  <w:style w:type="paragraph" w:styleId="Quote">
    <w:name w:val="Quote"/>
    <w:basedOn w:val="Heading1"/>
    <w:link w:val="QuoteChar"/>
    <w:qFormat/>
    <w:rsid w:val="00AD2AD9"/>
    <w:rPr>
      <w:b w:val="0"/>
      <w:sz w:val="72"/>
      <w:szCs w:val="72"/>
      <w:lang w:val="en-NZ"/>
    </w:rPr>
  </w:style>
  <w:style w:type="character" w:customStyle="1" w:styleId="QuoteChar">
    <w:name w:val="Quote Char"/>
    <w:basedOn w:val="DefaultParagraphFont"/>
    <w:link w:val="Quote"/>
    <w:rsid w:val="00AD2A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AD9"/>
    <w:pPr>
      <w:pageBreakBefore/>
    </w:pPr>
  </w:style>
  <w:style w:type="paragraph" w:customStyle="1" w:styleId="Border">
    <w:name w:val="Border"/>
    <w:basedOn w:val="Normal"/>
    <w:qFormat/>
    <w:rsid w:val="00AD2A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AD9"/>
    <w:rPr>
      <w:b/>
      <w:bCs/>
      <w:i/>
      <w:iCs/>
      <w:color w:val="auto"/>
    </w:rPr>
  </w:style>
  <w:style w:type="paragraph" w:styleId="IntenseQuote">
    <w:name w:val="Intense Quote"/>
    <w:basedOn w:val="Normal"/>
    <w:next w:val="Normal"/>
    <w:link w:val="IntenseQuoteChar"/>
    <w:uiPriority w:val="30"/>
    <w:qFormat/>
    <w:rsid w:val="00AD2A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A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AD9"/>
    <w:rPr>
      <w:smallCaps/>
      <w:color w:val="auto"/>
      <w:u w:val="single"/>
    </w:rPr>
  </w:style>
  <w:style w:type="character" w:styleId="IntenseReference">
    <w:name w:val="Intense Reference"/>
    <w:basedOn w:val="DefaultParagraphFont"/>
    <w:uiPriority w:val="32"/>
    <w:qFormat/>
    <w:rsid w:val="00AD2AD9"/>
    <w:rPr>
      <w:b/>
      <w:bCs/>
      <w:smallCaps/>
      <w:color w:val="auto"/>
      <w:spacing w:val="5"/>
      <w:u w:val="single"/>
    </w:rPr>
  </w:style>
  <w:style w:type="paragraph" w:customStyle="1" w:styleId="2ColumnHeading">
    <w:name w:val="2Column Heading"/>
    <w:basedOn w:val="BodyText"/>
    <w:qFormat/>
    <w:rsid w:val="00AD2AD9"/>
    <w:pPr>
      <w:spacing w:after="60"/>
      <w:ind w:left="-2268"/>
    </w:pPr>
    <w:rPr>
      <w:b/>
    </w:rPr>
  </w:style>
  <w:style w:type="paragraph" w:customStyle="1" w:styleId="Heading1TOC">
    <w:name w:val="Heading1 TOC"/>
    <w:basedOn w:val="Normal"/>
    <w:qFormat/>
    <w:rsid w:val="00AD2AD9"/>
    <w:pPr>
      <w:spacing w:before="240" w:after="120"/>
    </w:pPr>
    <w:rPr>
      <w:rFonts w:ascii="Times New Roman" w:hAnsi="Times New Roman"/>
      <w:b/>
      <w:sz w:val="32"/>
    </w:rPr>
  </w:style>
  <w:style w:type="paragraph" w:customStyle="1" w:styleId="Heading2TOC">
    <w:name w:val="Heading2 TOC"/>
    <w:basedOn w:val="Normal"/>
    <w:qFormat/>
    <w:rsid w:val="00AD2AD9"/>
    <w:pPr>
      <w:spacing w:before="240" w:after="60"/>
    </w:pPr>
    <w:rPr>
      <w:rFonts w:ascii="Times New Roman" w:hAnsi="Times New Roman"/>
      <w:b/>
      <w:sz w:val="28"/>
    </w:rPr>
  </w:style>
  <w:style w:type="character" w:customStyle="1" w:styleId="Underline">
    <w:name w:val="Underline"/>
    <w:basedOn w:val="DefaultParagraphFont"/>
    <w:qFormat/>
    <w:rsid w:val="00AD2AD9"/>
    <w:rPr>
      <w:u w:val="single"/>
    </w:rPr>
  </w:style>
  <w:style w:type="paragraph" w:styleId="BalloonText">
    <w:name w:val="Balloon Text"/>
    <w:basedOn w:val="Normal"/>
    <w:link w:val="BalloonTextChar"/>
    <w:rsid w:val="00AD2AD9"/>
    <w:rPr>
      <w:rFonts w:ascii="Tahoma" w:hAnsi="Tahoma" w:cs="Tahoma"/>
      <w:sz w:val="16"/>
      <w:szCs w:val="16"/>
    </w:rPr>
  </w:style>
  <w:style w:type="character" w:customStyle="1" w:styleId="BalloonTextChar">
    <w:name w:val="Balloon Text Char"/>
    <w:basedOn w:val="DefaultParagraphFont"/>
    <w:link w:val="BalloonText"/>
    <w:rsid w:val="00AD2A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A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2A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AD9"/>
    <w:rPr>
      <w:b/>
      <w:color w:val="660033"/>
      <w:spacing w:val="0"/>
    </w:rPr>
  </w:style>
  <w:style w:type="paragraph" w:customStyle="1" w:styleId="Nameditemlist">
    <w:name w:val="Named item list"/>
    <w:basedOn w:val="BodyText"/>
    <w:qFormat/>
    <w:rsid w:val="00AD2A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842</Words>
  <Characters>5552</Characters>
  <Application>Microsoft Office Word</Application>
  <DocSecurity>0</DocSecurity>
  <Lines>230</Lines>
  <Paragraphs>208</Paragraphs>
  <ScaleCrop>false</ScaleCrop>
  <Company>Author-it Software Corporation Ltd.</Company>
  <LinksUpToDate>false</LinksUpToDate>
  <CharactersWithSpaces>6203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RII20313 Certificate II in Underground Coal Mining</dc:title>
  <dc:subject>Approved</dc:subject>
  <dc:creator>SkillsDMC</dc:creator>
  <cp:keywords>Release 3</cp:keywords>
  <dc:description>Review Date: 12 April 2008</dc:description>
  <cp:lastModifiedBy>TPCMS</cp:lastModifiedBy>
  <cp:revision>3</cp:revision>
  <dcterms:created xsi:type="dcterms:W3CDTF">2014-12-07T13:55:19Z</dcterms:created>
  <dcterms:modified xsi:type="dcterms:W3CDTF">2014-12-05T05:19:00Z</dcterms:modified>
</cp:coreProperties>
</file>