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616" w:rsidP="00FA5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RII20215 Certificate II in Surface Extraction Operations</w:t>
      </w:r>
      <w:r>
        <w:fldChar w:fldCharType="end"/>
      </w:r>
    </w:p>
    <w:p w:rsidR="00FA5616" w:rsidP="00FA5616">
      <w:pPr>
        <w:pStyle w:val="Version"/>
        <w:sectPr w:rsidSect="006E5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E5B7B" w:rsidP="006E5B7B">
      <w:pPr>
        <w:pStyle w:val="SuperHeading"/>
      </w:pPr>
      <w:r w:rsidRPr="006E5B7B">
        <w:t>RII20215 Certificate II in Surface Extraction Operations</w:t>
      </w:r>
    </w:p>
    <w:p w:rsidR="00000000" w:rsidRPr="006E5B7B" w:rsidP="006E5B7B">
      <w:pPr>
        <w:pStyle w:val="Heading1"/>
      </w:pPr>
      <w:bookmarkStart w:id="1" w:name="O_1123179"/>
      <w:bookmarkEnd w:id="1"/>
      <w:r w:rsidRPr="006E5B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FA5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Heading4"/>
              <w:rPr>
                <w:lang w:val="en-NZ"/>
              </w:rPr>
            </w:pPr>
            <w:r w:rsidRPr="006E5B7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Heading4"/>
              <w:rPr>
                <w:lang w:val="en-NZ"/>
              </w:rPr>
            </w:pPr>
            <w:r w:rsidRPr="006E5B7B">
              <w:t>Comment</w:t>
            </w:r>
          </w:p>
        </w:tc>
      </w:tr>
      <w:tr w:rsidTr="00FA5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BodyText"/>
              <w:rPr>
                <w:lang w:val="en-NZ"/>
              </w:rPr>
            </w:pPr>
            <w:r w:rsidRPr="006E5B7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BodyText"/>
              <w:rPr>
                <w:lang w:val="en-NZ"/>
              </w:rPr>
            </w:pPr>
            <w:r w:rsidRPr="006E5B7B">
              <w:t>This qualification replaces RII20213 Certificate II in Surface Extraction Operations. Packaging rules changed to clarify intent. Elective Groups C and D combined. Added RIIBLA203D Conduct mobile mix</w:t>
            </w:r>
            <w:r w:rsidRPr="006E5B7B">
              <w:t>ing of explosives to Group B electives, and BSBDIV301 Work effectively with diversity to Group C electives. Added qualification mapping information.</w:t>
            </w:r>
          </w:p>
        </w:tc>
      </w:tr>
      <w:tr w:rsidTr="00FA5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BodyText"/>
              <w:rPr>
                <w:lang w:val="en-NZ"/>
              </w:rPr>
            </w:pPr>
            <w:r w:rsidRPr="006E5B7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BodyText"/>
              <w:rPr>
                <w:lang w:val="en-NZ"/>
              </w:rPr>
            </w:pPr>
            <w:r w:rsidRPr="006E5B7B">
              <w:t>This version was released with RII Resources and Infrastructure Training Package version 3.0.</w:t>
            </w:r>
          </w:p>
        </w:tc>
      </w:tr>
      <w:tr w:rsidTr="00FA5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BodyText"/>
              <w:rPr>
                <w:lang w:val="en-NZ"/>
              </w:rPr>
            </w:pPr>
            <w:r w:rsidRPr="006E5B7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7B" w:rsidP="006E5B7B">
            <w:pPr>
              <w:pStyle w:val="BodyText"/>
            </w:pPr>
            <w:r w:rsidRPr="006E5B7B">
              <w:t>Minor c</w:t>
            </w:r>
            <w:r w:rsidRPr="006E5B7B">
              <w:t>hange to add the following units of competency to the elective list:</w:t>
            </w:r>
          </w:p>
          <w:p w:rsidR="00000000" w:rsidRPr="006E5B7B" w:rsidP="006E5B7B">
            <w:pPr>
              <w:pStyle w:val="BodyText"/>
            </w:pPr>
            <w:r w:rsidRPr="006E5B7B">
              <w:t>RIIENV202E Suppress airborne contaminants</w:t>
            </w:r>
            <w:r w:rsidRPr="006E5B7B">
              <w:br/>
              <w:t>RIIHAN203E Conduct lifting operations</w:t>
            </w:r>
            <w:r w:rsidRPr="006E5B7B">
              <w:br/>
              <w:t>RIIMCO202E Conduct mobile conveyor operations</w:t>
            </w:r>
            <w:r w:rsidRPr="006E5B7B">
              <w:br/>
              <w:t>RIIPEO201E Conduct conveyor operations</w:t>
            </w:r>
            <w:r w:rsidRPr="006E5B7B">
              <w:br/>
              <w:t>RIISAM208E Perform pla</w:t>
            </w:r>
            <w:r w:rsidRPr="006E5B7B">
              <w:t>nt operational maintenance</w:t>
            </w:r>
            <w:r w:rsidRPr="006E5B7B">
              <w:br/>
              <w:t>RIISAM213E Position and set up mobile lighting</w:t>
            </w:r>
          </w:p>
        </w:tc>
      </w:tr>
    </w:tbl>
    <w:p w:rsidR="00000000" w:rsidRPr="006E5B7B" w:rsidP="006E5B7B">
      <w:pPr>
        <w:pStyle w:val="BodyText"/>
      </w:pPr>
    </w:p>
    <w:p w:rsidR="00000000" w:rsidRPr="006E5B7B" w:rsidP="006E5B7B">
      <w:pPr>
        <w:pStyle w:val="AllowPageBreak"/>
      </w:pPr>
    </w:p>
    <w:p w:rsidR="00000000" w:rsidRPr="006E5B7B" w:rsidP="006E5B7B">
      <w:pPr>
        <w:pStyle w:val="Heading1"/>
      </w:pPr>
      <w:bookmarkStart w:id="2" w:name="O_1123178"/>
      <w:bookmarkEnd w:id="2"/>
      <w:r w:rsidRPr="006E5B7B">
        <w:t>Qualification Description</w:t>
      </w:r>
    </w:p>
    <w:p w:rsidR="00000000" w:rsidRPr="006E5B7B" w:rsidP="00FA5616">
      <w:pPr>
        <w:pStyle w:val="BodyText"/>
      </w:pPr>
      <w:r w:rsidRPr="006E5B7B">
        <w:t xml:space="preserve">This qualification reflects the role of individuals working as an operator on sites such as an open cut coal mine, a quarry or an open cut metalliferous mine, undertaking a prescribed range of tasks involving known routines and procedures, and taking some </w:t>
      </w:r>
      <w:r w:rsidRPr="006E5B7B">
        <w:t>responsibility for the quality of work outcomes.</w:t>
      </w:r>
    </w:p>
    <w:p w:rsidR="00000000" w:rsidRPr="006E5B7B" w:rsidP="00FA5616">
      <w:pPr>
        <w:pStyle w:val="BodyText"/>
      </w:pPr>
      <w:r w:rsidRPr="006E5B7B">
        <w:t>Licensing, legislative, regulatory and certification requirements that apply to this qualification can vary between states, territories, and industry sectors. Relevant information must be sourced prior to ap</w:t>
      </w:r>
      <w:r w:rsidRPr="006E5B7B">
        <w:t>plication of the qualification.</w:t>
      </w:r>
    </w:p>
    <w:p w:rsidR="00000000" w:rsidRPr="006E5B7B" w:rsidP="006E5B7B">
      <w:pPr>
        <w:pStyle w:val="Heading1"/>
      </w:pPr>
      <w:bookmarkStart w:id="3" w:name="O_1123177"/>
      <w:bookmarkEnd w:id="3"/>
      <w:r w:rsidRPr="006E5B7B">
        <w:t>Entry Requirements</w:t>
      </w:r>
    </w:p>
    <w:p w:rsidR="00000000" w:rsidRPr="006E5B7B" w:rsidP="00FA5616">
      <w:pPr>
        <w:pStyle w:val="BodyText"/>
      </w:pPr>
      <w:r w:rsidRPr="006E5B7B">
        <w:t xml:space="preserve">There are no entry requirement for this qualification. </w:t>
      </w:r>
    </w:p>
    <w:p w:rsidR="00000000" w:rsidRPr="006E5B7B" w:rsidP="006E5B7B">
      <w:pPr>
        <w:pStyle w:val="Heading1"/>
      </w:pPr>
      <w:bookmarkStart w:id="4" w:name="O_1123176"/>
      <w:bookmarkEnd w:id="4"/>
      <w:r w:rsidRPr="006E5B7B">
        <w:t>Packaging Rules</w:t>
      </w:r>
    </w:p>
    <w:p w:rsidR="00000000" w:rsidRPr="006E5B7B" w:rsidP="00FA5616">
      <w:pPr>
        <w:pStyle w:val="BodyText"/>
      </w:pPr>
      <w:r w:rsidRPr="006E5B7B">
        <w:t>The following provides the packaging rules for this qualification, followed by the list of rele</w:t>
      </w:r>
      <w:r w:rsidRPr="006E5B7B">
        <w:t>vant units of competency.</w:t>
      </w:r>
    </w:p>
    <w:p w:rsidR="00000000" w:rsidRPr="006E5B7B" w:rsidP="00FA5616">
      <w:pPr>
        <w:pStyle w:val="Heading3"/>
      </w:pPr>
      <w:r w:rsidRPr="006E5B7B">
        <w:rPr>
          <w:rStyle w:val="SpecialBold"/>
        </w:rPr>
        <w:t>Total number of units = 9</w:t>
      </w:r>
    </w:p>
    <w:p w:rsidR="00000000" w:rsidRPr="006E5B7B" w:rsidP="00FA5616">
      <w:pPr>
        <w:pStyle w:val="List"/>
      </w:pPr>
      <w:r w:rsidRPr="006E5B7B">
        <w:rPr>
          <w:rStyle w:val="SpecialBold"/>
        </w:rPr>
        <w:t>4 core units</w:t>
      </w:r>
      <w:r w:rsidRPr="006E5B7B">
        <w:t xml:space="preserve"> plus</w:t>
      </w:r>
    </w:p>
    <w:p w:rsidR="00000000" w:rsidRPr="006E5B7B" w:rsidP="00FA5616">
      <w:pPr>
        <w:pStyle w:val="List"/>
      </w:pPr>
      <w:r w:rsidRPr="006E5B7B">
        <w:rPr>
          <w:rStyle w:val="SpecialBold"/>
        </w:rPr>
        <w:t xml:space="preserve">5 elective units, </w:t>
      </w:r>
      <w:r w:rsidRPr="006E5B7B">
        <w:t>of which:</w:t>
      </w:r>
    </w:p>
    <w:p w:rsidR="00000000" w:rsidRPr="006E5B7B" w:rsidP="006E5B7B">
      <w:pPr>
        <w:pStyle w:val="ListBullet2"/>
      </w:pPr>
      <w:r w:rsidRPr="006E5B7B">
        <w:t xml:space="preserve">at least one (1) must be chosen from Group A </w:t>
      </w:r>
    </w:p>
    <w:p w:rsidR="00000000" w:rsidRPr="006E5B7B" w:rsidP="006E5B7B">
      <w:pPr>
        <w:pStyle w:val="ListBullet2"/>
      </w:pPr>
      <w:r w:rsidRPr="006E5B7B">
        <w:t xml:space="preserve">at least two (2) must be chosen from Group B </w:t>
      </w:r>
    </w:p>
    <w:p w:rsidR="00000000" w:rsidRPr="006E5B7B" w:rsidP="006E5B7B">
      <w:pPr>
        <w:pStyle w:val="ListBullet2"/>
      </w:pPr>
      <w:r w:rsidRPr="006E5B7B">
        <w:t>no more than two (2) may be chosen from Group C</w:t>
      </w:r>
    </w:p>
    <w:p w:rsidR="00000000" w:rsidRPr="006E5B7B" w:rsidP="006E5B7B">
      <w:pPr>
        <w:pStyle w:val="ListBullet2"/>
      </w:pPr>
      <w:r w:rsidRPr="006E5B7B">
        <w:t xml:space="preserve">no more than two </w:t>
      </w:r>
      <w:r w:rsidRPr="006E5B7B">
        <w:t>(2) may be chosen from elsewhere within this training package, or from another endorsed training package, or from an accredited course.</w:t>
      </w:r>
    </w:p>
    <w:p w:rsidR="00000000" w:rsidRPr="006E5B7B" w:rsidP="00FA5616">
      <w:pPr>
        <w:pStyle w:val="BodyText"/>
      </w:pPr>
      <w:r w:rsidRPr="006E5B7B">
        <w:t>All elective units selected from outside this qualification must reflect current occupational and learning outcomes of t</w:t>
      </w:r>
      <w:r w:rsidRPr="006E5B7B">
        <w:t>his AQF qualification level.</w:t>
      </w:r>
    </w:p>
    <w:p w:rsidR="00000000" w:rsidRPr="006E5B7B" w:rsidP="00FA5616">
      <w:pPr>
        <w:pStyle w:val="BodyText"/>
      </w:pPr>
      <w:r w:rsidRPr="006E5B7B">
        <w:t xml:space="preserve">There are both licensed and non-licensed units of competency relating to high risk work in the Resources and Infrastructure Industry Training Package. To be appointed under any statutory requirements in related roles, units of </w:t>
      </w:r>
      <w:r w:rsidRPr="006E5B7B">
        <w:t xml:space="preserve">competency should be selected to meet the state/territory licensing requirements. </w:t>
      </w:r>
    </w:p>
    <w:p w:rsidR="00000000" w:rsidRPr="006E5B7B" w:rsidP="00FA5616">
      <w:pPr>
        <w:pStyle w:val="BodyText"/>
      </w:pPr>
      <w:r w:rsidRPr="006E5B7B">
        <w:t>There are prerequisites to imported units listed in this qualification. Where a unit is imported as an elective care must be taken to ensure that all prerequisites specified</w:t>
      </w:r>
      <w:r w:rsidRPr="006E5B7B">
        <w:t xml:space="preserve">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7"/>
        <w:gridCol w:w="7124"/>
      </w:tblGrid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Heading"/>
              <w:rPr>
                <w:lang w:val="en-NZ"/>
              </w:rPr>
            </w:pPr>
            <w:r w:rsidRPr="006E5B7B">
              <w:t xml:space="preserve">Core units of competency 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7B" w:rsidP="006E5B7B">
            <w:pPr>
              <w:pStyle w:val="TableBodyText"/>
            </w:pPr>
            <w:r w:rsidRPr="006E5B7B">
              <w:rPr>
                <w:rStyle w:val="BoldandItalics"/>
              </w:rPr>
              <w:t>Unit code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rPr>
                <w:rStyle w:val="BoldandItalics"/>
              </w:rPr>
              <w:t>Unit title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 xml:space="preserve">BSBSUS201 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Participate in environmentally sustainable work practices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RIICOM201D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Communicate in the workplace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RIIRIS201D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local risk control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 xml:space="preserve">RIIWHS201D 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Work safely and follow WHS policies and procedures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Heading4"/>
              <w:rPr>
                <w:lang w:val="en-NZ"/>
              </w:rPr>
            </w:pPr>
            <w:r w:rsidRPr="006E5B7B">
              <w:t>Electives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Heading4"/>
              <w:rPr>
                <w:lang w:val="en-NZ"/>
              </w:rPr>
            </w:pPr>
            <w:r w:rsidRPr="006E5B7B">
              <w:t>Group A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7B" w:rsidP="006E5B7B">
            <w:pPr>
              <w:pStyle w:val="TableBodyText"/>
            </w:pPr>
            <w:r w:rsidRPr="006E5B7B">
              <w:rPr>
                <w:rStyle w:val="BoldandItalics"/>
              </w:rPr>
              <w:t>Unit code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rPr>
                <w:rStyle w:val="BoldandItalics"/>
              </w:rPr>
              <w:t>Unit title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RIIGOV201D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Comply with site work processes/procedures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RIIQUA201D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Maintain and monitor site quality standards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Heading4"/>
              <w:rPr>
                <w:lang w:val="en-NZ"/>
              </w:rPr>
            </w:pPr>
            <w:r w:rsidRPr="006E5B7B">
              <w:t>Group B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7B" w:rsidP="006E5B7B">
            <w:pPr>
              <w:pStyle w:val="TableBodyText"/>
            </w:pPr>
            <w:r w:rsidRPr="006E5B7B">
              <w:rPr>
                <w:rStyle w:val="BoldandItalics"/>
              </w:rPr>
              <w:t>Unit code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rPr>
                <w:rStyle w:val="BoldandItalics"/>
              </w:rPr>
              <w:t>Unit title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RIIBEF202E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Identify and rectify site operating problems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RIIBLA203E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mobile mixing of explosives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RIIERR205D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Apply initial response first aid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RIIERR302E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Respond to local emergencies and incidents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RIIENV202E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 xml:space="preserve">Suppress airborne contaminants 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RIIMCO202E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</w:t>
            </w:r>
            <w:r w:rsidRPr="006E5B7B">
              <w:t xml:space="preserve"> mobile slew conveyor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RIIMEX202D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Install open-cut mine ground support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RIIMEX203D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Break oversize rock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RIIMEX204D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workboat/barge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RIIMPO205E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Operate roller/compactor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RIIMPO206D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bulk water truck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RIIMPO208F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Operate support equipment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RIIMPO336E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belly dump truck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RIIMPO337E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articulated haul truck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RIIMPO338E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rigid haul truck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RIIPEO201E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conveyor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RIIPEO202D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Provide deck support for conveyor-car high wall mining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RIIPEO203D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stacker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RIIPEO206D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Lay and recover cables and hoses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RIIPRO201D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crushing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RIIPRO202D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screening and conveying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RIIPRO203D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Operate programmable logic control systems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RIIPRO205D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blending plant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RIISAM202D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 xml:space="preserve">Isolate and access plant 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RIISAM214D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 xml:space="preserve">Provide support to electrical tradesperson 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RIISRM302D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stockpile reclaiming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RIIVEH201D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Operate light vehicle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RIIWMG201D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dewatering activities in surface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Heading4"/>
              <w:rPr>
                <w:lang w:val="en-NZ"/>
              </w:rPr>
            </w:pPr>
            <w:r w:rsidRPr="006E5B7B">
              <w:t xml:space="preserve">Group C 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7B" w:rsidP="006E5B7B">
            <w:pPr>
              <w:pStyle w:val="TableBodyText"/>
            </w:pPr>
            <w:r w:rsidRPr="006E5B7B">
              <w:rPr>
                <w:rStyle w:val="BoldandItalics"/>
              </w:rPr>
              <w:t>Unit code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rPr>
                <w:rStyle w:val="BoldandItalics"/>
              </w:rPr>
              <w:t>Unit title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AHCNAR201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Carry out natural area restoration works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AHCNAR303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Implement revegetation works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AHCSAW201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erosion and sediment control activities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AHCSAW301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Construct conservation earthworks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AURKTJ011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Remove, inspect and fit earthmoving and off-the-road tyres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AURKTJ012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Remove, inspect and fit earthmoving and off-the-road wheel and rim assemblies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BSB</w:t>
            </w:r>
            <w:r w:rsidRPr="006E5B7B">
              <w:t>DIV301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Work effectively with diversity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BSBITU111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Operate a personal digital device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 xml:space="preserve">CPCCLDG3001A 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Licence to perform dogging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 xml:space="preserve">CPCCLRG3001A 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5B7B" w:rsidP="006E5B7B">
            <w:pPr>
              <w:pStyle w:val="TableBodyText"/>
            </w:pPr>
            <w:r w:rsidRPr="006E5B7B">
              <w:t>Licence to perform rigging basic level</w:t>
            </w:r>
          </w:p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•</w:t>
            </w:r>
            <w:r w:rsidRPr="006E5B7B">
              <w:tab/>
              <w:t>Prerequisite unit: CPCCLDG3001A Licence to perform dogging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CPCCLRG3002A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5B7B" w:rsidP="006E5B7B">
            <w:pPr>
              <w:pStyle w:val="TableBodyText"/>
            </w:pPr>
            <w:r w:rsidRPr="006E5B7B">
              <w:t>Licence to perform rigging intermediate level</w:t>
            </w:r>
          </w:p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•</w:t>
            </w:r>
            <w:r w:rsidRPr="006E5B7B">
              <w:tab/>
              <w:t>Prerequisite unit: CPCCLRG3001A Licence to perform rigging basic level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CPCCLSF2001A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Licence to erect, alter and dismantle scaffolding basic level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RIICCM208D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Carry out basic levelling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RIIENV201D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Identify and assess environmental and heritage concerns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RIIERR201E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fire team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RIIHAN201E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Operate a forklift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RIIHAN203E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lifting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RIIHAN206E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Transport plant, equipment and personnel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RIIHAN208D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Perform dogging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RIIHAN2</w:t>
            </w:r>
            <w:r w:rsidRPr="006E5B7B">
              <w:t>09E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Perform basic rigging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RIIHAN210D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Perform intermediate rigging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RIIHAN211D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basic scaffolding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RIIHAN212E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non-slewing crane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RIIRIS202D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Respond to site based spills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RIISAM205D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Cut, weld and bend materials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RIISAM207D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Apply operational maintenance skills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RIISAM208E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Perform plant operational maintenance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RIISAM212D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Service mine plant and equipment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RIISAM213E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Position and set up mobile lighting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RIISAM302D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Service and handover plant and machines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RIISTD202D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Collect routine site samples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RIIVEH202D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Operate a medium vehicle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RIIVEH305E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Operate and maintain a four wheel drive vehicle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RIIWHS202D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Enter and work in confined spaces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RIIWHS204D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Work safely at heights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TLID2022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Conduct weighbridge operations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TLILIC0003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Licence to operate a forklift truck</w:t>
            </w:r>
          </w:p>
        </w:tc>
      </w:tr>
      <w:tr w:rsidTr="006E5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B7B">
            <w:pPr>
              <w:pStyle w:val="TableBodyText"/>
              <w:rPr>
                <w:lang w:val="en-NZ"/>
              </w:rPr>
            </w:pPr>
            <w:r w:rsidRPr="006E5B7B">
              <w:t>TLILIC0008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5B7B" w:rsidP="006E5B7B">
            <w:pPr>
              <w:pStyle w:val="TableBodyText"/>
            </w:pPr>
            <w:r w:rsidRPr="006E5B7B">
              <w:t>Licence to operate a non-slewing mobile crane (greater than 3 tonnes capacity)</w:t>
            </w:r>
          </w:p>
        </w:tc>
      </w:tr>
    </w:tbl>
    <w:p w:rsidR="00000000" w:rsidRPr="006E5B7B" w:rsidP="006E5B7B">
      <w:pPr>
        <w:pStyle w:val="BodyText"/>
      </w:pPr>
    </w:p>
    <w:p w:rsidR="00000000" w:rsidRPr="006E5B7B" w:rsidP="006E5B7B">
      <w:pPr>
        <w:pStyle w:val="AllowPageBreak"/>
      </w:pPr>
    </w:p>
    <w:p w:rsidR="00000000" w:rsidRPr="006E5B7B" w:rsidP="006E5B7B">
      <w:pPr>
        <w:pStyle w:val="Heading1"/>
      </w:pPr>
      <w:bookmarkStart w:id="5" w:name="O_1123175"/>
      <w:bookmarkEnd w:id="5"/>
      <w:r w:rsidRPr="006E5B7B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2"/>
        <w:gridCol w:w="2162"/>
        <w:gridCol w:w="3911"/>
        <w:gridCol w:w="961"/>
      </w:tblGrid>
      <w:tr w:rsidTr="00FA5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7B" w:rsidP="006E5B7B">
            <w:pPr>
              <w:pStyle w:val="BodyText"/>
            </w:pPr>
            <w:r w:rsidRPr="006E5B7B">
              <w:rPr>
                <w:rStyle w:val="SpecialBold"/>
              </w:rPr>
              <w:t>Code and title</w:t>
            </w:r>
          </w:p>
          <w:p w:rsidR="00000000" w:rsidRPr="006E5B7B" w:rsidP="006E5B7B">
            <w:pPr>
              <w:pStyle w:val="BodyText"/>
            </w:pPr>
            <w:r w:rsidRPr="006E5B7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7B" w:rsidP="006E5B7B">
            <w:pPr>
              <w:pStyle w:val="BodyText"/>
            </w:pPr>
            <w:r w:rsidRPr="006E5B7B">
              <w:rPr>
                <w:rStyle w:val="SpecialBold"/>
              </w:rPr>
              <w:t>Code and title</w:t>
            </w:r>
          </w:p>
          <w:p w:rsidR="00000000" w:rsidRPr="006E5B7B" w:rsidP="006E5B7B">
            <w:pPr>
              <w:pStyle w:val="BodyText"/>
            </w:pPr>
            <w:r w:rsidRPr="006E5B7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7B" w:rsidP="006E5B7B">
            <w:pPr>
              <w:pStyle w:val="BodyText"/>
            </w:pPr>
            <w:r w:rsidRPr="006E5B7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BodyText"/>
              <w:rPr>
                <w:lang w:val="en-NZ"/>
              </w:rPr>
            </w:pPr>
            <w:r w:rsidRPr="006E5B7B">
              <w:rPr>
                <w:rStyle w:val="SpecialBold"/>
              </w:rPr>
              <w:t>Equivalence status</w:t>
            </w:r>
          </w:p>
        </w:tc>
      </w:tr>
      <w:tr w:rsidTr="00FA56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BodyText"/>
              <w:rPr>
                <w:lang w:val="en-NZ"/>
              </w:rPr>
            </w:pPr>
            <w:r w:rsidRPr="006E5B7B">
              <w:t>RII20215 Certificate II in Surface Extraction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BodyText"/>
              <w:rPr>
                <w:lang w:val="en-NZ"/>
              </w:rPr>
            </w:pPr>
            <w:r w:rsidRPr="006E5B7B">
              <w:t>RII20213 Certificate II in Surface Extraction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B7B">
            <w:pPr>
              <w:pStyle w:val="BodyText"/>
              <w:rPr>
                <w:lang w:val="en-NZ"/>
              </w:rPr>
            </w:pPr>
            <w:r w:rsidRPr="006E5B7B">
              <w:t xml:space="preserve">Packaging rules </w:t>
            </w:r>
            <w:r w:rsidRPr="006E5B7B">
              <w:t>changed to clarify intent; elective Groups C and D combined; added two elective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B7B" w:rsidP="006E5B7B">
            <w:pPr>
              <w:pStyle w:val="BodyText"/>
            </w:pPr>
            <w:r w:rsidRPr="006E5B7B">
              <w:t>Equivalent qualification</w:t>
            </w:r>
          </w:p>
        </w:tc>
      </w:tr>
    </w:tbl>
    <w:p w:rsidR="00000000" w:rsidRPr="006E5B7B" w:rsidP="006E5B7B">
      <w:pPr>
        <w:pStyle w:val="BodyText"/>
      </w:pPr>
    </w:p>
    <w:p w:rsidR="00000000" w:rsidRPr="006E5B7B" w:rsidP="006E5B7B">
      <w:pPr>
        <w:pStyle w:val="AllowPageBreak"/>
      </w:pPr>
    </w:p>
    <w:p w:rsidR="00000000" w:rsidRPr="006E5B7B" w:rsidP="006E5B7B">
      <w:pPr>
        <w:pStyle w:val="Heading1"/>
      </w:pPr>
      <w:bookmarkStart w:id="6" w:name="O_1123180"/>
      <w:bookmarkEnd w:id="6"/>
      <w:r w:rsidRPr="006E5B7B">
        <w:t>Links</w:t>
      </w:r>
    </w:p>
    <w:p w:rsidR="00000000" w:rsidRPr="006E5B7B" w:rsidP="00FA5616">
      <w:pPr>
        <w:pStyle w:val="BodyText"/>
      </w:pPr>
      <w:r w:rsidRPr="006E5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827A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E5B7B" w:rsidP="006E5B7B"/>
    <w:sectPr w:rsidSect="006E5B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7B" w:rsidRPr="00FA5616" w:rsidP="00FA5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16" w:rsidP="006E5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5616" w:rsidP="006E5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5616" w:rsidP="006E5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B7B" w:rsidRPr="00FA5616" w:rsidP="00FA5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616" w:rsidRPr="002D2AF8" w:rsidP="006E5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RII20215 Certificate II in Surface Extraction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A5616" w:rsidP="006E5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164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687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B7B"/>
  </w:style>
  <w:style w:type="character" w:customStyle="1" w:styleId="Heading1Char">
    <w:name w:val="Heading 1 Char"/>
    <w:basedOn w:val="DefaultParagraphFont"/>
    <w:link w:val="Heading1"/>
    <w:rsid w:val="006E5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B7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E5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B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5B7B"/>
    <w:rPr>
      <w:b/>
      <w:spacing w:val="0"/>
    </w:rPr>
  </w:style>
  <w:style w:type="paragraph" w:styleId="ListBullet2">
    <w:name w:val="List Bullet 2"/>
    <w:basedOn w:val="List2"/>
    <w:rsid w:val="006E5B7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5B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5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E5B7B"/>
    <w:pPr>
      <w:spacing w:before="60" w:after="60"/>
    </w:pPr>
  </w:style>
  <w:style w:type="character" w:customStyle="1" w:styleId="BoldandItalics">
    <w:name w:val="Bold and Italics"/>
    <w:qFormat/>
    <w:rsid w:val="006E5B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5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B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5B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5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B7B"/>
    <w:rPr>
      <w:i/>
    </w:rPr>
  </w:style>
  <w:style w:type="paragraph" w:styleId="Caption">
    <w:name w:val="caption"/>
    <w:basedOn w:val="BodyText"/>
    <w:next w:val="Normal"/>
    <w:qFormat/>
    <w:rsid w:val="006E5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B7B"/>
  </w:style>
  <w:style w:type="paragraph" w:styleId="TableofFigures">
    <w:name w:val="table of figures"/>
    <w:basedOn w:val="Normal"/>
    <w:next w:val="Normal"/>
    <w:semiHidden/>
    <w:rsid w:val="006E5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B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B7B"/>
    <w:rPr>
      <w:rFonts w:ascii="Wingdings" w:hAnsi="Wingdings"/>
    </w:rPr>
  </w:style>
  <w:style w:type="character" w:customStyle="1" w:styleId="HotSpot">
    <w:name w:val="HotSpot"/>
    <w:rsid w:val="006E5B7B"/>
    <w:rPr>
      <w:color w:val="0033CC"/>
      <w:u w:val="none"/>
    </w:rPr>
  </w:style>
  <w:style w:type="paragraph" w:customStyle="1" w:styleId="BodyTextRight">
    <w:name w:val="Body Text Right"/>
    <w:basedOn w:val="BodyText"/>
    <w:rsid w:val="006E5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B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B7B"/>
    <w:rPr>
      <w:sz w:val="32"/>
    </w:rPr>
  </w:style>
  <w:style w:type="paragraph" w:customStyle="1" w:styleId="HeadingProcedure">
    <w:name w:val="Heading Procedure"/>
    <w:basedOn w:val="HeadingBase"/>
    <w:next w:val="Normal"/>
    <w:rsid w:val="006E5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E5B7B"/>
    <w:pPr>
      <w:ind w:firstLine="0"/>
    </w:pPr>
  </w:style>
  <w:style w:type="paragraph" w:customStyle="1" w:styleId="ListNote">
    <w:name w:val="List Note"/>
    <w:basedOn w:val="List"/>
    <w:rsid w:val="006E5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B7B"/>
    <w:rPr>
      <w:rFonts w:ascii="Courier New" w:hAnsi="Courier New"/>
    </w:rPr>
  </w:style>
  <w:style w:type="paragraph" w:customStyle="1" w:styleId="NoteBullet">
    <w:name w:val="Note Bullet"/>
    <w:basedOn w:val="Note"/>
    <w:rsid w:val="006E5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B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B7B"/>
    <w:rPr>
      <w:b/>
      <w:smallCaps/>
    </w:rPr>
  </w:style>
  <w:style w:type="paragraph" w:customStyle="1" w:styleId="TableListNumber">
    <w:name w:val="Table List Number"/>
    <w:basedOn w:val="ListNumber"/>
    <w:rsid w:val="006E5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B7B"/>
    <w:pPr>
      <w:numPr>
        <w:numId w:val="8"/>
      </w:numPr>
    </w:pPr>
  </w:style>
  <w:style w:type="paragraph" w:customStyle="1" w:styleId="ListAlpha2">
    <w:name w:val="List Alpha 2"/>
    <w:basedOn w:val="List2"/>
    <w:rsid w:val="006E5B7B"/>
    <w:pPr>
      <w:numPr>
        <w:numId w:val="7"/>
      </w:numPr>
    </w:pPr>
  </w:style>
  <w:style w:type="paragraph" w:styleId="List2">
    <w:name w:val="List 2"/>
    <w:basedOn w:val="BodyText"/>
    <w:rsid w:val="006E5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B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B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B7B"/>
    <w:pPr>
      <w:numPr>
        <w:numId w:val="3"/>
      </w:numPr>
    </w:pPr>
  </w:style>
  <w:style w:type="paragraph" w:styleId="ListContinue2">
    <w:name w:val="List Continue 2"/>
    <w:basedOn w:val="List2"/>
    <w:rsid w:val="006E5B7B"/>
    <w:pPr>
      <w:ind w:firstLine="0"/>
    </w:pPr>
  </w:style>
  <w:style w:type="paragraph" w:styleId="ListContinue3">
    <w:name w:val="List Continue 3"/>
    <w:basedOn w:val="List3"/>
    <w:rsid w:val="006E5B7B"/>
    <w:pPr>
      <w:ind w:left="1021" w:firstLine="0"/>
    </w:pPr>
  </w:style>
  <w:style w:type="paragraph" w:styleId="ListContinue4">
    <w:name w:val="List Continue 4"/>
    <w:basedOn w:val="List4"/>
    <w:rsid w:val="006E5B7B"/>
    <w:pPr>
      <w:ind w:firstLine="0"/>
    </w:pPr>
  </w:style>
  <w:style w:type="paragraph" w:styleId="ListContinue5">
    <w:name w:val="List Continue 5"/>
    <w:basedOn w:val="List5"/>
    <w:rsid w:val="006E5B7B"/>
    <w:pPr>
      <w:ind w:firstLine="0"/>
    </w:pPr>
  </w:style>
  <w:style w:type="paragraph" w:styleId="ListNumber3">
    <w:name w:val="List Number 3"/>
    <w:basedOn w:val="List3"/>
    <w:rsid w:val="006E5B7B"/>
    <w:pPr>
      <w:numPr>
        <w:numId w:val="4"/>
      </w:numPr>
    </w:pPr>
  </w:style>
  <w:style w:type="paragraph" w:styleId="ListNumber4">
    <w:name w:val="List Number 4"/>
    <w:basedOn w:val="List4"/>
    <w:rsid w:val="006E5B7B"/>
    <w:pPr>
      <w:numPr>
        <w:numId w:val="5"/>
      </w:numPr>
    </w:pPr>
  </w:style>
  <w:style w:type="paragraph" w:styleId="ListNumber5">
    <w:name w:val="List Number 5"/>
    <w:basedOn w:val="List5"/>
    <w:rsid w:val="006E5B7B"/>
    <w:pPr>
      <w:numPr>
        <w:numId w:val="6"/>
      </w:numPr>
    </w:pPr>
  </w:style>
  <w:style w:type="paragraph" w:styleId="BlockText">
    <w:name w:val="Block Text"/>
    <w:basedOn w:val="Normal"/>
    <w:rsid w:val="006E5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B7B"/>
    <w:rPr>
      <w:sz w:val="16"/>
      <w:vertAlign w:val="superscript"/>
    </w:rPr>
  </w:style>
  <w:style w:type="character" w:customStyle="1" w:styleId="Symbols">
    <w:name w:val="Symbols"/>
    <w:basedOn w:val="DefaultParagraphFont"/>
    <w:rsid w:val="006E5B7B"/>
    <w:rPr>
      <w:rFonts w:ascii="Symbol" w:hAnsi="Symbol"/>
    </w:rPr>
  </w:style>
  <w:style w:type="character" w:customStyle="1" w:styleId="MenuOptions">
    <w:name w:val="Menu Options"/>
    <w:basedOn w:val="DefaultParagraphFont"/>
    <w:rsid w:val="006E5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B7B"/>
    <w:rPr>
      <w:b/>
    </w:rPr>
  </w:style>
  <w:style w:type="character" w:customStyle="1" w:styleId="Underlined">
    <w:name w:val="Underlined"/>
    <w:basedOn w:val="DefaultParagraphFont"/>
    <w:rsid w:val="006E5B7B"/>
    <w:rPr>
      <w:u w:val="single"/>
    </w:rPr>
  </w:style>
  <w:style w:type="paragraph" w:customStyle="1" w:styleId="TableBodyTextRight">
    <w:name w:val="Table Body Text Right"/>
    <w:basedOn w:val="TableBodyText"/>
    <w:rsid w:val="006E5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B7B"/>
    <w:rPr>
      <w:sz w:val="18"/>
    </w:rPr>
  </w:style>
  <w:style w:type="paragraph" w:customStyle="1" w:styleId="BodySmallRight">
    <w:name w:val="Body Small Right"/>
    <w:basedOn w:val="BodyTextRight"/>
    <w:rsid w:val="006E5B7B"/>
    <w:rPr>
      <w:sz w:val="18"/>
      <w:szCs w:val="18"/>
    </w:rPr>
  </w:style>
  <w:style w:type="paragraph" w:customStyle="1" w:styleId="MarginEdition">
    <w:name w:val="Margin Edition"/>
    <w:basedOn w:val="MarginNote"/>
    <w:rsid w:val="006E5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B7B"/>
    <w:rPr>
      <w:sz w:val="2"/>
      <w:szCs w:val="2"/>
    </w:rPr>
  </w:style>
  <w:style w:type="character" w:customStyle="1" w:styleId="Small">
    <w:name w:val="Small"/>
    <w:basedOn w:val="DefaultParagraphFont"/>
    <w:rsid w:val="006E5B7B"/>
    <w:rPr>
      <w:sz w:val="16"/>
    </w:rPr>
  </w:style>
  <w:style w:type="paragraph" w:customStyle="1" w:styleId="WideTable">
    <w:name w:val="Wide Table"/>
    <w:basedOn w:val="Normal"/>
    <w:rsid w:val="006E5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B7B"/>
  </w:style>
  <w:style w:type="paragraph" w:styleId="Quote">
    <w:name w:val="Quote"/>
    <w:basedOn w:val="Heading1"/>
    <w:link w:val="QuoteChar"/>
    <w:qFormat/>
    <w:rsid w:val="006E5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B7B"/>
    <w:pPr>
      <w:pageBreakBefore/>
    </w:pPr>
  </w:style>
  <w:style w:type="paragraph" w:customStyle="1" w:styleId="Border">
    <w:name w:val="Border"/>
    <w:basedOn w:val="Normal"/>
    <w:qFormat/>
    <w:rsid w:val="006E5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B7B"/>
    <w:rPr>
      <w:u w:val="single"/>
    </w:rPr>
  </w:style>
  <w:style w:type="paragraph" w:styleId="BalloonText">
    <w:name w:val="Balloon Text"/>
    <w:basedOn w:val="Normal"/>
    <w:link w:val="BalloonTextChar"/>
    <w:rsid w:val="006E5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B7B"/>
    <w:pPr>
      <w:spacing w:before="0" w:after="0"/>
    </w:pPr>
  </w:style>
  <w:style w:type="paragraph" w:customStyle="1" w:styleId="BodyTextBold">
    <w:name w:val="Body Text Bold"/>
    <w:basedOn w:val="BodyText"/>
    <w:qFormat/>
    <w:rsid w:val="006E5B7B"/>
    <w:rPr>
      <w:b/>
    </w:rPr>
  </w:style>
  <w:style w:type="character" w:styleId="Hyperlink">
    <w:name w:val="Hyperlink"/>
    <w:basedOn w:val="DefaultParagraphFont"/>
    <w:uiPriority w:val="99"/>
    <w:unhideWhenUsed/>
    <w:rsid w:val="00FA5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967</Words>
  <Characters>6317</Characters>
  <Application>Microsoft Office Word</Application>
  <DocSecurity>0</DocSecurity>
  <Lines>252</Lines>
  <Paragraphs>234</Paragraphs>
  <ScaleCrop>false</ScaleCrop>
  <Company>Author-it Software Corporation Ltd.</Company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RII20215 Certificate II in Surface Extraction Operations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2020-09-23T19:59:57Z</dcterms:created>
  <dcterms:modified xsi:type="dcterms:W3CDTF">2020-09-22T04:17:00Z</dcterms:modified>
</cp:coreProperties>
</file>