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79CD" w:rsidP="006B79CD">
      <w:pPr>
        <w:pStyle w:val="Title"/>
      </w:pPr>
      <w:r>
        <w:fldChar w:fldCharType="begin"/>
      </w:r>
      <w:r>
        <w:instrText xml:space="preserve"> TITLE   \* MERGEFORMAT </w:instrText>
      </w:r>
      <w:r>
        <w:fldChar w:fldCharType="separate"/>
      </w:r>
      <w:r>
        <w:t>RGRSTD404A Prepare for racing industry appeals</w:t>
      </w:r>
      <w:r>
        <w:fldChar w:fldCharType="end"/>
      </w:r>
    </w:p>
    <w:p w:rsidR="006B79CD" w:rsidP="006B79CD">
      <w:pPr>
        <w:pStyle w:val="Version"/>
        <w:sectPr w:rsidSect="00621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F74" w:rsidP="00621F74">
      <w:pPr>
        <w:pStyle w:val="SuperHeading"/>
      </w:pPr>
      <w:r w:rsidRPr="00621F74">
        <w:t>RGRSTD404A Prepare for racing industry appeals</w:t>
      </w:r>
    </w:p>
    <w:p w:rsidR="00000000" w:rsidRPr="00621F74" w:rsidP="00621F74">
      <w:pPr>
        <w:pStyle w:val="Heading1"/>
      </w:pPr>
      <w:bookmarkStart w:id="1" w:name="O_273128"/>
      <w:bookmarkEnd w:id="1"/>
      <w:r w:rsidRPr="00621F74">
        <w:t>Modification History</w:t>
      </w:r>
    </w:p>
    <w:p w:rsidR="00000000" w:rsidRPr="00621F74" w:rsidP="00621F74">
      <w:pPr>
        <w:pStyle w:val="BodyText"/>
      </w:pPr>
      <w:r w:rsidRPr="00621F74">
        <w:t>Not Applicable</w:t>
      </w:r>
    </w:p>
    <w:p w:rsidR="00000000" w:rsidRPr="00621F74" w:rsidP="00621F74">
      <w:pPr>
        <w:pStyle w:val="AllowPageBreak"/>
      </w:pPr>
    </w:p>
    <w:p w:rsidR="00000000" w:rsidRPr="00621F74" w:rsidP="00621F74">
      <w:pPr>
        <w:pStyle w:val="Heading1"/>
      </w:pPr>
      <w:bookmarkStart w:id="2" w:name="O_217387"/>
      <w:bookmarkEnd w:id="2"/>
      <w:r w:rsidRPr="00621F74">
        <w:t>Unit Descriptor</w:t>
      </w:r>
    </w:p>
    <w:tbl>
      <w:tblPr>
        <w:tblW w:w="0" w:type="auto"/>
        <w:tblLayout w:type="fixed"/>
        <w:tblCellMar>
          <w:left w:w="62" w:type="dxa"/>
          <w:right w:w="62" w:type="dxa"/>
        </w:tblCellMar>
        <w:tblLook w:val="0000"/>
      </w:tblPr>
      <w:tblGrid>
        <w:gridCol w:w="2653"/>
        <w:gridCol w:w="5869"/>
      </w:tblGrid>
      <w:tr w:rsidTr="006B79CD">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Unit descriptor</w:t>
            </w:r>
          </w:p>
        </w:tc>
        <w:tc>
          <w:tcPr>
            <w:tcW w:w="5869" w:type="dxa"/>
            <w:tcBorders>
              <w:top w:val="nil"/>
              <w:left w:val="nil"/>
              <w:bottom w:val="nil"/>
              <w:right w:val="nil"/>
            </w:tcBorders>
            <w:tcMar>
              <w:top w:w="0" w:type="dxa"/>
              <w:left w:w="62" w:type="dxa"/>
              <w:bottom w:w="0" w:type="dxa"/>
              <w:right w:w="62" w:type="dxa"/>
            </w:tcMar>
          </w:tcPr>
          <w:p w:rsidR="00000000" w:rsidRPr="00621F74" w:rsidP="00621F74">
            <w:pPr>
              <w:pStyle w:val="BodyText"/>
            </w:pPr>
            <w:r w:rsidRPr="00621F74">
              <w:t>This unit of competency specifies the outcomes required to prepare for racing industry appeals. It requi</w:t>
            </w:r>
            <w:r w:rsidRPr="00621F74">
              <w:t>res an ability to research and gather information, and prepare evidence and associated documentation. It also requires the ability to effectively communicate with appeal panel members, lawyers, licensed personnel and racing officials.</w:t>
            </w:r>
          </w:p>
          <w:p w:rsidR="00000000" w:rsidRPr="00621F74" w:rsidP="00621F74">
            <w:pPr>
              <w:pStyle w:val="BodyText"/>
            </w:pPr>
            <w:r w:rsidRPr="00621F74">
              <w:t>This unit of competen</w:t>
            </w:r>
            <w:r w:rsidRPr="00621F74">
              <w:t xml:space="preserve">cy operates in workplace environments of racing administration, kennels, stables, racecourses and public areas. </w:t>
            </w:r>
          </w:p>
          <w:p w:rsidR="00000000" w:rsidRPr="00621F74" w:rsidP="00621F74">
            <w:pPr>
              <w:pStyle w:val="BodyText"/>
            </w:pPr>
            <w:r w:rsidRPr="00621F74">
              <w:t xml:space="preserve">Greyhound, harness and thoroughbred racing is strictly regulated throughout Australia. All stewards are appointed under the rules of racing by </w:t>
            </w:r>
            <w:r w:rsidRPr="00621F74">
              <w:t xml:space="preserve">the relevant racing controlling body. For this reason enrolment in this unit of competency is restricted to people currently employed as a stipendiary or cadet steward or those who have been approved by a State Principal Racing Authority to undertake this </w:t>
            </w:r>
            <w:r w:rsidRPr="00621F74">
              <w:t>unit.</w:t>
            </w:r>
          </w:p>
        </w:tc>
      </w:tr>
    </w:tbl>
    <w:p w:rsidR="006B79CD" w:rsidP="00621F74">
      <w:pPr>
        <w:pStyle w:val="BodyText"/>
      </w:pPr>
    </w:p>
    <w:p w:rsidR="006B79CD" w:rsidP="00621F74">
      <w:pPr>
        <w:pStyle w:val="BodyText"/>
      </w:pPr>
    </w:p>
    <w:p w:rsidR="00000000" w:rsidRPr="00621F74" w:rsidP="00621F74">
      <w:pPr>
        <w:pStyle w:val="Heading1"/>
      </w:pPr>
      <w:bookmarkStart w:id="3" w:name="O_217391"/>
      <w:bookmarkEnd w:id="3"/>
      <w:r w:rsidRPr="00621F74">
        <w:t>Application of the Unit</w:t>
      </w:r>
    </w:p>
    <w:tbl>
      <w:tblPr>
        <w:tblW w:w="0" w:type="auto"/>
        <w:tblLayout w:type="fixed"/>
        <w:tblCellMar>
          <w:left w:w="62" w:type="dxa"/>
          <w:right w:w="62" w:type="dxa"/>
        </w:tblCellMar>
        <w:tblLook w:val="0000"/>
      </w:tblPr>
      <w:tblGrid>
        <w:gridCol w:w="2745"/>
        <w:gridCol w:w="5777"/>
      </w:tblGrid>
      <w:tr w:rsidTr="006B79CD">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621F74" w:rsidP="00621F74">
            <w:pPr>
              <w:pStyle w:val="BodyText"/>
            </w:pPr>
            <w:r w:rsidRPr="00621F74">
              <w:t>This unit of competency supports the stipendiary steward in preparing for and representing stewards at appeal hearings.</w:t>
            </w:r>
          </w:p>
          <w:p w:rsidR="00000000" w:rsidRPr="00621F74" w:rsidP="00621F74">
            <w:pPr>
              <w:pStyle w:val="BodyText"/>
            </w:pPr>
            <w:r w:rsidRPr="00621F74">
              <w:t xml:space="preserve">Competencies attained in this unit apply to the greyhound, harness or thoroughbred code of the industry. Consequently when performance criteria are applied they will relate to the greyhound code or the harness code or the thoroughbred code, and statements </w:t>
            </w:r>
            <w:r w:rsidRPr="00621F74">
              <w:t xml:space="preserve">of attainment for this unit will reflect this distinction. </w:t>
            </w:r>
          </w:p>
        </w:tc>
      </w:tr>
    </w:tbl>
    <w:p w:rsidR="006B79CD" w:rsidP="00621F74">
      <w:pPr>
        <w:pStyle w:val="BodyText"/>
      </w:pPr>
    </w:p>
    <w:p w:rsidR="006B79CD" w:rsidP="00621F74">
      <w:pPr>
        <w:pStyle w:val="BodyText"/>
      </w:pPr>
    </w:p>
    <w:p w:rsidR="00000000" w:rsidRPr="00621F74" w:rsidP="00621F74">
      <w:pPr>
        <w:pStyle w:val="Heading1"/>
      </w:pPr>
      <w:bookmarkStart w:id="4" w:name="O_281388"/>
      <w:bookmarkEnd w:id="4"/>
      <w:r w:rsidRPr="00621F74">
        <w:t>Licensing/Regulatory Information</w:t>
      </w:r>
    </w:p>
    <w:p w:rsidR="00000000" w:rsidRPr="00621F74" w:rsidP="00621F74">
      <w:pPr>
        <w:pStyle w:val="BodyText"/>
      </w:pPr>
      <w:r w:rsidRPr="00621F74">
        <w:t>Not Applicable</w:t>
      </w:r>
    </w:p>
    <w:p w:rsidR="00000000" w:rsidRPr="00621F74" w:rsidP="00621F74">
      <w:pPr>
        <w:pStyle w:val="AllowPageBreak"/>
      </w:pPr>
    </w:p>
    <w:p w:rsidR="00000000" w:rsidRPr="00621F74" w:rsidP="00621F74">
      <w:pPr>
        <w:pStyle w:val="Heading1"/>
      </w:pPr>
      <w:bookmarkStart w:id="5" w:name="O_217389"/>
      <w:bookmarkEnd w:id="5"/>
      <w:r w:rsidRPr="00621F74">
        <w:t>Pre-Requisites</w:t>
      </w:r>
    </w:p>
    <w:tbl>
      <w:tblPr>
        <w:tblW w:w="0" w:type="auto"/>
        <w:tblLayout w:type="fixed"/>
        <w:tblCellMar>
          <w:left w:w="62" w:type="dxa"/>
          <w:right w:w="62" w:type="dxa"/>
        </w:tblCellMar>
        <w:tblLook w:val="0000"/>
      </w:tblPr>
      <w:tblGrid>
        <w:gridCol w:w="2775"/>
        <w:gridCol w:w="1295"/>
        <w:gridCol w:w="4452"/>
      </w:tblGrid>
      <w:tr w:rsidTr="006B79CD">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621F74">
            <w:pPr>
              <w:pStyle w:val="BodyText"/>
              <w:rPr>
                <w:lang w:val="en-NZ"/>
              </w:rPr>
            </w:pPr>
          </w:p>
        </w:tc>
      </w:tr>
      <w:tr w:rsidTr="006B79C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p>
        </w:tc>
      </w:tr>
      <w:tr w:rsidTr="006B79CD">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621F74" w:rsidP="00621F74">
            <w:pPr>
              <w:pStyle w:val="BodyText"/>
            </w:pPr>
          </w:p>
        </w:tc>
      </w:tr>
    </w:tbl>
    <w:p w:rsidR="006B79CD" w:rsidP="00621F74">
      <w:pPr>
        <w:pStyle w:val="BodyText"/>
      </w:pPr>
    </w:p>
    <w:p w:rsidR="006B79CD" w:rsidP="00621F74">
      <w:pPr>
        <w:pStyle w:val="BodyText"/>
      </w:pPr>
    </w:p>
    <w:p w:rsidR="00000000" w:rsidRPr="00621F74" w:rsidP="00621F74">
      <w:pPr>
        <w:pStyle w:val="Heading1"/>
      </w:pPr>
      <w:bookmarkStart w:id="6" w:name="O_217388"/>
      <w:bookmarkEnd w:id="6"/>
      <w:r w:rsidRPr="00621F74">
        <w:t>Employability Skills Information</w:t>
      </w:r>
    </w:p>
    <w:tbl>
      <w:tblPr>
        <w:tblW w:w="0" w:type="auto"/>
        <w:tblLayout w:type="fixed"/>
        <w:tblCellMar>
          <w:left w:w="62" w:type="dxa"/>
          <w:right w:w="62" w:type="dxa"/>
        </w:tblCellMar>
        <w:tblLook w:val="0000"/>
      </w:tblPr>
      <w:tblGrid>
        <w:gridCol w:w="2802"/>
        <w:gridCol w:w="5720"/>
      </w:tblGrid>
      <w:tr w:rsidTr="006B79C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21F74" w:rsidP="00621F74">
            <w:pPr>
              <w:pStyle w:val="BodyText"/>
            </w:pPr>
            <w:r w:rsidRPr="00621F74">
              <w:t>This unit contains employability skills.</w:t>
            </w:r>
          </w:p>
        </w:tc>
      </w:tr>
    </w:tbl>
    <w:p w:rsidR="006B79CD" w:rsidP="00621F74">
      <w:pPr>
        <w:pStyle w:val="BodyText"/>
      </w:pPr>
    </w:p>
    <w:p w:rsidR="006B79CD" w:rsidP="00621F74">
      <w:pPr>
        <w:pStyle w:val="BodyText"/>
      </w:pPr>
    </w:p>
    <w:p w:rsidR="00000000" w:rsidRPr="00621F74" w:rsidP="00621F74">
      <w:pPr>
        <w:pStyle w:val="Heading1"/>
      </w:pPr>
      <w:bookmarkStart w:id="7" w:name="O_291174"/>
      <w:bookmarkEnd w:id="7"/>
      <w:r w:rsidRPr="00621F74">
        <w:t>Elements and Performance Criteria Pre-Content</w:t>
      </w:r>
    </w:p>
    <w:tbl>
      <w:tblPr>
        <w:tblW w:w="0" w:type="auto"/>
        <w:tblLayout w:type="fixed"/>
        <w:tblCellMar>
          <w:left w:w="62" w:type="dxa"/>
          <w:right w:w="62" w:type="dxa"/>
        </w:tblCellMar>
        <w:tblLook w:val="0000"/>
      </w:tblPr>
      <w:tblGrid>
        <w:gridCol w:w="2608"/>
        <w:gridCol w:w="5914"/>
      </w:tblGrid>
      <w:tr w:rsidTr="006B79CD">
        <w:tblPrEx>
          <w:tblW w:w="0" w:type="auto"/>
          <w:tblLayout w:type="fixed"/>
          <w:tblCellMar>
            <w:left w:w="62" w:type="dxa"/>
            <w:right w:w="62" w:type="dxa"/>
          </w:tblCellMar>
          <w:tblLook w:val="0000"/>
        </w:tblPrEx>
        <w:tc>
          <w:tcPr>
            <w:tcW w:w="2608" w:type="dxa"/>
            <w:tcBorders>
              <w:top w:val="single" w:sz="6" w:space="0" w:color="auto"/>
              <w:left w:val="nil"/>
              <w:bottom w:val="nil"/>
              <w:right w:val="nil"/>
            </w:tcBorders>
            <w:tcMar>
              <w:top w:w="0" w:type="dxa"/>
              <w:left w:w="62" w:type="dxa"/>
              <w:bottom w:w="0" w:type="dxa"/>
              <w:right w:w="62" w:type="dxa"/>
            </w:tcMar>
          </w:tcPr>
          <w:p w:rsidR="00000000" w:rsidP="00621F74">
            <w:pPr>
              <w:pStyle w:val="BodyText"/>
              <w:rPr>
                <w:lang w:val="en-NZ"/>
              </w:rPr>
            </w:pPr>
            <w:r w:rsidRPr="00621F74">
              <w:t>Elements describe the essential outcomes of a unit of competency.</w:t>
            </w:r>
          </w:p>
        </w:tc>
        <w:tc>
          <w:tcPr>
            <w:tcW w:w="5914" w:type="dxa"/>
            <w:tcBorders>
              <w:top w:val="single" w:sz="6" w:space="0" w:color="auto"/>
              <w:left w:val="nil"/>
              <w:bottom w:val="nil"/>
              <w:right w:val="nil"/>
            </w:tcBorders>
            <w:tcMar>
              <w:top w:w="0" w:type="dxa"/>
              <w:left w:w="62" w:type="dxa"/>
              <w:bottom w:w="0" w:type="dxa"/>
              <w:right w:w="62" w:type="dxa"/>
            </w:tcMar>
          </w:tcPr>
          <w:p w:rsidR="00000000" w:rsidRPr="00621F74" w:rsidP="00621F74">
            <w:pPr>
              <w:pStyle w:val="BodyText"/>
            </w:pPr>
            <w:r w:rsidRPr="00621F74">
              <w:t>Performance criteria describe the performance needed to demons</w:t>
            </w:r>
            <w:r w:rsidRPr="00621F74">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21F74" w:rsidP="00621F74">
      <w:pPr>
        <w:pStyle w:val="BodyText"/>
      </w:pPr>
    </w:p>
    <w:p w:rsidR="00000000" w:rsidRPr="00621F74" w:rsidP="00621F74">
      <w:pPr>
        <w:pStyle w:val="AllowPageBreak"/>
      </w:pPr>
    </w:p>
    <w:p w:rsidR="00000000" w:rsidRPr="00621F74" w:rsidP="00621F74">
      <w:pPr>
        <w:pStyle w:val="Heading1"/>
      </w:pPr>
      <w:bookmarkStart w:id="8" w:name="O_237842"/>
      <w:bookmarkEnd w:id="8"/>
      <w:r w:rsidRPr="00621F74">
        <w:t>Elements and Performance Criteria</w:t>
      </w:r>
    </w:p>
    <w:tbl>
      <w:tblPr>
        <w:tblW w:w="0" w:type="auto"/>
        <w:tblLayout w:type="fixed"/>
        <w:tblCellMar>
          <w:left w:w="62" w:type="dxa"/>
          <w:right w:w="62" w:type="dxa"/>
        </w:tblCellMar>
        <w:tblLook w:val="0000"/>
      </w:tblPr>
      <w:tblGrid>
        <w:gridCol w:w="2608"/>
        <w:gridCol w:w="5914"/>
      </w:tblGrid>
      <w:tr w:rsidTr="006B79CD">
        <w:tblPrEx>
          <w:tblW w:w="0" w:type="auto"/>
          <w:tblLayout w:type="fixed"/>
          <w:tblCellMar>
            <w:left w:w="62" w:type="dxa"/>
            <w:right w:w="62" w:type="dxa"/>
          </w:tblCellMar>
          <w:tblLook w:val="0000"/>
        </w:tblPrEx>
        <w:trPr>
          <w:tblHeader/>
        </w:trPr>
        <w:tc>
          <w:tcPr>
            <w:tcW w:w="2608" w:type="dxa"/>
            <w:tcBorders>
              <w:top w:val="nil"/>
              <w:left w:val="nil"/>
              <w:bottom w:val="single" w:sz="6" w:space="0" w:color="auto"/>
              <w:right w:val="nil"/>
            </w:tcBorders>
            <w:tcMar>
              <w:top w:w="0" w:type="dxa"/>
              <w:left w:w="62" w:type="dxa"/>
              <w:bottom w:w="0" w:type="dxa"/>
              <w:right w:w="62" w:type="dxa"/>
            </w:tcMar>
          </w:tcPr>
          <w:p w:rsidR="00000000" w:rsidRPr="00621F74" w:rsidP="00621F74">
            <w:pPr>
              <w:pStyle w:val="BodyText"/>
            </w:pPr>
            <w:r w:rsidRPr="00621F74">
              <w:rPr>
                <w:rStyle w:val="SpecialBold"/>
              </w:rPr>
              <w:t>ELEMENT</w:t>
            </w:r>
          </w:p>
        </w:tc>
        <w:tc>
          <w:tcPr>
            <w:tcW w:w="5914" w:type="dxa"/>
            <w:tcBorders>
              <w:top w:val="nil"/>
              <w:left w:val="nil"/>
              <w:bottom w:val="single" w:sz="6" w:space="0" w:color="auto"/>
              <w:right w:val="nil"/>
            </w:tcBorders>
            <w:tcMar>
              <w:top w:w="0" w:type="dxa"/>
              <w:left w:w="62" w:type="dxa"/>
              <w:bottom w:w="0" w:type="dxa"/>
              <w:right w:w="62" w:type="dxa"/>
            </w:tcMar>
          </w:tcPr>
          <w:p w:rsidR="00000000" w:rsidP="00621F74">
            <w:pPr>
              <w:pStyle w:val="BodyText"/>
              <w:rPr>
                <w:lang w:val="en-NZ"/>
              </w:rPr>
            </w:pPr>
            <w:r w:rsidRPr="00621F74">
              <w:rPr>
                <w:rStyle w:val="SpecialBold"/>
              </w:rPr>
              <w:t>PERFORMANCE CRITERIA</w:t>
            </w:r>
          </w:p>
        </w:tc>
      </w:tr>
      <w:tr w:rsidTr="006B79CD">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t>Organise documents and evidence.</w:t>
            </w:r>
          </w:p>
        </w:tc>
        <w:tc>
          <w:tcPr>
            <w:tcW w:w="5914" w:type="dxa"/>
            <w:tcBorders>
              <w:top w:val="nil"/>
              <w:left w:val="nil"/>
              <w:bottom w:val="nil"/>
              <w:right w:val="nil"/>
            </w:tcBorders>
            <w:tcMar>
              <w:top w:w="0" w:type="dxa"/>
              <w:left w:w="62" w:type="dxa"/>
              <w:bottom w:w="0" w:type="dxa"/>
              <w:right w:w="62" w:type="dxa"/>
            </w:tcMar>
          </w:tcPr>
          <w:p w:rsidR="00000000" w:rsidRPr="00621F74" w:rsidP="00621F74">
            <w:pPr>
              <w:pStyle w:val="List"/>
            </w:pPr>
            <w:r w:rsidRPr="00621F74">
              <w:t>1.</w:t>
            </w:r>
            <w:r w:rsidRPr="00621F74">
              <w:tab/>
            </w:r>
            <w:r w:rsidRPr="00621F74">
              <w:rPr>
                <w:rStyle w:val="BoldandItalics"/>
              </w:rPr>
              <w:t>Appeals process</w:t>
            </w:r>
            <w:r w:rsidRPr="00621F74">
              <w:t xml:space="preserve"> is researched and applied. </w:t>
            </w:r>
          </w:p>
          <w:p w:rsidR="00000000" w:rsidRPr="00621F74" w:rsidP="00621F74">
            <w:pPr>
              <w:pStyle w:val="List"/>
            </w:pPr>
            <w:r w:rsidRPr="00621F74">
              <w:t>2.</w:t>
            </w:r>
            <w:r w:rsidRPr="00621F74">
              <w:tab/>
              <w:t>Other appeals are observed to improve understanding of appeals process.</w:t>
            </w:r>
          </w:p>
          <w:p w:rsidR="00000000" w:rsidRPr="00621F74" w:rsidP="00621F74">
            <w:pPr>
              <w:pStyle w:val="List"/>
            </w:pPr>
            <w:r w:rsidRPr="00621F74">
              <w:t>3.</w:t>
            </w:r>
            <w:r w:rsidRPr="00621F74">
              <w:tab/>
            </w:r>
            <w:r w:rsidRPr="00621F74">
              <w:t>Reports and transcripts from inquiries are prepared.</w:t>
            </w:r>
          </w:p>
          <w:p w:rsidR="00000000" w:rsidRPr="00621F74" w:rsidP="00621F74">
            <w:pPr>
              <w:pStyle w:val="List"/>
            </w:pPr>
            <w:r w:rsidRPr="00621F74">
              <w:t>4.</w:t>
            </w:r>
            <w:r w:rsidRPr="00621F74">
              <w:tab/>
            </w:r>
            <w:r w:rsidRPr="00621F74">
              <w:rPr>
                <w:rStyle w:val="BoldandItalics"/>
              </w:rPr>
              <w:t>Evidence</w:t>
            </w:r>
            <w:r w:rsidRPr="00621F74">
              <w:t xml:space="preserve"> is prepared for appeals. </w:t>
            </w:r>
          </w:p>
          <w:p w:rsidR="00000000" w:rsidP="00621F74">
            <w:pPr>
              <w:pStyle w:val="List"/>
              <w:rPr>
                <w:lang w:val="en-NZ"/>
              </w:rPr>
            </w:pPr>
            <w:r w:rsidRPr="00621F74">
              <w:t>5.</w:t>
            </w:r>
            <w:r w:rsidRPr="00621F74">
              <w:tab/>
              <w:t>Additional information, witnesses and evidence are prepared for appeal.</w:t>
            </w:r>
          </w:p>
        </w:tc>
      </w:tr>
      <w:tr w:rsidTr="006B79CD">
        <w:tblPrEx>
          <w:tblW w:w="0" w:type="auto"/>
          <w:tblLayout w:type="fixed"/>
          <w:tblCellMar>
            <w:left w:w="62" w:type="dxa"/>
            <w:right w:w="62" w:type="dxa"/>
          </w:tblCellMar>
          <w:tblLook w:val="0000"/>
        </w:tblPrEx>
        <w:tc>
          <w:tcPr>
            <w:tcW w:w="2608"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t>Effective communication skills are used when preparing for appeals.</w:t>
            </w:r>
          </w:p>
        </w:tc>
        <w:tc>
          <w:tcPr>
            <w:tcW w:w="5914" w:type="dxa"/>
            <w:tcBorders>
              <w:top w:val="nil"/>
              <w:left w:val="nil"/>
              <w:bottom w:val="nil"/>
              <w:right w:val="nil"/>
            </w:tcBorders>
            <w:tcMar>
              <w:top w:w="0" w:type="dxa"/>
              <w:left w:w="62" w:type="dxa"/>
              <w:bottom w:w="0" w:type="dxa"/>
              <w:right w:w="62" w:type="dxa"/>
            </w:tcMar>
          </w:tcPr>
          <w:p w:rsidR="00000000" w:rsidRPr="00621F74" w:rsidP="00621F74">
            <w:pPr>
              <w:pStyle w:val="List"/>
            </w:pPr>
            <w:r w:rsidRPr="00621F74">
              <w:t>6.</w:t>
            </w:r>
            <w:r w:rsidRPr="00621F74">
              <w:tab/>
              <w:t>Information is pre</w:t>
            </w:r>
            <w:r w:rsidRPr="00621F74">
              <w:t>sented in a succinct and logical manner.</w:t>
            </w:r>
          </w:p>
          <w:p w:rsidR="00000000" w:rsidRPr="00621F74" w:rsidP="00621F74">
            <w:pPr>
              <w:pStyle w:val="List"/>
            </w:pPr>
            <w:r w:rsidRPr="00621F74">
              <w:t>7.</w:t>
            </w:r>
            <w:r w:rsidRPr="00621F74">
              <w:tab/>
            </w:r>
            <w:r w:rsidRPr="00621F74">
              <w:rPr>
                <w:rStyle w:val="BoldandItalics"/>
              </w:rPr>
              <w:t>Effective listening and speaking skills</w:t>
            </w:r>
            <w:r w:rsidRPr="00621F74">
              <w:t xml:space="preserve"> are employed when presenting appeal information. </w:t>
            </w:r>
          </w:p>
          <w:p w:rsidR="00000000" w:rsidRPr="00621F74" w:rsidP="00621F74">
            <w:pPr>
              <w:pStyle w:val="List"/>
            </w:pPr>
            <w:r w:rsidRPr="00621F74">
              <w:t>8.</w:t>
            </w:r>
            <w:r w:rsidRPr="00621F74">
              <w:tab/>
              <w:t xml:space="preserve">Interaction with appeal lawyers is managed using </w:t>
            </w:r>
            <w:r w:rsidRPr="00621F74">
              <w:rPr>
                <w:rStyle w:val="BoldandItalics"/>
              </w:rPr>
              <w:t>assertiveness skills</w:t>
            </w:r>
            <w:r w:rsidRPr="00621F74">
              <w:t xml:space="preserve"> . </w:t>
            </w:r>
          </w:p>
        </w:tc>
      </w:tr>
    </w:tbl>
    <w:p w:rsidR="006B79CD" w:rsidP="00621F74">
      <w:pPr>
        <w:pStyle w:val="BodyText"/>
      </w:pPr>
    </w:p>
    <w:p w:rsidR="006B79CD" w:rsidP="00621F74">
      <w:pPr>
        <w:pStyle w:val="BodyText"/>
      </w:pPr>
    </w:p>
    <w:p w:rsidR="00000000" w:rsidRPr="00621F74" w:rsidP="00621F74">
      <w:pPr>
        <w:pStyle w:val="Heading1"/>
      </w:pPr>
      <w:bookmarkStart w:id="9" w:name="O_261633"/>
      <w:bookmarkEnd w:id="9"/>
      <w:r w:rsidRPr="00621F74">
        <w:t>Required Skills and Knowledge</w:t>
      </w:r>
    </w:p>
    <w:tbl>
      <w:tblPr>
        <w:tblW w:w="0" w:type="auto"/>
        <w:tblLayout w:type="fixed"/>
        <w:tblCellMar>
          <w:left w:w="62" w:type="dxa"/>
          <w:right w:w="62" w:type="dxa"/>
        </w:tblCellMar>
        <w:tblLook w:val="0000"/>
      </w:tblPr>
      <w:tblGrid>
        <w:gridCol w:w="8522"/>
      </w:tblGrid>
      <w:tr w:rsidTr="006B79C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REQUIRED SKILLS AND KNOWLEDGE</w:t>
            </w:r>
          </w:p>
        </w:tc>
      </w:tr>
      <w:tr w:rsidTr="006B7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t>This section describes the skills and knowledge required for this unit.</w:t>
            </w:r>
          </w:p>
        </w:tc>
      </w:tr>
      <w:tr w:rsidTr="006B7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Required skills</w:t>
            </w:r>
          </w:p>
        </w:tc>
      </w:tr>
      <w:tr w:rsidTr="006B7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1F74" w:rsidP="00621F74">
            <w:pPr>
              <w:pStyle w:val="ListBullet"/>
            </w:pPr>
            <w:r w:rsidRPr="00621F74">
              <w:t xml:space="preserve">communicating with appeal panel members, other stewards, racing officials, licensed </w:t>
            </w:r>
            <w:r w:rsidRPr="00621F74">
              <w:t>and registered personnel and others using assertiveness and communication techniques to gather, interpret and relay information related to preparing for racing industry appeals</w:t>
            </w:r>
          </w:p>
          <w:p w:rsidR="00000000" w:rsidRPr="00621F74" w:rsidP="00621F74">
            <w:pPr>
              <w:pStyle w:val="ListBullet"/>
            </w:pPr>
            <w:r w:rsidRPr="00621F74">
              <w:t>completing duties in accordance with safe operating procedures and nominated ti</w:t>
            </w:r>
            <w:r w:rsidRPr="00621F74">
              <w:t>me frame</w:t>
            </w:r>
          </w:p>
          <w:p w:rsidR="00000000" w:rsidRPr="00621F74" w:rsidP="00621F74">
            <w:pPr>
              <w:pStyle w:val="ListBullet"/>
            </w:pPr>
            <w:r w:rsidRPr="00621F74">
              <w:t>complying with organisational policies and procedures and the rules of racing</w:t>
            </w:r>
          </w:p>
          <w:p w:rsidR="00000000" w:rsidRPr="00621F74" w:rsidP="00621F74">
            <w:pPr>
              <w:pStyle w:val="ListBullet"/>
            </w:pPr>
            <w:r w:rsidRPr="00621F74">
              <w:t>gathering relevant evidence to racing incidents covered by the rules of racing</w:t>
            </w:r>
          </w:p>
          <w:p w:rsidR="00000000" w:rsidRPr="00621F74" w:rsidP="00621F74">
            <w:pPr>
              <w:pStyle w:val="ListBullet"/>
            </w:pPr>
            <w:r w:rsidRPr="00621F74">
              <w:t>preparing and presenting evidence for appeals in a succinct and logical manner</w:t>
            </w:r>
          </w:p>
          <w:p w:rsidR="00000000" w:rsidRPr="00621F74" w:rsidP="00621F74">
            <w:pPr>
              <w:pStyle w:val="ListBullet"/>
            </w:pPr>
            <w:r w:rsidRPr="00621F74">
              <w:t>reading and</w:t>
            </w:r>
            <w:r w:rsidRPr="00621F74">
              <w:t xml:space="preserve"> interpreting workplace documentation, including rules of racing</w:t>
            </w:r>
          </w:p>
          <w:p w:rsidR="00000000" w:rsidRPr="00621F74" w:rsidP="00621F74">
            <w:pPr>
              <w:pStyle w:val="ListBullet"/>
            </w:pPr>
            <w:r w:rsidRPr="00621F74">
              <w:t>relating to people from a range of social, cultural and ethnic backgrounds and with varying physical and mental abilities</w:t>
            </w:r>
          </w:p>
          <w:p w:rsidR="00000000" w:rsidRPr="00621F74" w:rsidP="00621F74">
            <w:pPr>
              <w:pStyle w:val="ListBullet"/>
            </w:pPr>
            <w:r w:rsidRPr="00621F74">
              <w:t>researching documents</w:t>
            </w:r>
          </w:p>
          <w:p w:rsidR="00000000" w:rsidRPr="00621F74" w:rsidP="00621F74">
            <w:pPr>
              <w:pStyle w:val="ListBullet"/>
            </w:pPr>
            <w:r w:rsidRPr="00621F74">
              <w:t>teamwork skills to ensure completion of job tasks</w:t>
            </w:r>
          </w:p>
          <w:p w:rsidR="00000000" w:rsidRPr="00621F74" w:rsidP="00621F74">
            <w:pPr>
              <w:pStyle w:val="ListBullet"/>
            </w:pPr>
            <w:r w:rsidRPr="00621F74">
              <w:t>using various modes of technology, including video records, tape and other audiovisual aids</w:t>
            </w:r>
          </w:p>
          <w:p w:rsidR="00000000" w:rsidP="00621F74">
            <w:pPr>
              <w:pStyle w:val="ListBullet"/>
              <w:rPr>
                <w:lang w:val="en-NZ"/>
              </w:rPr>
            </w:pPr>
            <w:r w:rsidRPr="00621F74">
              <w:t>written communication skills to complete workplace documentation and reports.</w:t>
            </w:r>
          </w:p>
        </w:tc>
      </w:tr>
      <w:tr w:rsidTr="006B7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Required knowledge</w:t>
            </w:r>
          </w:p>
        </w:tc>
      </w:tr>
      <w:tr w:rsidTr="006B79C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1F74" w:rsidP="00621F74">
            <w:pPr>
              <w:pStyle w:val="ListBullet"/>
            </w:pPr>
            <w:r w:rsidRPr="00621F74">
              <w:t>applicable fed</w:t>
            </w:r>
            <w:r w:rsidRPr="00621F74">
              <w:t>eral, state or territory legislation and regulations relating to anti-discrimination and harassment</w:t>
            </w:r>
          </w:p>
          <w:p w:rsidR="00000000" w:rsidRPr="00621F74" w:rsidP="00621F74">
            <w:pPr>
              <w:pStyle w:val="ListBullet"/>
            </w:pPr>
            <w:r w:rsidRPr="00621F74">
              <w:t>communication procedures for communicating with other stewards and industry personnel, including reporting lines within the workplace and wider racing indus</w:t>
            </w:r>
            <w:r w:rsidRPr="00621F74">
              <w:t>try</w:t>
            </w:r>
          </w:p>
          <w:p w:rsidR="00000000" w:rsidRPr="00621F74" w:rsidP="00621F74">
            <w:pPr>
              <w:pStyle w:val="ListBullet"/>
            </w:pPr>
            <w:r w:rsidRPr="00621F74">
              <w:t>ethical conduct standards of relevant racing principal authority</w:t>
            </w:r>
          </w:p>
          <w:p w:rsidR="00000000" w:rsidRPr="00621F74" w:rsidP="00621F74">
            <w:pPr>
              <w:pStyle w:val="ListBullet"/>
            </w:pPr>
            <w:r w:rsidRPr="00621F74">
              <w:t>evidence-gathering procedures</w:t>
            </w:r>
          </w:p>
          <w:p w:rsidR="00000000" w:rsidRPr="00621F74" w:rsidP="00621F74">
            <w:pPr>
              <w:pStyle w:val="ListBullet"/>
            </w:pPr>
            <w:r w:rsidRPr="00621F74">
              <w:t>industry terminology related to steward duties, racing operations and wider racing industry</w:t>
            </w:r>
          </w:p>
          <w:p w:rsidR="00000000" w:rsidRPr="00621F74" w:rsidP="00621F74">
            <w:pPr>
              <w:pStyle w:val="ListBullet"/>
            </w:pPr>
            <w:r w:rsidRPr="00621F74">
              <w:t>OHS and environmental legislative requirements</w:t>
            </w:r>
          </w:p>
          <w:p w:rsidR="00000000" w:rsidRPr="00621F74" w:rsidP="00621F74">
            <w:pPr>
              <w:pStyle w:val="ListBullet"/>
            </w:pPr>
            <w:r w:rsidRPr="00621F74">
              <w:t>organisational pol</w:t>
            </w:r>
            <w:r w:rsidRPr="00621F74">
              <w:t>icies and procedures</w:t>
            </w:r>
          </w:p>
          <w:p w:rsidR="00000000" w:rsidRPr="00621F74" w:rsidP="00621F74">
            <w:pPr>
              <w:pStyle w:val="ListBullet"/>
            </w:pPr>
            <w:r w:rsidRPr="00621F74">
              <w:t>principles of administrative law</w:t>
            </w:r>
          </w:p>
          <w:p w:rsidR="00000000" w:rsidRPr="00621F74" w:rsidP="00621F74">
            <w:pPr>
              <w:pStyle w:val="ListBullet"/>
            </w:pPr>
            <w:r w:rsidRPr="00621F74">
              <w:t>principles of effective communication</w:t>
            </w:r>
          </w:p>
          <w:p w:rsidR="00000000" w:rsidRPr="00621F74" w:rsidP="00621F74">
            <w:pPr>
              <w:pStyle w:val="ListBullet"/>
            </w:pPr>
            <w:r w:rsidRPr="00621F74">
              <w:t>racing industry animal welfare requirements</w:t>
            </w:r>
          </w:p>
          <w:p w:rsidR="00000000" w:rsidRPr="00621F74" w:rsidP="00621F74">
            <w:pPr>
              <w:pStyle w:val="ListBullet"/>
            </w:pPr>
            <w:r w:rsidRPr="00621F74">
              <w:t>rules of racing relevant to appeal subject matter.</w:t>
            </w:r>
          </w:p>
        </w:tc>
      </w:tr>
    </w:tbl>
    <w:p w:rsidR="006B79CD" w:rsidP="00621F74">
      <w:pPr>
        <w:pStyle w:val="BodyText"/>
      </w:pPr>
    </w:p>
    <w:p w:rsidR="006B79CD" w:rsidP="00621F74">
      <w:pPr>
        <w:pStyle w:val="BodyText"/>
      </w:pPr>
    </w:p>
    <w:p w:rsidR="00000000" w:rsidRPr="00621F74" w:rsidP="00621F74">
      <w:pPr>
        <w:pStyle w:val="AllowPageBreak"/>
      </w:pPr>
    </w:p>
    <w:p w:rsidR="00000000" w:rsidRPr="00621F74" w:rsidP="00621F74">
      <w:pPr>
        <w:pStyle w:val="Heading1"/>
      </w:pPr>
      <w:bookmarkStart w:id="10" w:name="O_245826"/>
      <w:bookmarkEnd w:id="10"/>
      <w:r w:rsidRPr="00621F74">
        <w:t>Evidence Guide</w:t>
      </w:r>
    </w:p>
    <w:tbl>
      <w:tblPr>
        <w:tblW w:w="9570" w:type="dxa"/>
        <w:tblLayout w:type="fixed"/>
        <w:tblCellMar>
          <w:left w:w="62" w:type="dxa"/>
          <w:right w:w="62" w:type="dxa"/>
        </w:tblCellMar>
        <w:tblLook w:val="0000"/>
      </w:tblPr>
      <w:tblGrid>
        <w:gridCol w:w="3908"/>
        <w:gridCol w:w="5662"/>
      </w:tblGrid>
      <w:tr w:rsidTr="006B79CD">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21F74">
            <w:pPr>
              <w:pStyle w:val="BodyText"/>
              <w:rPr>
                <w:lang w:val="en-NZ"/>
              </w:rPr>
            </w:pPr>
            <w:r w:rsidRPr="00621F74">
              <w:rPr>
                <w:rStyle w:val="SpecialBold"/>
              </w:rPr>
              <w:t>EVIDENCE GUIDE</w:t>
            </w:r>
          </w:p>
        </w:tc>
      </w:tr>
      <w:tr w:rsidTr="006B79CD">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21F74">
            <w:pPr>
              <w:pStyle w:val="BodyText"/>
              <w:rPr>
                <w:lang w:val="en-NZ"/>
              </w:rPr>
            </w:pPr>
            <w:r w:rsidRPr="00621F74">
              <w:t>The evidence guide provides advice on assessment and must be read in conjunction with the performance criteria, required skills and knowledge, range statement and the Assessment Guidelines for the Training Package.</w:t>
            </w:r>
          </w:p>
        </w:tc>
      </w:tr>
      <w:tr w:rsidTr="006B79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21F74" w:rsidP="00621F74">
            <w:pPr>
              <w:pStyle w:val="BodyText"/>
            </w:pPr>
            <w:r w:rsidRPr="00621F74">
              <w:t>The evidence required to demonstrate competency in this unit must be relevant to workplace operations and satisfy all of the requirements of the performance criter</w:t>
            </w:r>
            <w:r w:rsidRPr="00621F74">
              <w:t>ia, required skills and knowledge and the range statement of this unit and include evidence of the following:</w:t>
            </w:r>
          </w:p>
          <w:p w:rsidR="00000000" w:rsidRPr="00621F74" w:rsidP="00621F74">
            <w:pPr>
              <w:pStyle w:val="ListBullet"/>
            </w:pPr>
            <w:r w:rsidRPr="00621F74">
              <w:t>knowledge of the requirements, procedures and instructions that are to apply when preparing for racing appeals</w:t>
            </w:r>
          </w:p>
          <w:p w:rsidR="00000000" w:rsidRPr="00621F74" w:rsidP="00621F74">
            <w:pPr>
              <w:pStyle w:val="ListBullet"/>
            </w:pPr>
            <w:r w:rsidRPr="00621F74">
              <w:t>demonstration of ability to resear</w:t>
            </w:r>
            <w:r w:rsidRPr="00621F74">
              <w:t>ch and gather information, and prepare evidence, employing a range of appropriate communication strategies</w:t>
            </w:r>
          </w:p>
          <w:p w:rsidR="00000000" w:rsidRPr="00621F74" w:rsidP="00621F74">
            <w:pPr>
              <w:pStyle w:val="ListBullet"/>
            </w:pPr>
            <w:r w:rsidRPr="00621F74">
              <w:t>implementation of procedures and timely techniques for the safe, effective and efficient preparation of racing appeals</w:t>
            </w:r>
          </w:p>
          <w:p w:rsidR="00000000" w:rsidRPr="00621F74" w:rsidP="00621F74">
            <w:pPr>
              <w:pStyle w:val="ListBullet"/>
            </w:pPr>
            <w:r w:rsidRPr="00621F74">
              <w:t>working with others to underta</w:t>
            </w:r>
            <w:r w:rsidRPr="00621F74">
              <w:t>ke and complete the required procedures that meet required outcomes.</w:t>
            </w:r>
          </w:p>
          <w:p w:rsidR="00000000" w:rsidP="00621F74">
            <w:pPr>
              <w:pStyle w:val="BodyText"/>
              <w:rPr>
                <w:lang w:val="en-NZ"/>
              </w:rPr>
            </w:pPr>
            <w:r w:rsidRPr="00621F74">
              <w:t xml:space="preserve">Evidence should be collected over a period of time in a range of racing industry administration and operations contexts, and include dealings with an appropriate range of situations. </w:t>
            </w:r>
          </w:p>
        </w:tc>
      </w:tr>
      <w:tr w:rsidTr="006B79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21F74" w:rsidP="00621F74">
            <w:pPr>
              <w:pStyle w:val="BodyText"/>
            </w:pPr>
            <w:r w:rsidRPr="00621F74">
              <w:t>Competency must be assessed in a racing workplace that provides access to the required resources. Assessment is to occur under standard and authorised work practices, safety requirements and environmental co</w:t>
            </w:r>
            <w:r w:rsidRPr="00621F74">
              <w:t>nstraints. It is to comply with relevant regulatory requirements or Australian Standards requirements.</w:t>
            </w:r>
          </w:p>
          <w:p w:rsidR="00000000" w:rsidRPr="00621F74" w:rsidP="00621F74">
            <w:pPr>
              <w:pStyle w:val="BodyText"/>
            </w:pPr>
            <w:r w:rsidRPr="00621F74">
              <w:t>Assessment of the practical components of this unit will be by observation of relevant skills.</w:t>
            </w:r>
          </w:p>
          <w:p w:rsidR="00000000" w:rsidRPr="00621F74" w:rsidP="00621F74">
            <w:pPr>
              <w:pStyle w:val="BodyText"/>
            </w:pPr>
            <w:r w:rsidRPr="00621F74">
              <w:t>The following resources must be available:</w:t>
            </w:r>
          </w:p>
          <w:p w:rsidR="00000000" w:rsidRPr="00621F74" w:rsidP="00621F74">
            <w:pPr>
              <w:pStyle w:val="ListBullet"/>
            </w:pPr>
            <w:r w:rsidRPr="00621F74">
              <w:t xml:space="preserve">materials and </w:t>
            </w:r>
            <w:r w:rsidRPr="00621F74">
              <w:t>equipment relevant to assessing candidate's ability to prepare evidence at racing appeals, including:</w:t>
            </w:r>
          </w:p>
          <w:p w:rsidR="00000000" w:rsidRPr="00621F74" w:rsidP="00621F74">
            <w:pPr>
              <w:pStyle w:val="ListBullet2"/>
            </w:pPr>
            <w:r w:rsidRPr="00621F74">
              <w:t>supervised access to inquiry, protest and appeals documents at supervisor's discretion</w:t>
            </w:r>
          </w:p>
          <w:p w:rsidR="00000000" w:rsidRPr="00621F74" w:rsidP="00621F74">
            <w:pPr>
              <w:pStyle w:val="ListBullet"/>
            </w:pPr>
            <w:r w:rsidRPr="00621F74">
              <w:t>racing administration buildings and related appeals facilities</w:t>
            </w:r>
          </w:p>
          <w:p w:rsidR="00000000" w:rsidP="00621F74">
            <w:pPr>
              <w:pStyle w:val="ListBullet"/>
              <w:rPr>
                <w:lang w:val="en-NZ"/>
              </w:rPr>
            </w:pPr>
            <w:r w:rsidRPr="00621F74">
              <w:t>work instructions and related documentation.</w:t>
            </w:r>
          </w:p>
        </w:tc>
      </w:tr>
      <w:tr w:rsidTr="006B79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21F74" w:rsidP="00621F74">
            <w:pPr>
              <w:pStyle w:val="BodyText"/>
            </w:pPr>
            <w:r w:rsidRPr="00621F74">
              <w:t>Assessment methods must satisfy the endorsed Assessment Guidelines of the Racing Training Package.</w:t>
            </w:r>
          </w:p>
          <w:p w:rsidR="00000000" w:rsidRPr="00621F74" w:rsidP="00621F74">
            <w:pPr>
              <w:pStyle w:val="BodyText"/>
            </w:pPr>
            <w:r w:rsidRPr="00621F74">
              <w:t>The suggested strategies for the assessment of this unit are:</w:t>
            </w:r>
          </w:p>
          <w:p w:rsidR="00000000" w:rsidRPr="00621F74" w:rsidP="00621F74">
            <w:pPr>
              <w:pStyle w:val="ListBullet"/>
            </w:pPr>
            <w:r w:rsidRPr="00621F74">
              <w:t>written and/or oral assessment of candidate's required knowledge</w:t>
            </w:r>
          </w:p>
          <w:p w:rsidR="00000000" w:rsidRPr="00621F74" w:rsidP="00621F74">
            <w:pPr>
              <w:pStyle w:val="ListBullet"/>
            </w:pPr>
            <w:r w:rsidRPr="00621F74">
              <w:t>observed, documented and firsthand testimonial evidence of candidate's application of practical tasks</w:t>
            </w:r>
          </w:p>
          <w:p w:rsidR="00000000" w:rsidRPr="00621F74" w:rsidP="00621F74">
            <w:pPr>
              <w:pStyle w:val="ListBullet"/>
            </w:pPr>
            <w:r w:rsidRPr="00621F74">
              <w:t>case studies to assess candidate's ability to provide written and/or oral responses to va</w:t>
            </w:r>
            <w:r w:rsidRPr="00621F74">
              <w:t>rious scenarios.</w:t>
            </w:r>
          </w:p>
          <w:p w:rsidR="00000000" w:rsidRPr="00621F74" w:rsidP="00621F74">
            <w:pPr>
              <w:pStyle w:val="BodyText"/>
            </w:pPr>
            <w:r w:rsidRPr="00621F74">
              <w:t>Evidence is required to be demonstrated over a period of time, therefore where performance is not directly observed any evidence should be authenticated by supervisors or other appropriate persons, at least one of whom should be approved b</w:t>
            </w:r>
            <w:r w:rsidRPr="00621F74">
              <w:t>y the State Principal Racing Authority.</w:t>
            </w:r>
          </w:p>
          <w:p w:rsidR="00000000" w:rsidP="00621F74">
            <w:pPr>
              <w:pStyle w:val="BodyText"/>
              <w:rPr>
                <w:lang w:val="en-NZ"/>
              </w:rPr>
            </w:pPr>
            <w:r w:rsidRPr="00621F74">
              <w:t xml:space="preserve">This unit may be assessed in a holistic way with other units of competency relevant to the industry sector, workplace and job role. </w:t>
            </w:r>
          </w:p>
        </w:tc>
      </w:tr>
      <w:tr w:rsidTr="006B79C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21F74" w:rsidP="00621F74">
            <w:pPr>
              <w:pStyle w:val="BodyText"/>
            </w:pPr>
            <w:r w:rsidRPr="00621F74">
              <w:t>Assessment methods should reflect workplace de</w:t>
            </w:r>
            <w:r w:rsidRPr="00621F74">
              <w:t>mands (e.g. literacy and numeracy demands) and the needs of particular target groups (e.g. people with disabilities, Aboriginal and Torres Strait Islander people, women, people with a language background other than English, youth and people from low socioe</w:t>
            </w:r>
            <w:r w:rsidRPr="00621F74">
              <w:t xml:space="preserve">conomic backgrounds). </w:t>
            </w:r>
          </w:p>
        </w:tc>
      </w:tr>
    </w:tbl>
    <w:p w:rsidR="006B79CD" w:rsidP="00621F74">
      <w:pPr>
        <w:pStyle w:val="BodyText"/>
      </w:pPr>
    </w:p>
    <w:p w:rsidR="006B79CD" w:rsidP="00621F74">
      <w:pPr>
        <w:pStyle w:val="BodyText"/>
      </w:pPr>
    </w:p>
    <w:p w:rsidR="00000000" w:rsidRPr="00621F74" w:rsidP="00621F74">
      <w:pPr>
        <w:pStyle w:val="Heading1"/>
      </w:pPr>
      <w:bookmarkStart w:id="11" w:name="O_253809"/>
      <w:bookmarkEnd w:id="11"/>
      <w:r w:rsidRPr="00621F74">
        <w:t>Range Statement</w:t>
      </w:r>
    </w:p>
    <w:tbl>
      <w:tblPr>
        <w:tblW w:w="0" w:type="auto"/>
        <w:tblLayout w:type="fixed"/>
        <w:tblCellMar>
          <w:left w:w="62" w:type="dxa"/>
          <w:right w:w="62" w:type="dxa"/>
        </w:tblCellMar>
        <w:tblLook w:val="0000"/>
      </w:tblPr>
      <w:tblGrid>
        <w:gridCol w:w="3494"/>
        <w:gridCol w:w="5028"/>
      </w:tblGrid>
      <w:tr w:rsidTr="006B79C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21F74">
            <w:pPr>
              <w:pStyle w:val="BodyText"/>
              <w:rPr>
                <w:lang w:val="en-NZ"/>
              </w:rPr>
            </w:pPr>
            <w:r w:rsidRPr="00621F74">
              <w:rPr>
                <w:rStyle w:val="SpecialBold"/>
              </w:rPr>
              <w:t>RANGE STATEMENT</w:t>
            </w:r>
          </w:p>
        </w:tc>
      </w:tr>
      <w:tr w:rsidTr="006B79C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21F74" w:rsidP="00621F74">
            <w:pPr>
              <w:pStyle w:val="BodyText"/>
            </w:pPr>
            <w:r w:rsidRPr="00621F74">
              <w:t xml:space="preserve">The range statement relates to the unit of competency as a whole. It allows for different work environments and situations that may affect </w:t>
            </w:r>
            <w:r w:rsidRPr="00621F74">
              <w:t xml:space="preserve">performance. Bold italicised wording in the performance criteria is detailed below. </w:t>
            </w:r>
          </w:p>
          <w:p w:rsidR="00000000" w:rsidRPr="00621F74" w:rsidP="00621F74">
            <w:pPr>
              <w:pStyle w:val="BodyText"/>
            </w:pPr>
          </w:p>
          <w:p w:rsidR="00000000" w:rsidRPr="00621F74" w:rsidP="00621F74">
            <w:pPr>
              <w:pStyle w:val="BodyText"/>
            </w:pPr>
            <w:r w:rsidRPr="00621F74">
              <w:t>The range statement provides details of how this competency can be used in the workplaces of the racing industry to prepare for appeals. Workplaces include greyhound, har</w:t>
            </w:r>
            <w:r w:rsidRPr="00621F74">
              <w:t>ness and thoroughbred racecourses, training tracks and administration buildings.</w:t>
            </w:r>
          </w:p>
          <w:p w:rsidR="00000000" w:rsidRPr="00621F74" w:rsidP="00621F74">
            <w:pPr>
              <w:pStyle w:val="BodyText"/>
            </w:pPr>
          </w:p>
          <w:p w:rsidR="00000000" w:rsidP="00621F74">
            <w:pPr>
              <w:pStyle w:val="BodyText"/>
              <w:rPr>
                <w:lang w:val="en-NZ"/>
              </w:rPr>
            </w:pPr>
            <w:r w:rsidRPr="00621F74">
              <w:t>Stewards oversee the conduct of all racing-related activities within the responsibilities and powers described under the rules of racing. The conditions under which this unit</w:t>
            </w:r>
            <w:r w:rsidRPr="00621F74">
              <w:t xml:space="preserve"> is delivered and assessed must take into consideration these powers and responsibilities. These powers and responsibilities are further described in the rules of racing for the relevant racing code. It is strongly recommended that training facilitators an</w:t>
            </w:r>
            <w:r w:rsidRPr="00621F74">
              <w:t>d learners refer to these powers and responsibilities as part of the range of conditions for all units covered in the steward specialist area of the Training Package.</w:t>
            </w:r>
          </w:p>
        </w:tc>
      </w:tr>
      <w:tr w:rsidTr="006B79CD">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BoldandItalics"/>
              </w:rPr>
              <w:t>Appeals process</w:t>
            </w:r>
            <w:r w:rsidRPr="00621F74">
              <w:t xml:space="preserve"> includes: </w:t>
            </w:r>
          </w:p>
        </w:tc>
        <w:tc>
          <w:tcPr>
            <w:tcW w:w="5028" w:type="dxa"/>
            <w:tcBorders>
              <w:top w:val="nil"/>
              <w:left w:val="nil"/>
              <w:bottom w:val="nil"/>
              <w:right w:val="nil"/>
            </w:tcBorders>
            <w:tcMar>
              <w:top w:w="0" w:type="dxa"/>
              <w:left w:w="62" w:type="dxa"/>
              <w:bottom w:w="0" w:type="dxa"/>
              <w:right w:w="62" w:type="dxa"/>
            </w:tcMar>
          </w:tcPr>
          <w:p w:rsidR="00000000" w:rsidRPr="00621F74" w:rsidP="00621F74">
            <w:pPr>
              <w:pStyle w:val="ListBullet"/>
            </w:pPr>
            <w:r w:rsidRPr="00621F74">
              <w:t>appeal decision</w:t>
            </w:r>
          </w:p>
          <w:p w:rsidR="00000000" w:rsidRPr="00621F74" w:rsidP="00621F74">
            <w:pPr>
              <w:pStyle w:val="ListBullet"/>
            </w:pPr>
            <w:r w:rsidRPr="00621F74">
              <w:t>application for stay of proceedings</w:t>
            </w:r>
          </w:p>
          <w:p w:rsidR="00000000" w:rsidRPr="00621F74" w:rsidP="00621F74">
            <w:pPr>
              <w:pStyle w:val="ListBullet"/>
            </w:pPr>
            <w:r w:rsidRPr="00621F74">
              <w:t>avenue of appeal for aggrieved person at first or second level, dependant on racing code procedures</w:t>
            </w:r>
          </w:p>
          <w:p w:rsidR="00000000" w:rsidRPr="00621F74" w:rsidP="00621F74">
            <w:pPr>
              <w:pStyle w:val="ListBullet"/>
            </w:pPr>
            <w:r w:rsidRPr="00621F74">
              <w:t>level of fine or suspension duration</w:t>
            </w:r>
          </w:p>
          <w:p w:rsidR="00000000" w:rsidRPr="00621F74" w:rsidP="00621F74">
            <w:pPr>
              <w:pStyle w:val="ListBullet"/>
            </w:pPr>
            <w:r w:rsidRPr="00621F74">
              <w:t>lodgement of fees</w:t>
            </w:r>
          </w:p>
          <w:p w:rsidR="00000000" w:rsidRPr="00621F74" w:rsidP="00621F74">
            <w:pPr>
              <w:pStyle w:val="ListBullet"/>
            </w:pPr>
            <w:r w:rsidRPr="00621F74">
              <w:t>notice of appeal</w:t>
            </w:r>
          </w:p>
          <w:p w:rsidR="00000000" w:rsidRPr="00621F74" w:rsidP="00621F74">
            <w:pPr>
              <w:pStyle w:val="ListBullet"/>
            </w:pPr>
            <w:r w:rsidRPr="00621F74">
              <w:t>subject matter of appeals and associated rules of racing</w:t>
            </w:r>
          </w:p>
          <w:p w:rsidR="00000000" w:rsidP="00621F74">
            <w:pPr>
              <w:pStyle w:val="ListBullet"/>
              <w:rPr>
                <w:lang w:val="en-NZ"/>
              </w:rPr>
            </w:pPr>
            <w:r w:rsidRPr="00621F74">
              <w:t>time frame of appeal relate</w:t>
            </w:r>
            <w:r w:rsidRPr="00621F74">
              <w:t>d to statutory requirement.</w:t>
            </w:r>
          </w:p>
        </w:tc>
      </w:tr>
      <w:tr w:rsidTr="006B79CD">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BoldandItalics"/>
              </w:rPr>
              <w:t>Evidence</w:t>
            </w:r>
            <w:r w:rsidRPr="00621F74">
              <w:t xml:space="preserve"> may include: </w:t>
            </w:r>
          </w:p>
        </w:tc>
        <w:tc>
          <w:tcPr>
            <w:tcW w:w="5028" w:type="dxa"/>
            <w:tcBorders>
              <w:top w:val="nil"/>
              <w:left w:val="nil"/>
              <w:bottom w:val="nil"/>
              <w:right w:val="nil"/>
            </w:tcBorders>
            <w:tcMar>
              <w:top w:w="0" w:type="dxa"/>
              <w:left w:w="62" w:type="dxa"/>
              <w:bottom w:w="0" w:type="dxa"/>
              <w:right w:w="62" w:type="dxa"/>
            </w:tcMar>
          </w:tcPr>
          <w:p w:rsidR="00000000" w:rsidRPr="00621F74" w:rsidP="00621F74">
            <w:pPr>
              <w:pStyle w:val="ListBullet"/>
            </w:pPr>
            <w:r w:rsidRPr="00621F74">
              <w:t>copy of betting sheets and fluctuations</w:t>
            </w:r>
          </w:p>
          <w:p w:rsidR="00000000" w:rsidRPr="00621F74" w:rsidP="00621F74">
            <w:pPr>
              <w:pStyle w:val="ListBullet"/>
            </w:pPr>
            <w:r w:rsidRPr="00621F74">
              <w:t>inquiry transcripts</w:t>
            </w:r>
          </w:p>
          <w:p w:rsidR="00000000" w:rsidRPr="00621F74" w:rsidP="00621F74">
            <w:pPr>
              <w:pStyle w:val="ListBullet"/>
            </w:pPr>
            <w:r w:rsidRPr="00621F74">
              <w:t>models</w:t>
            </w:r>
          </w:p>
          <w:p w:rsidR="00000000" w:rsidRPr="00621F74" w:rsidP="00621F74">
            <w:pPr>
              <w:pStyle w:val="ListBullet"/>
            </w:pPr>
            <w:r w:rsidRPr="00621F74">
              <w:t>stewards' reports</w:t>
            </w:r>
          </w:p>
          <w:p w:rsidR="00000000" w:rsidRPr="00621F74" w:rsidP="00621F74">
            <w:pPr>
              <w:pStyle w:val="ListBullet"/>
            </w:pPr>
            <w:r w:rsidRPr="00621F74">
              <w:t>swab materials</w:t>
            </w:r>
          </w:p>
          <w:p w:rsidR="00000000" w:rsidP="00621F74">
            <w:pPr>
              <w:pStyle w:val="ListBullet"/>
              <w:rPr>
                <w:lang w:val="en-NZ"/>
              </w:rPr>
            </w:pPr>
            <w:r w:rsidRPr="00621F74">
              <w:t>videos.</w:t>
            </w:r>
          </w:p>
        </w:tc>
      </w:tr>
      <w:tr w:rsidTr="006B79CD">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BoldandItalics"/>
              </w:rPr>
              <w:t>Effective listening and speaking skills</w:t>
            </w:r>
            <w:r w:rsidRPr="00621F74">
              <w:t xml:space="preserve"> may include: </w:t>
            </w:r>
          </w:p>
        </w:tc>
        <w:tc>
          <w:tcPr>
            <w:tcW w:w="5028" w:type="dxa"/>
            <w:tcBorders>
              <w:top w:val="nil"/>
              <w:left w:val="nil"/>
              <w:bottom w:val="nil"/>
              <w:right w:val="nil"/>
            </w:tcBorders>
            <w:tcMar>
              <w:top w:w="0" w:type="dxa"/>
              <w:left w:w="62" w:type="dxa"/>
              <w:bottom w:w="0" w:type="dxa"/>
              <w:right w:w="62" w:type="dxa"/>
            </w:tcMar>
          </w:tcPr>
          <w:p w:rsidR="00000000" w:rsidRPr="00621F74" w:rsidP="00621F74">
            <w:pPr>
              <w:pStyle w:val="ListBullet"/>
            </w:pPr>
            <w:r w:rsidRPr="00621F74">
              <w:t>being clear and precise</w:t>
            </w:r>
          </w:p>
          <w:p w:rsidR="00000000" w:rsidRPr="00621F74" w:rsidP="00621F74">
            <w:pPr>
              <w:pStyle w:val="ListBullet"/>
            </w:pPr>
            <w:r w:rsidRPr="00621F74">
              <w:t>clarifying what a question is about prior to responding</w:t>
            </w:r>
          </w:p>
          <w:p w:rsidR="00000000" w:rsidRPr="00621F74" w:rsidP="00621F74">
            <w:pPr>
              <w:pStyle w:val="ListBullet"/>
            </w:pPr>
            <w:r w:rsidRPr="00621F74">
              <w:t>presenting information in logical order</w:t>
            </w:r>
          </w:p>
          <w:p w:rsidR="00000000" w:rsidRPr="00621F74" w:rsidP="00621F74">
            <w:pPr>
              <w:pStyle w:val="ListBullet"/>
            </w:pPr>
            <w:r w:rsidRPr="00621F74">
              <w:t>speaking clearly</w:t>
            </w:r>
          </w:p>
          <w:p w:rsidR="00000000" w:rsidRPr="00621F74" w:rsidP="00621F74">
            <w:pPr>
              <w:pStyle w:val="ListBullet"/>
            </w:pPr>
            <w:r w:rsidRPr="00621F74">
              <w:t>using language that is not patronising but at a level suitable for interviewee</w:t>
            </w:r>
          </w:p>
          <w:p w:rsidR="00000000" w:rsidRPr="00621F74" w:rsidP="00621F74">
            <w:pPr>
              <w:pStyle w:val="ListBullet"/>
            </w:pPr>
            <w:r w:rsidRPr="00621F74">
              <w:t>using body language and voice that is assertive but not aggressi</w:t>
            </w:r>
            <w:r w:rsidRPr="00621F74">
              <w:t>ve</w:t>
            </w:r>
          </w:p>
          <w:p w:rsidR="00000000" w:rsidRPr="00621F74" w:rsidP="00621F74">
            <w:pPr>
              <w:pStyle w:val="ListBullet"/>
            </w:pPr>
            <w:r w:rsidRPr="00621F74">
              <w:t>using non-discriminatory language</w:t>
            </w:r>
          </w:p>
          <w:p w:rsidR="00000000" w:rsidP="00621F74">
            <w:pPr>
              <w:pStyle w:val="ListBullet"/>
              <w:rPr>
                <w:lang w:val="en-NZ"/>
              </w:rPr>
            </w:pPr>
            <w:r w:rsidRPr="00621F74">
              <w:t>verifying what has been said or done and why.</w:t>
            </w:r>
          </w:p>
        </w:tc>
      </w:tr>
      <w:tr w:rsidTr="006B79CD">
        <w:tblPrEx>
          <w:tblW w:w="0" w:type="auto"/>
          <w:tblLayout w:type="fixed"/>
          <w:tblCellMar>
            <w:left w:w="62" w:type="dxa"/>
            <w:right w:w="62" w:type="dxa"/>
          </w:tblCellMar>
          <w:tblLook w:val="0000"/>
        </w:tblPrEx>
        <w:tc>
          <w:tcPr>
            <w:tcW w:w="3494"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BoldandItalics"/>
              </w:rPr>
              <w:t>Assertiveness skills</w:t>
            </w:r>
            <w:r w:rsidRPr="00621F74">
              <w:t xml:space="preserve"> may include: </w:t>
            </w:r>
          </w:p>
        </w:tc>
        <w:tc>
          <w:tcPr>
            <w:tcW w:w="5028" w:type="dxa"/>
            <w:tcBorders>
              <w:top w:val="nil"/>
              <w:left w:val="nil"/>
              <w:bottom w:val="nil"/>
              <w:right w:val="nil"/>
            </w:tcBorders>
            <w:tcMar>
              <w:top w:w="0" w:type="dxa"/>
              <w:left w:w="62" w:type="dxa"/>
              <w:bottom w:w="0" w:type="dxa"/>
              <w:right w:w="62" w:type="dxa"/>
            </w:tcMar>
          </w:tcPr>
          <w:p w:rsidR="00000000" w:rsidRPr="00621F74" w:rsidP="00621F74">
            <w:pPr>
              <w:pStyle w:val="ListBullet"/>
            </w:pPr>
            <w:r w:rsidRPr="00621F74">
              <w:t>acknowledging rights of self and others</w:t>
            </w:r>
          </w:p>
          <w:p w:rsidR="00000000" w:rsidRPr="00621F74" w:rsidP="00621F74">
            <w:pPr>
              <w:pStyle w:val="ListBullet"/>
            </w:pPr>
            <w:r w:rsidRPr="00621F74">
              <w:t>confronting tactfully</w:t>
            </w:r>
          </w:p>
          <w:p w:rsidR="00000000" w:rsidRPr="00621F74" w:rsidP="00621F74">
            <w:pPr>
              <w:pStyle w:val="ListBullet"/>
            </w:pPr>
            <w:r w:rsidRPr="00621F74">
              <w:t>displaying self-confidence</w:t>
            </w:r>
          </w:p>
          <w:p w:rsidR="00000000" w:rsidRPr="00621F74" w:rsidP="00621F74">
            <w:pPr>
              <w:pStyle w:val="ListBullet"/>
            </w:pPr>
            <w:r w:rsidRPr="00621F74">
              <w:t>giving others an opportunity to state their case</w:t>
            </w:r>
          </w:p>
          <w:p w:rsidR="00000000" w:rsidRPr="00621F74" w:rsidP="00621F74">
            <w:pPr>
              <w:pStyle w:val="ListBullet"/>
            </w:pPr>
            <w:r w:rsidRPr="00621F74">
              <w:t>keeping control of emotions</w:t>
            </w:r>
          </w:p>
          <w:p w:rsidR="00000000" w:rsidRPr="00621F74" w:rsidP="00621F74">
            <w:pPr>
              <w:pStyle w:val="ListBullet"/>
            </w:pPr>
            <w:r w:rsidRPr="00621F74">
              <w:t>keeping control of tone, level and pitch of voice</w:t>
            </w:r>
          </w:p>
          <w:p w:rsidR="00000000" w:rsidRPr="00621F74" w:rsidP="00621F74">
            <w:pPr>
              <w:pStyle w:val="ListBullet"/>
            </w:pPr>
            <w:r w:rsidRPr="00621F74">
              <w:t>maintaining authority without resorting to emotional blackmail or violence</w:t>
            </w:r>
          </w:p>
          <w:p w:rsidR="00000000" w:rsidRPr="00621F74" w:rsidP="00621F74">
            <w:pPr>
              <w:pStyle w:val="ListBullet"/>
            </w:pPr>
            <w:r w:rsidRPr="00621F74">
              <w:t>valuing others.</w:t>
            </w:r>
          </w:p>
        </w:tc>
      </w:tr>
    </w:tbl>
    <w:p w:rsidR="006B79CD" w:rsidP="00621F74">
      <w:pPr>
        <w:pStyle w:val="BodyText"/>
      </w:pPr>
    </w:p>
    <w:p w:rsidR="006B79CD" w:rsidP="00621F74">
      <w:pPr>
        <w:pStyle w:val="BodyText"/>
      </w:pPr>
    </w:p>
    <w:p w:rsidR="00000000" w:rsidRPr="00621F74" w:rsidP="00621F74">
      <w:pPr>
        <w:pStyle w:val="Heading1"/>
      </w:pPr>
      <w:bookmarkStart w:id="12" w:name="O_217393"/>
      <w:bookmarkEnd w:id="12"/>
      <w:r w:rsidRPr="00621F74">
        <w:t>Unit Sector(s)</w:t>
      </w:r>
    </w:p>
    <w:tbl>
      <w:tblPr>
        <w:tblW w:w="0" w:type="auto"/>
        <w:tblLayout w:type="fixed"/>
        <w:tblCellMar>
          <w:left w:w="62" w:type="dxa"/>
          <w:right w:w="62" w:type="dxa"/>
        </w:tblCellMar>
        <w:tblLook w:val="0000"/>
      </w:tblPr>
      <w:tblGrid>
        <w:gridCol w:w="2603"/>
        <w:gridCol w:w="5919"/>
      </w:tblGrid>
      <w:tr w:rsidTr="006B79CD">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621F74" w:rsidP="00621F74">
            <w:pPr>
              <w:pStyle w:val="BodyText"/>
            </w:pPr>
            <w:r w:rsidRPr="00621F74">
              <w:t>Greyhound, harness and thoroughbred racing codes</w:t>
            </w:r>
          </w:p>
        </w:tc>
      </w:tr>
    </w:tbl>
    <w:p w:rsidR="006B79CD" w:rsidP="00621F74">
      <w:pPr>
        <w:pStyle w:val="BodyText"/>
      </w:pPr>
    </w:p>
    <w:p w:rsidR="006B79CD" w:rsidP="00621F74">
      <w:pPr>
        <w:pStyle w:val="BodyText"/>
      </w:pPr>
    </w:p>
    <w:p w:rsidR="00000000" w:rsidRPr="00621F74" w:rsidP="00621F74">
      <w:pPr>
        <w:pStyle w:val="Heading1"/>
      </w:pPr>
      <w:bookmarkStart w:id="13" w:name="O_217390"/>
      <w:bookmarkEnd w:id="13"/>
      <w:r w:rsidRPr="00621F74">
        <w:t>Co-requisite units</w:t>
      </w:r>
    </w:p>
    <w:tbl>
      <w:tblPr>
        <w:tblW w:w="0" w:type="auto"/>
        <w:tblLayout w:type="fixed"/>
        <w:tblCellMar>
          <w:left w:w="62" w:type="dxa"/>
          <w:right w:w="62" w:type="dxa"/>
        </w:tblCellMar>
        <w:tblLook w:val="0000"/>
      </w:tblPr>
      <w:tblGrid>
        <w:gridCol w:w="2641"/>
        <w:gridCol w:w="1322"/>
        <w:gridCol w:w="4559"/>
      </w:tblGrid>
      <w:tr w:rsidTr="006B79CD">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621F74">
            <w:pPr>
              <w:pStyle w:val="BodyText"/>
              <w:rPr>
                <w:lang w:val="en-NZ"/>
              </w:rPr>
            </w:pPr>
          </w:p>
        </w:tc>
      </w:tr>
      <w:tr w:rsidTr="006B79C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p>
        </w:tc>
      </w:tr>
      <w:tr w:rsidTr="006B79CD">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21F74" w:rsidP="00621F74">
            <w:pPr>
              <w:pStyle w:val="BodyText"/>
            </w:pPr>
          </w:p>
        </w:tc>
      </w:tr>
    </w:tbl>
    <w:p w:rsidR="006B79CD" w:rsidP="00621F74">
      <w:pPr>
        <w:pStyle w:val="BodyText"/>
      </w:pPr>
    </w:p>
    <w:p w:rsidR="006B79CD" w:rsidP="00621F74">
      <w:pPr>
        <w:pStyle w:val="BodyText"/>
      </w:pPr>
    </w:p>
    <w:p w:rsidR="00000000" w:rsidRPr="00621F74" w:rsidP="00621F74">
      <w:pPr>
        <w:pStyle w:val="Heading1"/>
      </w:pPr>
      <w:bookmarkStart w:id="14" w:name="O_217392"/>
      <w:bookmarkEnd w:id="14"/>
      <w:r w:rsidRPr="00621F74">
        <w:t>Functional Area</w:t>
      </w:r>
    </w:p>
    <w:tbl>
      <w:tblPr>
        <w:tblW w:w="0" w:type="auto"/>
        <w:tblLayout w:type="fixed"/>
        <w:tblCellMar>
          <w:left w:w="62" w:type="dxa"/>
          <w:right w:w="62" w:type="dxa"/>
        </w:tblCellMar>
        <w:tblLook w:val="0000"/>
      </w:tblPr>
      <w:tblGrid>
        <w:gridCol w:w="2736"/>
        <w:gridCol w:w="5786"/>
      </w:tblGrid>
      <w:tr w:rsidTr="006B79CD">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21F74">
            <w:pPr>
              <w:pStyle w:val="BodyText"/>
              <w:rPr>
                <w:lang w:val="en-NZ"/>
              </w:rPr>
            </w:pPr>
            <w:r w:rsidRPr="00621F74">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21F74" w:rsidP="00621F74">
            <w:pPr>
              <w:pStyle w:val="BodyText"/>
            </w:pPr>
            <w:r w:rsidRPr="00621F74">
              <w:t>Racing common</w:t>
            </w:r>
          </w:p>
        </w:tc>
      </w:tr>
    </w:tbl>
    <w:p w:rsidR="006B79CD" w:rsidP="00621F74">
      <w:pPr>
        <w:pStyle w:val="BodyText"/>
      </w:pPr>
    </w:p>
    <w:p w:rsidR="006B79CD" w:rsidP="00621F74">
      <w:pPr>
        <w:pStyle w:val="BodyText"/>
      </w:pPr>
    </w:p>
    <w:p w:rsidR="00000000" w:rsidRPr="00621F74" w:rsidP="00621F74"/>
    <w:sectPr w:rsidSect="00621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9CD" w:rsidP="006B7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9CD" w:rsidP="00621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79CD" w:rsidP="00621F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B79CD" w:rsidP="00621F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79CD" w:rsidP="006B79C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9CD" w:rsidP="00621F74">
    <w:pPr>
      <w:pStyle w:val="Header"/>
      <w:framePr w:wrap="around"/>
    </w:pPr>
    <w:r>
      <w:fldChar w:fldCharType="begin"/>
    </w:r>
    <w:r>
      <w:instrText xml:space="preserve"> TITLE   \* MERGEFORMAT </w:instrText>
    </w:r>
    <w:r>
      <w:fldChar w:fldCharType="separate"/>
    </w:r>
    <w:r>
      <w:t>RGRSTD404A Prepare for racing industry appeals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79CD" w:rsidP="00621F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36B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3EE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E80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F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1F74"/>
    <w:pPr>
      <w:spacing w:before="360" w:after="60"/>
      <w:outlineLvl w:val="0"/>
    </w:pPr>
    <w:rPr>
      <w:sz w:val="32"/>
    </w:rPr>
  </w:style>
  <w:style w:type="paragraph" w:styleId="Heading2">
    <w:name w:val="heading 2"/>
    <w:basedOn w:val="HeadingBase"/>
    <w:next w:val="BodyText"/>
    <w:link w:val="Heading2Char"/>
    <w:qFormat/>
    <w:rsid w:val="00621F74"/>
    <w:pPr>
      <w:keepLines/>
      <w:spacing w:before="240" w:after="120"/>
      <w:outlineLvl w:val="1"/>
    </w:pPr>
    <w:rPr>
      <w:sz w:val="28"/>
      <w:szCs w:val="40"/>
    </w:rPr>
  </w:style>
  <w:style w:type="paragraph" w:styleId="Heading3">
    <w:name w:val="heading 3"/>
    <w:basedOn w:val="HeadingBase"/>
    <w:next w:val="BodyText"/>
    <w:link w:val="Heading3Char"/>
    <w:qFormat/>
    <w:rsid w:val="00621F74"/>
    <w:pPr>
      <w:spacing w:before="180" w:after="120"/>
      <w:outlineLvl w:val="2"/>
    </w:pPr>
    <w:rPr>
      <w:spacing w:val="-10"/>
      <w:kern w:val="32"/>
    </w:rPr>
  </w:style>
  <w:style w:type="paragraph" w:styleId="Heading4">
    <w:name w:val="heading 4"/>
    <w:basedOn w:val="HeadingBase"/>
    <w:next w:val="BodyText"/>
    <w:link w:val="Heading4Char"/>
    <w:qFormat/>
    <w:rsid w:val="00621F74"/>
    <w:pPr>
      <w:spacing w:before="160" w:after="120"/>
      <w:outlineLvl w:val="3"/>
    </w:pPr>
    <w:rPr>
      <w:sz w:val="22"/>
    </w:rPr>
  </w:style>
  <w:style w:type="paragraph" w:styleId="Heading5">
    <w:name w:val="heading 5"/>
    <w:basedOn w:val="HeadingBase"/>
    <w:next w:val="Normal"/>
    <w:link w:val="Heading5Char"/>
    <w:qFormat/>
    <w:rsid w:val="00621F74"/>
    <w:pPr>
      <w:spacing w:before="80"/>
      <w:outlineLvl w:val="4"/>
    </w:pPr>
    <w:rPr>
      <w:color w:val="918585"/>
      <w:sz w:val="20"/>
    </w:rPr>
  </w:style>
  <w:style w:type="paragraph" w:styleId="Heading6">
    <w:name w:val="heading 6"/>
    <w:basedOn w:val="HeadingBase"/>
    <w:next w:val="Normal"/>
    <w:link w:val="Heading6Char"/>
    <w:qFormat/>
    <w:rsid w:val="00621F74"/>
    <w:pPr>
      <w:spacing w:before="60"/>
      <w:outlineLvl w:val="5"/>
    </w:pPr>
    <w:rPr>
      <w:color w:val="918585"/>
      <w:sz w:val="20"/>
    </w:rPr>
  </w:style>
  <w:style w:type="paragraph" w:styleId="Heading7">
    <w:name w:val="heading 7"/>
    <w:basedOn w:val="Normal"/>
    <w:next w:val="Normal"/>
    <w:link w:val="Heading7Char"/>
    <w:qFormat/>
    <w:rsid w:val="00621F74"/>
    <w:pPr>
      <w:ind w:left="720"/>
      <w:outlineLvl w:val="6"/>
    </w:pPr>
    <w:rPr>
      <w:i/>
    </w:rPr>
  </w:style>
  <w:style w:type="paragraph" w:styleId="Heading8">
    <w:name w:val="heading 8"/>
    <w:basedOn w:val="Normal"/>
    <w:next w:val="Normal"/>
    <w:link w:val="Heading8Char"/>
    <w:qFormat/>
    <w:rsid w:val="00621F74"/>
    <w:pPr>
      <w:ind w:left="720"/>
      <w:outlineLvl w:val="7"/>
    </w:pPr>
    <w:rPr>
      <w:i/>
    </w:rPr>
  </w:style>
  <w:style w:type="paragraph" w:styleId="Heading9">
    <w:name w:val="heading 9"/>
    <w:basedOn w:val="Normal"/>
    <w:next w:val="Normal"/>
    <w:link w:val="Heading9Char"/>
    <w:qFormat/>
    <w:rsid w:val="00621F74"/>
    <w:pPr>
      <w:ind w:left="720"/>
      <w:outlineLvl w:val="8"/>
    </w:pPr>
    <w:rPr>
      <w:i/>
    </w:rPr>
  </w:style>
  <w:style w:type="character" w:default="1" w:styleId="DefaultParagraphFont">
    <w:name w:val="Default Paragraph Font"/>
    <w:uiPriority w:val="1"/>
    <w:unhideWhenUsed/>
    <w:rsid w:val="00621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F74"/>
  </w:style>
  <w:style w:type="character" w:customStyle="1" w:styleId="Heading1Char">
    <w:name w:val="Heading 1 Char"/>
    <w:basedOn w:val="DefaultParagraphFont"/>
    <w:link w:val="Heading1"/>
    <w:rsid w:val="00621F74"/>
    <w:rPr>
      <w:rFonts w:ascii="Times New Roman" w:eastAsia="Times New Roman" w:hAnsi="Times New Roman" w:cs="Times New Roman"/>
      <w:b/>
      <w:sz w:val="32"/>
      <w:szCs w:val="20"/>
      <w:lang w:eastAsia="en-US"/>
    </w:rPr>
  </w:style>
  <w:style w:type="paragraph" w:styleId="BodyText">
    <w:name w:val="Body Text"/>
    <w:basedOn w:val="Normal"/>
    <w:link w:val="BodyTextChar"/>
    <w:rsid w:val="00621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F74"/>
    <w:rPr>
      <w:rFonts w:ascii="Times New Roman" w:eastAsia="Times New Roman" w:hAnsi="Times New Roman" w:cs="Times New Roman"/>
      <w:sz w:val="24"/>
      <w:lang w:val="en-US" w:eastAsia="en-US"/>
    </w:rPr>
  </w:style>
  <w:style w:type="paragraph" w:styleId="Footer">
    <w:name w:val="footer"/>
    <w:basedOn w:val="Normal"/>
    <w:link w:val="FooterChar"/>
    <w:rsid w:val="00621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F74"/>
    <w:rPr>
      <w:rFonts w:ascii="Times New Roman" w:eastAsia="Times New Roman" w:hAnsi="Times New Roman" w:cs="Times New Roman"/>
      <w:sz w:val="16"/>
      <w:lang w:val="en-US" w:eastAsia="en-US"/>
    </w:rPr>
  </w:style>
  <w:style w:type="paragraph" w:styleId="List">
    <w:name w:val="List"/>
    <w:basedOn w:val="BodyText"/>
    <w:next w:val="BodyText"/>
    <w:rsid w:val="00621F74"/>
    <w:pPr>
      <w:tabs>
        <w:tab w:val="left" w:pos="340"/>
      </w:tabs>
      <w:spacing w:before="60" w:after="60"/>
      <w:ind w:left="340" w:hanging="340"/>
    </w:pPr>
  </w:style>
  <w:style w:type="paragraph" w:styleId="ListBullet">
    <w:name w:val="List Bullet"/>
    <w:basedOn w:val="List"/>
    <w:rsid w:val="00621F74"/>
    <w:pPr>
      <w:numPr>
        <w:numId w:val="13"/>
      </w:numPr>
      <w:tabs>
        <w:tab w:val="clear" w:pos="340"/>
      </w:tabs>
      <w:spacing w:before="40" w:after="40"/>
    </w:pPr>
  </w:style>
  <w:style w:type="character" w:customStyle="1" w:styleId="SpecialBold">
    <w:name w:val="Special Bold"/>
    <w:basedOn w:val="DefaultParagraphFont"/>
    <w:rsid w:val="00621F74"/>
    <w:rPr>
      <w:b/>
      <w:spacing w:val="0"/>
    </w:rPr>
  </w:style>
  <w:style w:type="paragraph" w:styleId="ListBullet2">
    <w:name w:val="List Bullet 2"/>
    <w:basedOn w:val="List2"/>
    <w:rsid w:val="00621F74"/>
    <w:pPr>
      <w:numPr>
        <w:numId w:val="14"/>
      </w:numPr>
      <w:tabs>
        <w:tab w:val="clear" w:pos="680"/>
      </w:tabs>
    </w:pPr>
  </w:style>
  <w:style w:type="paragraph" w:styleId="Header">
    <w:name w:val="header"/>
    <w:basedOn w:val="Normal"/>
    <w:link w:val="HeaderChar"/>
    <w:rsid w:val="00621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F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1F74"/>
    <w:pPr>
      <w:spacing w:before="240" w:after="120"/>
      <w:outlineLvl w:val="0"/>
    </w:pPr>
    <w:rPr>
      <w:rFonts w:ascii="Times New Roman" w:hAnsi="Times New Roman"/>
      <w:b/>
      <w:sz w:val="28"/>
    </w:rPr>
  </w:style>
  <w:style w:type="paragraph" w:customStyle="1" w:styleId="AllowPageBreak">
    <w:name w:val="AllowPageBreak"/>
    <w:rsid w:val="00621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1F74"/>
    <w:rPr>
      <w:b/>
      <w:i/>
      <w:u w:val="none"/>
    </w:rPr>
  </w:style>
  <w:style w:type="character" w:customStyle="1" w:styleId="Heading2Char">
    <w:name w:val="Heading 2 Char"/>
    <w:basedOn w:val="DefaultParagraphFont"/>
    <w:link w:val="Heading2"/>
    <w:rsid w:val="00621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F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1F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1F74"/>
    <w:rPr>
      <w:rFonts w:ascii="Courier New" w:eastAsia="Times New Roman" w:hAnsi="Courier New" w:cs="Times New Roman"/>
      <w:i/>
      <w:szCs w:val="20"/>
      <w:lang w:val="en-US" w:eastAsia="en-US"/>
    </w:rPr>
  </w:style>
  <w:style w:type="paragraph" w:customStyle="1" w:styleId="HeadingBase">
    <w:name w:val="Heading Base"/>
    <w:rsid w:val="00621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F74"/>
    <w:pPr>
      <w:tabs>
        <w:tab w:val="right" w:leader="dot" w:pos="9072"/>
      </w:tabs>
      <w:ind w:left="567"/>
    </w:pPr>
    <w:rPr>
      <w:szCs w:val="22"/>
    </w:rPr>
  </w:style>
  <w:style w:type="paragraph" w:customStyle="1" w:styleId="TOCBase">
    <w:name w:val="TOC Base"/>
    <w:rsid w:val="00621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F74"/>
    <w:pPr>
      <w:tabs>
        <w:tab w:val="right" w:leader="dot" w:pos="9072"/>
      </w:tabs>
      <w:spacing w:before="40" w:after="40"/>
      <w:ind w:left="284"/>
    </w:pPr>
    <w:rPr>
      <w:rFonts w:ascii="Times New Roman" w:hAnsi="Times New Roman"/>
    </w:rPr>
  </w:style>
  <w:style w:type="paragraph" w:styleId="TOC1">
    <w:name w:val="toc 1"/>
    <w:basedOn w:val="TOCBase"/>
    <w:next w:val="Normal"/>
    <w:rsid w:val="00621F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1F74"/>
    <w:pPr>
      <w:spacing w:before="5040"/>
      <w:jc w:val="center"/>
    </w:pPr>
    <w:rPr>
      <w:sz w:val="48"/>
      <w:szCs w:val="72"/>
      <w:lang w:val="en-US"/>
    </w:rPr>
  </w:style>
  <w:style w:type="character" w:customStyle="1" w:styleId="TitleChar">
    <w:name w:val="Title Char"/>
    <w:basedOn w:val="DefaultParagraphFont"/>
    <w:link w:val="Title"/>
    <w:rsid w:val="00621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F74"/>
    <w:pPr>
      <w:tabs>
        <w:tab w:val="left" w:pos="3600"/>
        <w:tab w:val="left" w:pos="3958"/>
      </w:tabs>
    </w:pPr>
  </w:style>
  <w:style w:type="paragraph" w:customStyle="1" w:styleId="Note">
    <w:name w:val="Note"/>
    <w:basedOn w:val="BodyText"/>
    <w:rsid w:val="00621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F74"/>
    <w:pPr>
      <w:framePr w:wrap="auto" w:hAnchor="text" w:y="6049"/>
    </w:pPr>
    <w:rPr>
      <w:color w:val="000000"/>
      <w:sz w:val="40"/>
    </w:rPr>
  </w:style>
  <w:style w:type="paragraph" w:customStyle="1" w:styleId="TOCTitle">
    <w:name w:val="TOCTitle"/>
    <w:basedOn w:val="Heading1"/>
    <w:rsid w:val="00621F74"/>
    <w:pPr>
      <w:spacing w:after="240"/>
      <w:jc w:val="center"/>
      <w:outlineLvl w:val="9"/>
    </w:pPr>
    <w:rPr>
      <w:caps/>
    </w:rPr>
  </w:style>
  <w:style w:type="paragraph" w:customStyle="1" w:styleId="Version">
    <w:name w:val="Version"/>
    <w:rsid w:val="00621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F74"/>
    <w:pPr>
      <w:keepNext w:val="0"/>
      <w:tabs>
        <w:tab w:val="right" w:pos="4176"/>
      </w:tabs>
      <w:ind w:left="198" w:hanging="198"/>
    </w:pPr>
    <w:rPr>
      <w:rFonts w:ascii="Garamond" w:hAnsi="Garamond"/>
    </w:rPr>
  </w:style>
  <w:style w:type="paragraph" w:styleId="IndexHeading">
    <w:name w:val="index heading"/>
    <w:basedOn w:val="Normal"/>
    <w:next w:val="Index1"/>
    <w:semiHidden/>
    <w:rsid w:val="00621F74"/>
    <w:pPr>
      <w:spacing w:before="120" w:after="120"/>
    </w:pPr>
    <w:rPr>
      <w:rFonts w:ascii="Arial" w:hAnsi="Arial"/>
      <w:b/>
      <w:color w:val="918585"/>
      <w:sz w:val="24"/>
    </w:rPr>
  </w:style>
  <w:style w:type="paragraph" w:customStyle="1" w:styleId="Chapter">
    <w:name w:val="Chapter"/>
    <w:basedOn w:val="Normal"/>
    <w:rsid w:val="00621F74"/>
    <w:pPr>
      <w:spacing w:before="240"/>
    </w:pPr>
    <w:rPr>
      <w:rFonts w:ascii="Times New Roman" w:hAnsi="Times New Roman"/>
      <w:smallCaps/>
      <w:spacing w:val="80"/>
      <w:sz w:val="28"/>
    </w:rPr>
  </w:style>
  <w:style w:type="paragraph" w:customStyle="1" w:styleId="InChapter">
    <w:name w:val="InChapter"/>
    <w:basedOn w:val="Heading3"/>
    <w:rsid w:val="00621F74"/>
    <w:pPr>
      <w:spacing w:after="240"/>
      <w:outlineLvl w:val="9"/>
    </w:pPr>
    <w:rPr>
      <w:noProof/>
    </w:rPr>
  </w:style>
  <w:style w:type="paragraph" w:styleId="Index2">
    <w:name w:val="index 2"/>
    <w:basedOn w:val="Normal"/>
    <w:next w:val="Normal"/>
    <w:semiHidden/>
    <w:rsid w:val="00621F74"/>
    <w:pPr>
      <w:tabs>
        <w:tab w:val="right" w:pos="4176"/>
      </w:tabs>
      <w:ind w:left="568" w:hanging="284"/>
    </w:pPr>
    <w:rPr>
      <w:rFonts w:ascii="Garamond" w:hAnsi="Garamond"/>
    </w:rPr>
  </w:style>
  <w:style w:type="paragraph" w:customStyle="1" w:styleId="Byline">
    <w:name w:val="Byline"/>
    <w:rsid w:val="00621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F74"/>
    <w:pPr>
      <w:tabs>
        <w:tab w:val="clear" w:pos="3600"/>
        <w:tab w:val="clear" w:pos="3958"/>
      </w:tabs>
      <w:jc w:val="right"/>
    </w:pPr>
  </w:style>
  <w:style w:type="character" w:styleId="Emphasis">
    <w:name w:val="Emphasis"/>
    <w:basedOn w:val="DefaultParagraphFont"/>
    <w:qFormat/>
    <w:rsid w:val="00621F74"/>
    <w:rPr>
      <w:i/>
    </w:rPr>
  </w:style>
  <w:style w:type="paragraph" w:styleId="Caption">
    <w:name w:val="caption"/>
    <w:basedOn w:val="BodyText"/>
    <w:next w:val="Normal"/>
    <w:qFormat/>
    <w:rsid w:val="00621F74"/>
    <w:pPr>
      <w:framePr w:w="2268" w:hSpace="181" w:vSpace="181" w:wrap="around" w:vAnchor="text" w:hAnchor="page" w:x="1135" w:y="285" w:anchorLock="1"/>
    </w:pPr>
    <w:rPr>
      <w:i/>
    </w:rPr>
  </w:style>
  <w:style w:type="paragraph" w:customStyle="1" w:styleId="MiniTOCTitle">
    <w:name w:val="MiniTOCTitle"/>
    <w:basedOn w:val="Heading4"/>
    <w:rsid w:val="00621F74"/>
    <w:pPr>
      <w:spacing w:before="240"/>
      <w:outlineLvl w:val="9"/>
    </w:pPr>
    <w:rPr>
      <w:noProof/>
      <w:sz w:val="24"/>
    </w:rPr>
  </w:style>
  <w:style w:type="paragraph" w:customStyle="1" w:styleId="MiniTOCItem">
    <w:name w:val="MiniTOCItem"/>
    <w:basedOn w:val="ListBullet"/>
    <w:rsid w:val="00621F74"/>
    <w:pPr>
      <w:numPr>
        <w:numId w:val="0"/>
      </w:numPr>
      <w:tabs>
        <w:tab w:val="right" w:leader="dot" w:pos="6521"/>
      </w:tabs>
      <w:spacing w:before="0" w:after="0"/>
    </w:pPr>
  </w:style>
  <w:style w:type="paragraph" w:customStyle="1" w:styleId="TOFTitle">
    <w:name w:val="TOFTitle"/>
    <w:basedOn w:val="TOCTitle"/>
    <w:rsid w:val="00621F74"/>
  </w:style>
  <w:style w:type="paragraph" w:styleId="TableofFigures">
    <w:name w:val="table of figures"/>
    <w:basedOn w:val="Normal"/>
    <w:next w:val="Normal"/>
    <w:semiHidden/>
    <w:rsid w:val="00621F74"/>
    <w:pPr>
      <w:tabs>
        <w:tab w:val="right" w:leader="dot" w:pos="9072"/>
      </w:tabs>
      <w:ind w:left="970" w:hanging="403"/>
    </w:pPr>
    <w:rPr>
      <w:rFonts w:ascii="Times New Roman" w:hAnsi="Times New Roman"/>
      <w:b/>
    </w:rPr>
  </w:style>
  <w:style w:type="paragraph" w:styleId="ListNumber">
    <w:name w:val="List Number"/>
    <w:basedOn w:val="List"/>
    <w:rsid w:val="00621F74"/>
    <w:pPr>
      <w:numPr>
        <w:numId w:val="11"/>
      </w:numPr>
    </w:pPr>
  </w:style>
  <w:style w:type="character" w:customStyle="1" w:styleId="WingdingSymbols">
    <w:name w:val="Wingding Symbols"/>
    <w:rsid w:val="00621F74"/>
    <w:rPr>
      <w:rFonts w:ascii="Wingdings" w:hAnsi="Wingdings"/>
    </w:rPr>
  </w:style>
  <w:style w:type="paragraph" w:customStyle="1" w:styleId="TableHeading">
    <w:name w:val="Table Heading"/>
    <w:basedOn w:val="HeadingBase"/>
    <w:rsid w:val="00621F74"/>
    <w:pPr>
      <w:keepLines/>
      <w:pBdr>
        <w:bottom w:val="single" w:sz="6" w:space="1" w:color="918585"/>
      </w:pBdr>
      <w:spacing w:before="240"/>
    </w:pPr>
  </w:style>
  <w:style w:type="character" w:customStyle="1" w:styleId="HotSpot">
    <w:name w:val="HotSpot"/>
    <w:rsid w:val="00621F74"/>
    <w:rPr>
      <w:color w:val="0033CC"/>
      <w:u w:val="none"/>
    </w:rPr>
  </w:style>
  <w:style w:type="paragraph" w:customStyle="1" w:styleId="BodyTextRight">
    <w:name w:val="Body Text Right"/>
    <w:basedOn w:val="BodyText"/>
    <w:rsid w:val="00621F74"/>
    <w:pPr>
      <w:spacing w:before="0" w:after="0"/>
      <w:jc w:val="right"/>
    </w:pPr>
  </w:style>
  <w:style w:type="paragraph" w:styleId="Index3">
    <w:name w:val="index 3"/>
    <w:basedOn w:val="ListNumber2"/>
    <w:next w:val="Normal"/>
    <w:semiHidden/>
    <w:rsid w:val="00621F74"/>
    <w:pPr>
      <w:numPr>
        <w:numId w:val="0"/>
      </w:numPr>
      <w:tabs>
        <w:tab w:val="right" w:leader="dot" w:pos="4176"/>
      </w:tabs>
    </w:pPr>
  </w:style>
  <w:style w:type="paragraph" w:styleId="ListNumber2">
    <w:name w:val="List Number 2"/>
    <w:basedOn w:val="List2"/>
    <w:rsid w:val="00621F74"/>
    <w:pPr>
      <w:numPr>
        <w:numId w:val="10"/>
      </w:numPr>
      <w:tabs>
        <w:tab w:val="clear" w:pos="1060"/>
      </w:tabs>
    </w:pPr>
  </w:style>
  <w:style w:type="paragraph" w:customStyle="1" w:styleId="MarginNote">
    <w:name w:val="Margin Note"/>
    <w:basedOn w:val="BodyText"/>
    <w:rsid w:val="00621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F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1F74"/>
    <w:rPr>
      <w:sz w:val="32"/>
    </w:rPr>
  </w:style>
  <w:style w:type="paragraph" w:customStyle="1" w:styleId="HeadingProcedure">
    <w:name w:val="Heading Procedure"/>
    <w:basedOn w:val="HeadingBase"/>
    <w:next w:val="Normal"/>
    <w:rsid w:val="00621F74"/>
    <w:pPr>
      <w:tabs>
        <w:tab w:val="left" w:pos="0"/>
      </w:tabs>
      <w:spacing w:before="120" w:after="60"/>
    </w:pPr>
    <w:rPr>
      <w:i/>
      <w:color w:val="918585"/>
      <w:sz w:val="22"/>
    </w:rPr>
  </w:style>
  <w:style w:type="paragraph" w:customStyle="1" w:styleId="TableBodyText">
    <w:name w:val="Table Body Text"/>
    <w:basedOn w:val="BodyText"/>
    <w:rsid w:val="00621F74"/>
    <w:pPr>
      <w:spacing w:before="60" w:after="60"/>
    </w:pPr>
  </w:style>
  <w:style w:type="paragraph" w:styleId="ListContinue">
    <w:name w:val="List Continue"/>
    <w:basedOn w:val="List"/>
    <w:rsid w:val="00621F74"/>
    <w:pPr>
      <w:ind w:firstLine="0"/>
    </w:pPr>
  </w:style>
  <w:style w:type="paragraph" w:customStyle="1" w:styleId="ListNote">
    <w:name w:val="List Note"/>
    <w:basedOn w:val="List"/>
    <w:rsid w:val="00621F74"/>
    <w:pPr>
      <w:pBdr>
        <w:top w:val="single" w:sz="6" w:space="2" w:color="918585"/>
        <w:bottom w:val="single" w:sz="6" w:space="2" w:color="918585"/>
      </w:pBdr>
      <w:tabs>
        <w:tab w:val="left" w:pos="1021"/>
      </w:tabs>
      <w:ind w:firstLine="0"/>
    </w:pPr>
  </w:style>
  <w:style w:type="paragraph" w:customStyle="1" w:styleId="Warning">
    <w:name w:val="Warning"/>
    <w:basedOn w:val="BodyText"/>
    <w:rsid w:val="00621F74"/>
    <w:pPr>
      <w:shd w:val="clear" w:color="auto" w:fill="D9D9D9"/>
      <w:tabs>
        <w:tab w:val="left" w:pos="992"/>
      </w:tabs>
      <w:ind w:left="119" w:right="119"/>
    </w:pPr>
    <w:rPr>
      <w:sz w:val="20"/>
    </w:rPr>
  </w:style>
  <w:style w:type="paragraph" w:customStyle="1" w:styleId="MarginIcons">
    <w:name w:val="Margin Icons"/>
    <w:basedOn w:val="BodyText"/>
    <w:rsid w:val="00621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F74"/>
    <w:rPr>
      <w:rFonts w:ascii="Courier New" w:hAnsi="Courier New"/>
    </w:rPr>
  </w:style>
  <w:style w:type="paragraph" w:customStyle="1" w:styleId="NoteBullet">
    <w:name w:val="Note Bullet"/>
    <w:basedOn w:val="Note"/>
    <w:rsid w:val="00621F74"/>
    <w:pPr>
      <w:tabs>
        <w:tab w:val="clear" w:pos="680"/>
      </w:tabs>
      <w:spacing w:before="60" w:after="60"/>
    </w:pPr>
  </w:style>
  <w:style w:type="paragraph" w:customStyle="1" w:styleId="SubHeading2">
    <w:name w:val="SubHeading2"/>
    <w:basedOn w:val="HeadingBase"/>
    <w:rsid w:val="00621F74"/>
    <w:pPr>
      <w:spacing w:before="240" w:after="60"/>
    </w:pPr>
    <w:rPr>
      <w:sz w:val="20"/>
    </w:rPr>
  </w:style>
  <w:style w:type="paragraph" w:customStyle="1" w:styleId="SubHeading1">
    <w:name w:val="SubHeading1"/>
    <w:basedOn w:val="HeadingBase"/>
    <w:rsid w:val="00621F74"/>
    <w:pPr>
      <w:spacing w:before="240" w:after="60"/>
    </w:pPr>
    <w:rPr>
      <w:color w:val="918585"/>
      <w:sz w:val="22"/>
    </w:rPr>
  </w:style>
  <w:style w:type="paragraph" w:customStyle="1" w:styleId="SideHeading">
    <w:name w:val="Side Heading"/>
    <w:basedOn w:val="HeadingBase"/>
    <w:rsid w:val="00621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F74"/>
    <w:pPr>
      <w:numPr>
        <w:numId w:val="12"/>
      </w:numPr>
    </w:pPr>
  </w:style>
  <w:style w:type="paragraph" w:styleId="PlainText">
    <w:name w:val="Plain Text"/>
    <w:basedOn w:val="Normal"/>
    <w:link w:val="PlainTextChar"/>
    <w:rsid w:val="00621F74"/>
    <w:rPr>
      <w:sz w:val="20"/>
    </w:rPr>
  </w:style>
  <w:style w:type="character" w:customStyle="1" w:styleId="PlainTextChar">
    <w:name w:val="Plain Text Char"/>
    <w:basedOn w:val="DefaultParagraphFont"/>
    <w:link w:val="PlainText"/>
    <w:rsid w:val="00621F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1F74"/>
    <w:rPr>
      <w:b/>
      <w:smallCaps/>
    </w:rPr>
  </w:style>
  <w:style w:type="paragraph" w:customStyle="1" w:styleId="TableListNumber">
    <w:name w:val="Table List Number"/>
    <w:basedOn w:val="ListNumber"/>
    <w:rsid w:val="00621F74"/>
    <w:pPr>
      <w:numPr>
        <w:numId w:val="0"/>
      </w:numPr>
    </w:pPr>
  </w:style>
  <w:style w:type="paragraph" w:styleId="TOC4">
    <w:name w:val="toc 4"/>
    <w:basedOn w:val="TOCBase"/>
    <w:next w:val="Normal"/>
    <w:semiHidden/>
    <w:rsid w:val="00621F74"/>
    <w:pPr>
      <w:tabs>
        <w:tab w:val="right" w:leader="dot" w:pos="9071"/>
      </w:tabs>
      <w:ind w:left="1701"/>
    </w:pPr>
  </w:style>
  <w:style w:type="paragraph" w:customStyle="1" w:styleId="ListAlpha">
    <w:name w:val="List Alpha"/>
    <w:basedOn w:val="List"/>
    <w:rsid w:val="00621F74"/>
    <w:pPr>
      <w:numPr>
        <w:numId w:val="9"/>
      </w:numPr>
    </w:pPr>
  </w:style>
  <w:style w:type="paragraph" w:customStyle="1" w:styleId="ListAlpha2">
    <w:name w:val="List Alpha 2"/>
    <w:basedOn w:val="List2"/>
    <w:rsid w:val="00621F74"/>
    <w:pPr>
      <w:numPr>
        <w:numId w:val="8"/>
      </w:numPr>
    </w:pPr>
  </w:style>
  <w:style w:type="paragraph" w:styleId="List2">
    <w:name w:val="List 2"/>
    <w:basedOn w:val="BodyText"/>
    <w:rsid w:val="00621F74"/>
    <w:pPr>
      <w:tabs>
        <w:tab w:val="left" w:pos="680"/>
      </w:tabs>
      <w:spacing w:before="60" w:after="60"/>
      <w:ind w:left="680" w:hanging="340"/>
    </w:pPr>
  </w:style>
  <w:style w:type="paragraph" w:styleId="List3">
    <w:name w:val="List 3"/>
    <w:basedOn w:val="BodyText"/>
    <w:rsid w:val="00621F74"/>
    <w:pPr>
      <w:tabs>
        <w:tab w:val="left" w:pos="1021"/>
      </w:tabs>
      <w:spacing w:before="60" w:after="60"/>
      <w:ind w:left="1020" w:hanging="340"/>
    </w:pPr>
  </w:style>
  <w:style w:type="paragraph" w:styleId="List4">
    <w:name w:val="List 4"/>
    <w:basedOn w:val="BodyText"/>
    <w:rsid w:val="00621F74"/>
    <w:pPr>
      <w:tabs>
        <w:tab w:val="left" w:pos="1361"/>
      </w:tabs>
      <w:spacing w:before="60" w:after="60"/>
      <w:ind w:left="1361" w:hanging="340"/>
    </w:pPr>
  </w:style>
  <w:style w:type="paragraph" w:styleId="List5">
    <w:name w:val="List 5"/>
    <w:basedOn w:val="BodyText"/>
    <w:rsid w:val="00621F74"/>
    <w:pPr>
      <w:tabs>
        <w:tab w:val="left" w:pos="1701"/>
      </w:tabs>
      <w:spacing w:before="60" w:after="60"/>
      <w:ind w:left="1701" w:hanging="340"/>
    </w:pPr>
  </w:style>
  <w:style w:type="paragraph" w:styleId="ListBullet3">
    <w:name w:val="List Bullet 3"/>
    <w:basedOn w:val="List3"/>
    <w:rsid w:val="00621F74"/>
    <w:pPr>
      <w:numPr>
        <w:numId w:val="15"/>
      </w:numPr>
      <w:tabs>
        <w:tab w:val="clear" w:pos="1021"/>
      </w:tabs>
      <w:ind w:left="1037" w:hanging="357"/>
    </w:pPr>
  </w:style>
  <w:style w:type="paragraph" w:styleId="ListBullet4">
    <w:name w:val="List Bullet 4"/>
    <w:basedOn w:val="List4"/>
    <w:rsid w:val="00621F74"/>
    <w:pPr>
      <w:numPr>
        <w:numId w:val="3"/>
      </w:numPr>
    </w:pPr>
  </w:style>
  <w:style w:type="paragraph" w:styleId="ListBullet5">
    <w:name w:val="List Bullet 5"/>
    <w:basedOn w:val="List5"/>
    <w:rsid w:val="00621F74"/>
    <w:pPr>
      <w:numPr>
        <w:numId w:val="4"/>
      </w:numPr>
    </w:pPr>
  </w:style>
  <w:style w:type="paragraph" w:styleId="ListContinue2">
    <w:name w:val="List Continue 2"/>
    <w:basedOn w:val="List2"/>
    <w:rsid w:val="00621F74"/>
    <w:pPr>
      <w:ind w:firstLine="0"/>
    </w:pPr>
  </w:style>
  <w:style w:type="paragraph" w:styleId="ListContinue3">
    <w:name w:val="List Continue 3"/>
    <w:basedOn w:val="List3"/>
    <w:rsid w:val="00621F74"/>
    <w:pPr>
      <w:ind w:left="1021" w:firstLine="0"/>
    </w:pPr>
  </w:style>
  <w:style w:type="paragraph" w:styleId="ListContinue4">
    <w:name w:val="List Continue 4"/>
    <w:basedOn w:val="List4"/>
    <w:rsid w:val="00621F74"/>
    <w:pPr>
      <w:ind w:firstLine="0"/>
    </w:pPr>
  </w:style>
  <w:style w:type="paragraph" w:styleId="ListContinue5">
    <w:name w:val="List Continue 5"/>
    <w:basedOn w:val="List5"/>
    <w:rsid w:val="00621F74"/>
    <w:pPr>
      <w:ind w:firstLine="0"/>
    </w:pPr>
  </w:style>
  <w:style w:type="paragraph" w:styleId="ListNumber3">
    <w:name w:val="List Number 3"/>
    <w:basedOn w:val="List3"/>
    <w:rsid w:val="00621F74"/>
    <w:pPr>
      <w:numPr>
        <w:numId w:val="5"/>
      </w:numPr>
    </w:pPr>
  </w:style>
  <w:style w:type="paragraph" w:styleId="ListNumber4">
    <w:name w:val="List Number 4"/>
    <w:basedOn w:val="List4"/>
    <w:rsid w:val="00621F74"/>
    <w:pPr>
      <w:numPr>
        <w:numId w:val="6"/>
      </w:numPr>
    </w:pPr>
  </w:style>
  <w:style w:type="paragraph" w:styleId="ListNumber5">
    <w:name w:val="List Number 5"/>
    <w:basedOn w:val="List5"/>
    <w:rsid w:val="00621F74"/>
    <w:pPr>
      <w:numPr>
        <w:numId w:val="7"/>
      </w:numPr>
    </w:pPr>
  </w:style>
  <w:style w:type="paragraph" w:styleId="BlockText">
    <w:name w:val="Block Text"/>
    <w:basedOn w:val="Normal"/>
    <w:rsid w:val="00621F74"/>
    <w:pPr>
      <w:spacing w:after="120"/>
      <w:ind w:left="1440" w:right="1440"/>
    </w:pPr>
  </w:style>
  <w:style w:type="character" w:customStyle="1" w:styleId="Subscript">
    <w:name w:val="Subscript"/>
    <w:basedOn w:val="DefaultParagraphFont"/>
    <w:rsid w:val="00621F74"/>
    <w:rPr>
      <w:sz w:val="16"/>
      <w:vertAlign w:val="subscript"/>
    </w:rPr>
  </w:style>
  <w:style w:type="character" w:customStyle="1" w:styleId="Superscript">
    <w:name w:val="Superscript"/>
    <w:basedOn w:val="DefaultParagraphFont"/>
    <w:rsid w:val="00621F74"/>
    <w:rPr>
      <w:sz w:val="16"/>
      <w:vertAlign w:val="superscript"/>
    </w:rPr>
  </w:style>
  <w:style w:type="character" w:customStyle="1" w:styleId="Symbols">
    <w:name w:val="Symbols"/>
    <w:basedOn w:val="DefaultParagraphFont"/>
    <w:rsid w:val="00621F74"/>
    <w:rPr>
      <w:rFonts w:ascii="Symbol" w:hAnsi="Symbol"/>
    </w:rPr>
  </w:style>
  <w:style w:type="character" w:customStyle="1" w:styleId="MenuOptions">
    <w:name w:val="Menu Options"/>
    <w:basedOn w:val="DefaultParagraphFont"/>
    <w:rsid w:val="00621F74"/>
    <w:rPr>
      <w:rFonts w:ascii="Arial Narrow" w:hAnsi="Arial Narrow"/>
      <w:smallCaps/>
    </w:rPr>
  </w:style>
  <w:style w:type="character" w:customStyle="1" w:styleId="Buttons">
    <w:name w:val="Buttons"/>
    <w:basedOn w:val="DefaultParagraphFont"/>
    <w:rsid w:val="00621F74"/>
    <w:rPr>
      <w:b/>
    </w:rPr>
  </w:style>
  <w:style w:type="character" w:customStyle="1" w:styleId="Underlined">
    <w:name w:val="Underlined"/>
    <w:basedOn w:val="DefaultParagraphFont"/>
    <w:rsid w:val="00621F74"/>
    <w:rPr>
      <w:u w:val="single"/>
    </w:rPr>
  </w:style>
  <w:style w:type="paragraph" w:customStyle="1" w:styleId="TableBodyTextRight">
    <w:name w:val="Table Body Text Right"/>
    <w:basedOn w:val="TableBodyText"/>
    <w:rsid w:val="00621F74"/>
    <w:pPr>
      <w:widowControl w:val="0"/>
      <w:autoSpaceDE w:val="0"/>
      <w:autoSpaceDN w:val="0"/>
      <w:adjustRightInd w:val="0"/>
      <w:jc w:val="right"/>
    </w:pPr>
    <w:rPr>
      <w:rFonts w:cs="Arial"/>
      <w:szCs w:val="18"/>
    </w:rPr>
  </w:style>
  <w:style w:type="paragraph" w:customStyle="1" w:styleId="CopyrightText">
    <w:name w:val="Copyright Text"/>
    <w:basedOn w:val="BodyText"/>
    <w:rsid w:val="00621F74"/>
    <w:rPr>
      <w:sz w:val="18"/>
    </w:rPr>
  </w:style>
  <w:style w:type="paragraph" w:customStyle="1" w:styleId="BodySmallRight">
    <w:name w:val="Body Small Right"/>
    <w:basedOn w:val="BodyTextRight"/>
    <w:rsid w:val="00621F74"/>
    <w:rPr>
      <w:sz w:val="18"/>
      <w:szCs w:val="18"/>
    </w:rPr>
  </w:style>
  <w:style w:type="paragraph" w:customStyle="1" w:styleId="MarginEdition">
    <w:name w:val="Margin Edition"/>
    <w:basedOn w:val="MarginNote"/>
    <w:rsid w:val="00621F74"/>
    <w:pPr>
      <w:spacing w:before="0" w:after="0"/>
    </w:pPr>
    <w:rPr>
      <w:rFonts w:ascii="Times New Roman" w:hAnsi="Times New Roman"/>
      <w:color w:val="999999"/>
    </w:rPr>
  </w:style>
  <w:style w:type="paragraph" w:customStyle="1" w:styleId="Spacer">
    <w:name w:val="Spacer"/>
    <w:basedOn w:val="Normal"/>
    <w:rsid w:val="00621F74"/>
    <w:rPr>
      <w:sz w:val="2"/>
      <w:szCs w:val="2"/>
    </w:rPr>
  </w:style>
  <w:style w:type="character" w:customStyle="1" w:styleId="Small">
    <w:name w:val="Small"/>
    <w:basedOn w:val="DefaultParagraphFont"/>
    <w:rsid w:val="00621F74"/>
    <w:rPr>
      <w:sz w:val="16"/>
    </w:rPr>
  </w:style>
  <w:style w:type="paragraph" w:customStyle="1" w:styleId="WideTable">
    <w:name w:val="Wide Table"/>
    <w:basedOn w:val="Normal"/>
    <w:rsid w:val="00621F74"/>
    <w:pPr>
      <w:ind w:left="-1418"/>
    </w:pPr>
    <w:rPr>
      <w:sz w:val="2"/>
      <w:szCs w:val="2"/>
    </w:rPr>
  </w:style>
  <w:style w:type="character" w:styleId="PageNumber">
    <w:name w:val="page number"/>
    <w:basedOn w:val="DefaultParagraphFont"/>
    <w:rsid w:val="00621F74"/>
  </w:style>
  <w:style w:type="paragraph" w:styleId="Quote">
    <w:name w:val="Quote"/>
    <w:basedOn w:val="Heading1"/>
    <w:link w:val="QuoteChar"/>
    <w:qFormat/>
    <w:rsid w:val="00621F74"/>
    <w:rPr>
      <w:b w:val="0"/>
      <w:sz w:val="72"/>
      <w:szCs w:val="72"/>
      <w:lang w:val="en-NZ"/>
    </w:rPr>
  </w:style>
  <w:style w:type="character" w:customStyle="1" w:styleId="QuoteChar">
    <w:name w:val="Quote Char"/>
    <w:basedOn w:val="DefaultParagraphFont"/>
    <w:link w:val="Quote"/>
    <w:rsid w:val="00621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F74"/>
    <w:pPr>
      <w:pageBreakBefore/>
    </w:pPr>
  </w:style>
  <w:style w:type="paragraph" w:customStyle="1" w:styleId="Border">
    <w:name w:val="Border"/>
    <w:basedOn w:val="Normal"/>
    <w:qFormat/>
    <w:rsid w:val="00621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F74"/>
    <w:rPr>
      <w:b/>
      <w:bCs/>
      <w:i/>
      <w:iCs/>
      <w:color w:val="auto"/>
    </w:rPr>
  </w:style>
  <w:style w:type="paragraph" w:styleId="IntenseQuote">
    <w:name w:val="Intense Quote"/>
    <w:basedOn w:val="Normal"/>
    <w:next w:val="Normal"/>
    <w:link w:val="IntenseQuoteChar"/>
    <w:uiPriority w:val="30"/>
    <w:qFormat/>
    <w:rsid w:val="00621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F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1F74"/>
    <w:rPr>
      <w:smallCaps/>
      <w:color w:val="auto"/>
      <w:u w:val="single"/>
    </w:rPr>
  </w:style>
  <w:style w:type="character" w:styleId="IntenseReference">
    <w:name w:val="Intense Reference"/>
    <w:basedOn w:val="DefaultParagraphFont"/>
    <w:uiPriority w:val="32"/>
    <w:qFormat/>
    <w:rsid w:val="00621F74"/>
    <w:rPr>
      <w:b/>
      <w:bCs/>
      <w:smallCaps/>
      <w:color w:val="auto"/>
      <w:spacing w:val="5"/>
      <w:u w:val="single"/>
    </w:rPr>
  </w:style>
  <w:style w:type="paragraph" w:customStyle="1" w:styleId="2ColumnHeading">
    <w:name w:val="2Column Heading"/>
    <w:basedOn w:val="BodyText"/>
    <w:qFormat/>
    <w:rsid w:val="00621F74"/>
    <w:pPr>
      <w:spacing w:after="60"/>
      <w:ind w:left="-2268"/>
    </w:pPr>
    <w:rPr>
      <w:b/>
    </w:rPr>
  </w:style>
  <w:style w:type="paragraph" w:customStyle="1" w:styleId="Heading1TOC">
    <w:name w:val="Heading1 TOC"/>
    <w:basedOn w:val="Normal"/>
    <w:qFormat/>
    <w:rsid w:val="00621F74"/>
    <w:pPr>
      <w:spacing w:before="240" w:after="120"/>
    </w:pPr>
    <w:rPr>
      <w:rFonts w:ascii="Times New Roman" w:hAnsi="Times New Roman"/>
      <w:b/>
      <w:sz w:val="32"/>
    </w:rPr>
  </w:style>
  <w:style w:type="paragraph" w:customStyle="1" w:styleId="Heading2TOC">
    <w:name w:val="Heading2 TOC"/>
    <w:basedOn w:val="Normal"/>
    <w:qFormat/>
    <w:rsid w:val="00621F74"/>
    <w:pPr>
      <w:spacing w:before="240" w:after="60"/>
    </w:pPr>
    <w:rPr>
      <w:rFonts w:ascii="Times New Roman" w:hAnsi="Times New Roman"/>
      <w:b/>
      <w:sz w:val="28"/>
    </w:rPr>
  </w:style>
  <w:style w:type="character" w:customStyle="1" w:styleId="Underline">
    <w:name w:val="Underline"/>
    <w:basedOn w:val="DefaultParagraphFont"/>
    <w:qFormat/>
    <w:rsid w:val="00621F74"/>
    <w:rPr>
      <w:u w:val="single"/>
    </w:rPr>
  </w:style>
  <w:style w:type="paragraph" w:styleId="BalloonText">
    <w:name w:val="Balloon Text"/>
    <w:basedOn w:val="Normal"/>
    <w:link w:val="BalloonTextChar"/>
    <w:rsid w:val="00621F74"/>
    <w:rPr>
      <w:rFonts w:ascii="Tahoma" w:hAnsi="Tahoma" w:cs="Tahoma"/>
      <w:sz w:val="16"/>
      <w:szCs w:val="16"/>
    </w:rPr>
  </w:style>
  <w:style w:type="character" w:customStyle="1" w:styleId="BalloonTextChar">
    <w:name w:val="Balloon Text Char"/>
    <w:basedOn w:val="DefaultParagraphFont"/>
    <w:link w:val="BalloonText"/>
    <w:rsid w:val="00621F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1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F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1468</Words>
  <Characters>9119</Characters>
  <Application>Microsoft Office Word</Application>
  <DocSecurity>0</DocSecurity>
  <Lines>296</Lines>
  <Paragraphs>139</Paragraphs>
  <ScaleCrop>false</ScaleCrop>
  <Company>Author-it Software Corporation Ltd.</Company>
  <LinksUpToDate>false</LinksUpToDate>
  <CharactersWithSpaces>10524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RGRSTD404A Prepare for racing industry appeals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2012-05-26T20:30:00Z</dcterms:created>
  <dcterms:modified xsi:type="dcterms:W3CDTF">2012-05-26T20:30:00Z</dcterms:modified>
</cp:coreProperties>
</file>