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DC5" w:rsidP="00516DC5">
      <w:pPr>
        <w:pStyle w:val="Title"/>
      </w:pPr>
      <w:bookmarkStart w:id="0" w:name="_GoBack"/>
      <w:bookmarkEnd w:id="0"/>
      <w:r>
        <w:fldChar w:fldCharType="begin"/>
      </w:r>
      <w:r>
        <w:instrText xml:space="preserve"> TITLE   \* MERGEFORMAT </w:instrText>
      </w:r>
      <w:r>
        <w:fldChar w:fldCharType="separate"/>
      </w:r>
      <w:r>
        <w:t>RGRSTD403A Apply principles of administrative law to investigation and resolution of racing incidents</w:t>
      </w:r>
      <w:r>
        <w:fldChar w:fldCharType="end"/>
      </w:r>
    </w:p>
    <w:p w:rsidR="00516DC5" w:rsidP="00516DC5">
      <w:pPr>
        <w:pStyle w:val="Version"/>
        <w:sectPr w:rsidSect="00C95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DE7" w:rsidP="00C95DE7">
      <w:pPr>
        <w:pStyle w:val="SuperHeading"/>
      </w:pPr>
      <w:r w:rsidRPr="00C95DE7">
        <w:t>RGRSTD403A Apply principles of administrative law to investigation and resolution of racing incidents</w:t>
      </w:r>
    </w:p>
    <w:p w:rsidR="00000000" w:rsidRPr="00C95DE7" w:rsidP="00C95DE7">
      <w:pPr>
        <w:pStyle w:val="Heading1"/>
      </w:pPr>
      <w:bookmarkStart w:id="1" w:name="O_273127"/>
      <w:bookmarkEnd w:id="1"/>
      <w:r w:rsidRPr="00C95DE7">
        <w:t>Modification History</w:t>
      </w:r>
    </w:p>
    <w:p w:rsidR="00000000" w:rsidRPr="00C95DE7" w:rsidP="00C95DE7">
      <w:pPr>
        <w:pStyle w:val="BodyText"/>
      </w:pPr>
      <w:r w:rsidRPr="00C95DE7">
        <w:t>Not Applicable</w:t>
      </w:r>
    </w:p>
    <w:p w:rsidR="00000000" w:rsidRPr="00C95DE7" w:rsidP="00C95DE7">
      <w:pPr>
        <w:pStyle w:val="AllowPageBreak"/>
      </w:pPr>
    </w:p>
    <w:p w:rsidR="00000000" w:rsidRPr="00C95DE7" w:rsidP="00C95DE7">
      <w:pPr>
        <w:pStyle w:val="Heading1"/>
      </w:pPr>
      <w:bookmarkStart w:id="2" w:name="O_217380"/>
      <w:bookmarkEnd w:id="2"/>
      <w:r w:rsidRPr="00C95DE7">
        <w:t>Unit Descriptor</w:t>
      </w:r>
    </w:p>
    <w:tbl>
      <w:tblPr>
        <w:tblW w:w="0" w:type="auto"/>
        <w:tblLayout w:type="fixed"/>
        <w:tblCellMar>
          <w:left w:w="62" w:type="dxa"/>
          <w:right w:w="62" w:type="dxa"/>
        </w:tblCellMar>
        <w:tblLook w:val="0000"/>
      </w:tblPr>
      <w:tblGrid>
        <w:gridCol w:w="2653"/>
        <w:gridCol w:w="5869"/>
      </w:tblGrid>
      <w:tr w:rsidTr="00516DC5">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Unit descriptor</w:t>
            </w:r>
          </w:p>
        </w:tc>
        <w:tc>
          <w:tcPr>
            <w:tcW w:w="5869"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This unit of competency specifies the outcomes required to ensure principles of administrative law are applied in the investigation and resolution of incidents in racing. It requires knowledge of the rules of racing, th</w:t>
            </w:r>
            <w:r w:rsidRPr="00C95DE7">
              <w:t>e concept of natural justice, and the application of correct documentation procedures. Verbal and non-verbal communication skills, including conflict resolution, assertiveness and interviewing techniques, are required.</w:t>
            </w:r>
          </w:p>
          <w:p w:rsidR="00000000" w:rsidRPr="00C95DE7" w:rsidP="00C95DE7">
            <w:pPr>
              <w:pStyle w:val="BodyText"/>
            </w:pPr>
            <w:r w:rsidRPr="00C95DE7">
              <w:t>This unit has been contextualised and</w:t>
            </w:r>
            <w:r w:rsidRPr="00C95DE7">
              <w:t xml:space="preserve"> is based on TAFE NSW 0639F Principles of Administrative Law.</w:t>
            </w:r>
          </w:p>
          <w:p w:rsidR="00000000" w:rsidRPr="00C95DE7" w:rsidP="00C95DE7">
            <w:pPr>
              <w:pStyle w:val="BodyText"/>
            </w:pPr>
            <w:r w:rsidRPr="00C95DE7">
              <w:t xml:space="preserve">This unit of competency operates in workplace environments of racing administration, kennels, stables, racecourses and public areas. </w:t>
            </w:r>
          </w:p>
          <w:p w:rsidR="00000000" w:rsidRPr="00C95DE7" w:rsidP="00C95DE7">
            <w:pPr>
              <w:pStyle w:val="BodyText"/>
            </w:pPr>
            <w:r w:rsidRPr="00C95DE7">
              <w:t>Greyhound, harness and thoroughbred racing is strictly regul</w:t>
            </w:r>
            <w:r w:rsidRPr="00C95DE7">
              <w:t>ated throughout Australia. All stewards are appointed under the rules of racing by the relevant racing controlling body. For this reason enrolment in this unit of competency is restricted to people currently employed as a stipendiary or cadet steward or th</w:t>
            </w:r>
            <w:r w:rsidRPr="00C95DE7">
              <w:t>ose who have been approved by a State Principal Racing Authority to undertake this unit.</w:t>
            </w:r>
          </w:p>
        </w:tc>
      </w:tr>
    </w:tbl>
    <w:p w:rsidR="00516DC5" w:rsidP="00C95DE7">
      <w:pPr>
        <w:pStyle w:val="BodyText"/>
      </w:pPr>
    </w:p>
    <w:p w:rsidR="00516DC5" w:rsidP="00C95DE7">
      <w:pPr>
        <w:pStyle w:val="BodyText"/>
      </w:pPr>
    </w:p>
    <w:p w:rsidR="00000000" w:rsidRPr="00C95DE7" w:rsidP="00C95DE7">
      <w:pPr>
        <w:pStyle w:val="Heading1"/>
      </w:pPr>
      <w:bookmarkStart w:id="3" w:name="O_217384"/>
      <w:bookmarkEnd w:id="3"/>
      <w:r w:rsidRPr="00C95DE7">
        <w:t>Application of the Unit</w:t>
      </w:r>
    </w:p>
    <w:tbl>
      <w:tblPr>
        <w:tblW w:w="0" w:type="auto"/>
        <w:tblLayout w:type="fixed"/>
        <w:tblCellMar>
          <w:left w:w="62" w:type="dxa"/>
          <w:right w:w="62" w:type="dxa"/>
        </w:tblCellMar>
        <w:tblLook w:val="0000"/>
      </w:tblPr>
      <w:tblGrid>
        <w:gridCol w:w="2745"/>
        <w:gridCol w:w="5777"/>
      </w:tblGrid>
      <w:tr w:rsidTr="00516DC5">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This unit of competency supports s</w:t>
            </w:r>
            <w:r w:rsidRPr="00C95DE7">
              <w:t>tipendiary or cadet stewards and others authorised to conduct and resolve racing incident investigations.</w:t>
            </w:r>
          </w:p>
          <w:p w:rsidR="00000000" w:rsidRPr="00C95DE7" w:rsidP="00C95DE7">
            <w:pPr>
              <w:pStyle w:val="BodyText"/>
            </w:pPr>
            <w:r w:rsidRPr="00C95DE7">
              <w:t>Competencies attained in this unit apply to the greyhound, harness or thoroughbred code of the industry. Consequently when performance criteria are ap</w:t>
            </w:r>
            <w:r w:rsidRPr="00C95DE7">
              <w:t xml:space="preserve">plied they will relate to the greyhound code or the harness code or the thoroughbred code, and statements of attainment for this unit will reflect this distinction. </w:t>
            </w:r>
          </w:p>
        </w:tc>
      </w:tr>
    </w:tbl>
    <w:p w:rsidR="00516DC5" w:rsidP="00C95DE7">
      <w:pPr>
        <w:pStyle w:val="BodyText"/>
      </w:pPr>
    </w:p>
    <w:p w:rsidR="00516DC5" w:rsidP="00C95DE7">
      <w:pPr>
        <w:pStyle w:val="BodyText"/>
      </w:pPr>
    </w:p>
    <w:p w:rsidR="00000000" w:rsidRPr="00C95DE7" w:rsidP="00C95DE7">
      <w:pPr>
        <w:pStyle w:val="Heading1"/>
      </w:pPr>
      <w:bookmarkStart w:id="4" w:name="O_281387"/>
      <w:bookmarkEnd w:id="4"/>
      <w:r w:rsidRPr="00C95DE7">
        <w:t>Licensing/Regulatory Information</w:t>
      </w:r>
    </w:p>
    <w:p w:rsidR="00000000" w:rsidRPr="00C95DE7" w:rsidP="00C95DE7">
      <w:pPr>
        <w:pStyle w:val="BodyText"/>
      </w:pPr>
      <w:r w:rsidRPr="00C95DE7">
        <w:t>Not Applicable</w:t>
      </w:r>
    </w:p>
    <w:p w:rsidR="00000000" w:rsidRPr="00C95DE7" w:rsidP="00C95DE7">
      <w:pPr>
        <w:pStyle w:val="AllowPageBreak"/>
      </w:pPr>
    </w:p>
    <w:p w:rsidR="00000000" w:rsidRPr="00C95DE7" w:rsidP="00C95DE7">
      <w:pPr>
        <w:pStyle w:val="Heading1"/>
      </w:pPr>
      <w:bookmarkStart w:id="5" w:name="O_217382"/>
      <w:bookmarkEnd w:id="5"/>
      <w:r w:rsidRPr="00C95DE7">
        <w:t>Pre-R</w:t>
      </w:r>
      <w:r w:rsidRPr="00C95DE7">
        <w:t>equisites</w:t>
      </w:r>
    </w:p>
    <w:tbl>
      <w:tblPr>
        <w:tblW w:w="0" w:type="auto"/>
        <w:tblLayout w:type="fixed"/>
        <w:tblCellMar>
          <w:left w:w="62" w:type="dxa"/>
          <w:right w:w="62" w:type="dxa"/>
        </w:tblCellMar>
        <w:tblLook w:val="0000"/>
      </w:tblPr>
      <w:tblGrid>
        <w:gridCol w:w="2775"/>
        <w:gridCol w:w="1295"/>
        <w:gridCol w:w="4452"/>
      </w:tblGrid>
      <w:tr w:rsidTr="00516DC5">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C95DE7">
            <w:pPr>
              <w:pStyle w:val="BodyText"/>
              <w:rPr>
                <w:lang w:val="en-NZ"/>
              </w:rPr>
            </w:pPr>
          </w:p>
        </w:tc>
      </w:tr>
      <w:tr w:rsidTr="00516DC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p>
        </w:tc>
      </w:tr>
      <w:tr w:rsidTr="00516DC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C95DE7" w:rsidP="00C95DE7">
            <w:pPr>
              <w:pStyle w:val="BodyText"/>
            </w:pPr>
          </w:p>
        </w:tc>
      </w:tr>
    </w:tbl>
    <w:p w:rsidR="00516DC5" w:rsidP="00C95DE7">
      <w:pPr>
        <w:pStyle w:val="BodyText"/>
      </w:pPr>
    </w:p>
    <w:p w:rsidR="00516DC5" w:rsidP="00C95DE7">
      <w:pPr>
        <w:pStyle w:val="BodyText"/>
      </w:pPr>
    </w:p>
    <w:p w:rsidR="00000000" w:rsidRPr="00C95DE7" w:rsidP="00C95DE7">
      <w:pPr>
        <w:pStyle w:val="Heading1"/>
      </w:pPr>
      <w:bookmarkStart w:id="6" w:name="O_217381"/>
      <w:bookmarkEnd w:id="6"/>
      <w:r w:rsidRPr="00C95DE7">
        <w:t>Employability Skills Information</w:t>
      </w:r>
    </w:p>
    <w:tbl>
      <w:tblPr>
        <w:tblW w:w="0" w:type="auto"/>
        <w:tblLayout w:type="fixed"/>
        <w:tblCellMar>
          <w:left w:w="62" w:type="dxa"/>
          <w:right w:w="62" w:type="dxa"/>
        </w:tblCellMar>
        <w:tblLook w:val="0000"/>
      </w:tblPr>
      <w:tblGrid>
        <w:gridCol w:w="2802"/>
        <w:gridCol w:w="5720"/>
      </w:tblGrid>
      <w:tr w:rsidTr="00516DC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This unit contains employability skills.</w:t>
            </w:r>
          </w:p>
        </w:tc>
      </w:tr>
    </w:tbl>
    <w:p w:rsidR="00516DC5" w:rsidP="00C95DE7">
      <w:pPr>
        <w:pStyle w:val="BodyText"/>
      </w:pPr>
    </w:p>
    <w:p w:rsidR="00516DC5" w:rsidP="00C95DE7">
      <w:pPr>
        <w:pStyle w:val="BodyText"/>
      </w:pPr>
    </w:p>
    <w:p w:rsidR="00000000" w:rsidRPr="00C95DE7" w:rsidP="00C95DE7">
      <w:pPr>
        <w:pStyle w:val="Heading1"/>
      </w:pPr>
      <w:bookmarkStart w:id="7" w:name="O_291173"/>
      <w:bookmarkEnd w:id="7"/>
      <w:r w:rsidRPr="00C95DE7">
        <w:t>Elements and Performance Criteria Pre-Content</w:t>
      </w:r>
    </w:p>
    <w:tbl>
      <w:tblPr>
        <w:tblW w:w="0" w:type="auto"/>
        <w:tblLayout w:type="fixed"/>
        <w:tblCellMar>
          <w:left w:w="62" w:type="dxa"/>
          <w:right w:w="62" w:type="dxa"/>
        </w:tblCellMar>
        <w:tblLook w:val="0000"/>
      </w:tblPr>
      <w:tblGrid>
        <w:gridCol w:w="2591"/>
        <w:gridCol w:w="5931"/>
      </w:tblGrid>
      <w:tr w:rsidTr="00516DC5">
        <w:tblPrEx>
          <w:tblW w:w="0" w:type="auto"/>
          <w:tblLayout w:type="fixed"/>
          <w:tblCellMar>
            <w:left w:w="62" w:type="dxa"/>
            <w:right w:w="62" w:type="dxa"/>
          </w:tblCellMar>
          <w:tblLook w:val="0000"/>
        </w:tblPrEx>
        <w:tc>
          <w:tcPr>
            <w:tcW w:w="2591" w:type="dxa"/>
            <w:tcBorders>
              <w:top w:val="single" w:sz="6" w:space="0" w:color="auto"/>
              <w:left w:val="nil"/>
              <w:bottom w:val="nil"/>
              <w:right w:val="nil"/>
            </w:tcBorders>
            <w:tcMar>
              <w:top w:w="0" w:type="dxa"/>
              <w:left w:w="62" w:type="dxa"/>
              <w:bottom w:w="0" w:type="dxa"/>
              <w:right w:w="62" w:type="dxa"/>
            </w:tcMar>
          </w:tcPr>
          <w:p w:rsidR="00000000" w:rsidP="00C95DE7">
            <w:pPr>
              <w:pStyle w:val="BodyText"/>
              <w:rPr>
                <w:lang w:val="en-NZ"/>
              </w:rPr>
            </w:pPr>
            <w:r w:rsidRPr="00C95DE7">
              <w:t>Elements describe the essential outcomes of a unit of competency.</w:t>
            </w:r>
          </w:p>
        </w:tc>
        <w:tc>
          <w:tcPr>
            <w:tcW w:w="5931" w:type="dxa"/>
            <w:tcBorders>
              <w:top w:val="single" w:sz="6" w:space="0" w:color="auto"/>
              <w:left w:val="nil"/>
              <w:bottom w:val="nil"/>
              <w:right w:val="nil"/>
            </w:tcBorders>
            <w:tcMar>
              <w:top w:w="0" w:type="dxa"/>
              <w:left w:w="62" w:type="dxa"/>
              <w:bottom w:w="0" w:type="dxa"/>
              <w:right w:w="62" w:type="dxa"/>
            </w:tcMar>
          </w:tcPr>
          <w:p w:rsidR="00000000" w:rsidRPr="00C95DE7" w:rsidP="00C95DE7">
            <w:pPr>
              <w:pStyle w:val="BodyText"/>
            </w:pPr>
            <w:r w:rsidRPr="00C95DE7">
              <w:t>Performance criteria describe the performance needed to demonstrate achievement of the element. Where bold italicised text is used, further information is detailed in the required skills and</w:t>
            </w:r>
            <w:r w:rsidRPr="00C95DE7">
              <w:t xml:space="preserve"> knowledge section and the range statement. Assessment of performance is to be consistent with the evidence guide.</w:t>
            </w:r>
          </w:p>
        </w:tc>
      </w:tr>
    </w:tbl>
    <w:p w:rsidR="00000000" w:rsidRPr="00C95DE7" w:rsidP="00C95DE7">
      <w:pPr>
        <w:pStyle w:val="BodyText"/>
      </w:pPr>
    </w:p>
    <w:p w:rsidR="00000000" w:rsidRPr="00C95DE7" w:rsidP="00C95DE7">
      <w:pPr>
        <w:pStyle w:val="AllowPageBreak"/>
      </w:pPr>
    </w:p>
    <w:p w:rsidR="00000000" w:rsidRPr="00C95DE7" w:rsidP="00C95DE7">
      <w:pPr>
        <w:pStyle w:val="Heading1"/>
      </w:pPr>
      <w:bookmarkStart w:id="8" w:name="O_237841"/>
      <w:bookmarkEnd w:id="8"/>
      <w:r w:rsidRPr="00C95DE7">
        <w:t>Elements and Performance Criteria</w:t>
      </w:r>
    </w:p>
    <w:tbl>
      <w:tblPr>
        <w:tblW w:w="0" w:type="auto"/>
        <w:tblLayout w:type="fixed"/>
        <w:tblCellMar>
          <w:left w:w="62" w:type="dxa"/>
          <w:right w:w="62" w:type="dxa"/>
        </w:tblCellMar>
        <w:tblLook w:val="0000"/>
      </w:tblPr>
      <w:tblGrid>
        <w:gridCol w:w="2591"/>
        <w:gridCol w:w="5931"/>
      </w:tblGrid>
      <w:tr w:rsidTr="00516DC5">
        <w:tblPrEx>
          <w:tblW w:w="0" w:type="auto"/>
          <w:tblLayout w:type="fixed"/>
          <w:tblCellMar>
            <w:left w:w="62" w:type="dxa"/>
            <w:right w:w="62" w:type="dxa"/>
          </w:tblCellMar>
          <w:tblLook w:val="0000"/>
        </w:tblPrEx>
        <w:trPr>
          <w:tblHeader/>
        </w:trPr>
        <w:tc>
          <w:tcPr>
            <w:tcW w:w="2591" w:type="dxa"/>
            <w:tcBorders>
              <w:top w:val="nil"/>
              <w:left w:val="nil"/>
              <w:bottom w:val="single" w:sz="6" w:space="0" w:color="auto"/>
              <w:right w:val="nil"/>
            </w:tcBorders>
            <w:tcMar>
              <w:top w:w="0" w:type="dxa"/>
              <w:left w:w="62" w:type="dxa"/>
              <w:bottom w:w="0" w:type="dxa"/>
              <w:right w:w="62" w:type="dxa"/>
            </w:tcMar>
          </w:tcPr>
          <w:p w:rsidR="00000000" w:rsidRPr="00C95DE7" w:rsidP="00C95DE7">
            <w:pPr>
              <w:pStyle w:val="BodyText"/>
            </w:pPr>
            <w:r w:rsidRPr="00C95DE7">
              <w:rPr>
                <w:rStyle w:val="SpecialBold"/>
              </w:rPr>
              <w:t>ELEMENT</w:t>
            </w:r>
          </w:p>
        </w:tc>
        <w:tc>
          <w:tcPr>
            <w:tcW w:w="5931" w:type="dxa"/>
            <w:tcBorders>
              <w:top w:val="nil"/>
              <w:left w:val="nil"/>
              <w:bottom w:val="single" w:sz="6" w:space="0" w:color="auto"/>
              <w:right w:val="nil"/>
            </w:tcBorders>
            <w:tcMar>
              <w:top w:w="0" w:type="dxa"/>
              <w:left w:w="62" w:type="dxa"/>
              <w:bottom w:w="0" w:type="dxa"/>
              <w:right w:w="62" w:type="dxa"/>
            </w:tcMar>
          </w:tcPr>
          <w:p w:rsidR="00000000" w:rsidP="00C95DE7">
            <w:pPr>
              <w:pStyle w:val="BodyText"/>
              <w:rPr>
                <w:lang w:val="en-NZ"/>
              </w:rPr>
            </w:pPr>
            <w:r w:rsidRPr="00C95DE7">
              <w:rPr>
                <w:rStyle w:val="SpecialBold"/>
              </w:rPr>
              <w:t>PERFORMANCE CRITERIA</w:t>
            </w:r>
          </w:p>
        </w:tc>
      </w:tr>
      <w:tr w:rsidTr="00516DC5">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t>Apply the principles of administrative law.</w:t>
            </w:r>
          </w:p>
        </w:tc>
        <w:tc>
          <w:tcPr>
            <w:tcW w:w="5931" w:type="dxa"/>
            <w:tcBorders>
              <w:top w:val="nil"/>
              <w:left w:val="nil"/>
              <w:bottom w:val="nil"/>
              <w:right w:val="nil"/>
            </w:tcBorders>
            <w:tcMar>
              <w:top w:w="0" w:type="dxa"/>
              <w:left w:w="62" w:type="dxa"/>
              <w:bottom w:w="0" w:type="dxa"/>
              <w:right w:w="62" w:type="dxa"/>
            </w:tcMar>
          </w:tcPr>
          <w:p w:rsidR="00000000" w:rsidRPr="00C95DE7" w:rsidP="00C95DE7">
            <w:pPr>
              <w:pStyle w:val="List"/>
            </w:pPr>
            <w:r w:rsidRPr="00C95DE7">
              <w:t>1.</w:t>
            </w:r>
            <w:r w:rsidRPr="00C95DE7">
              <w:tab/>
            </w:r>
            <w:r w:rsidRPr="00C95DE7">
              <w:rPr>
                <w:rStyle w:val="BoldandItalics"/>
              </w:rPr>
              <w:t>Natural justice</w:t>
            </w:r>
            <w:r w:rsidRPr="00C95DE7">
              <w:t xml:space="preserve"> is applied to the investigation and resolution of racing incidents. </w:t>
            </w:r>
          </w:p>
          <w:p w:rsidR="00000000" w:rsidRPr="00C95DE7" w:rsidP="00C95DE7">
            <w:pPr>
              <w:pStyle w:val="List"/>
            </w:pPr>
            <w:r w:rsidRPr="00C95DE7">
              <w:t>2.</w:t>
            </w:r>
            <w:r w:rsidRPr="00C95DE7">
              <w:tab/>
            </w:r>
            <w:r w:rsidRPr="00C95DE7">
              <w:rPr>
                <w:rStyle w:val="BoldandItalics"/>
              </w:rPr>
              <w:t>Racing protocols and procedures</w:t>
            </w:r>
            <w:r w:rsidRPr="00C95DE7">
              <w:t xml:space="preserve"> are followed during the investigation and resolution of incidents. </w:t>
            </w:r>
          </w:p>
          <w:p w:rsidR="00000000" w:rsidP="00C95DE7">
            <w:pPr>
              <w:pStyle w:val="List"/>
              <w:rPr>
                <w:lang w:val="en-NZ"/>
              </w:rPr>
            </w:pPr>
            <w:r w:rsidRPr="00C95DE7">
              <w:t>3.</w:t>
            </w:r>
            <w:r w:rsidRPr="00C95DE7">
              <w:tab/>
              <w:t>Documentation of investigations and interviews is prepared in com</w:t>
            </w:r>
            <w:r w:rsidRPr="00C95DE7">
              <w:t>pliance with the rules of racing and administrative law principles.</w:t>
            </w:r>
          </w:p>
        </w:tc>
      </w:tr>
      <w:tr w:rsidTr="00516DC5">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t>Use effective interview techniques.</w:t>
            </w:r>
          </w:p>
        </w:tc>
        <w:tc>
          <w:tcPr>
            <w:tcW w:w="5931" w:type="dxa"/>
            <w:tcBorders>
              <w:top w:val="nil"/>
              <w:left w:val="nil"/>
              <w:bottom w:val="nil"/>
              <w:right w:val="nil"/>
            </w:tcBorders>
            <w:tcMar>
              <w:top w:w="0" w:type="dxa"/>
              <w:left w:w="62" w:type="dxa"/>
              <w:bottom w:w="0" w:type="dxa"/>
              <w:right w:w="62" w:type="dxa"/>
            </w:tcMar>
          </w:tcPr>
          <w:p w:rsidR="00000000" w:rsidRPr="00C95DE7" w:rsidP="00C95DE7">
            <w:pPr>
              <w:pStyle w:val="List"/>
            </w:pPr>
            <w:r w:rsidRPr="00C95DE7">
              <w:t>4.</w:t>
            </w:r>
            <w:r w:rsidRPr="00C95DE7">
              <w:tab/>
              <w:t xml:space="preserve">Appropriate </w:t>
            </w:r>
            <w:r w:rsidRPr="00C95DE7">
              <w:rPr>
                <w:rStyle w:val="BoldandItalics"/>
              </w:rPr>
              <w:t>non</w:t>
            </w:r>
            <w:r w:rsidRPr="00C95DE7">
              <w:t>-</w:t>
            </w:r>
            <w:r w:rsidRPr="00C95DE7">
              <w:rPr>
                <w:rStyle w:val="BoldandItalics"/>
              </w:rPr>
              <w:t>verbal communication</w:t>
            </w:r>
            <w:r w:rsidRPr="00C95DE7">
              <w:t xml:space="preserve"> skills are employed. </w:t>
            </w:r>
          </w:p>
          <w:p w:rsidR="00000000" w:rsidRPr="00C95DE7" w:rsidP="00C95DE7">
            <w:pPr>
              <w:pStyle w:val="List"/>
            </w:pPr>
            <w:r w:rsidRPr="00C95DE7">
              <w:t>5.</w:t>
            </w:r>
            <w:r w:rsidRPr="00C95DE7">
              <w:tab/>
              <w:t xml:space="preserve">Communication and recording aids are used. </w:t>
            </w:r>
          </w:p>
          <w:p w:rsidR="00000000" w:rsidRPr="00C95DE7" w:rsidP="00C95DE7">
            <w:pPr>
              <w:pStyle w:val="List"/>
            </w:pPr>
            <w:r w:rsidRPr="00C95DE7">
              <w:t>6.</w:t>
            </w:r>
            <w:r w:rsidRPr="00C95DE7">
              <w:tab/>
              <w:t xml:space="preserve">Techniques for </w:t>
            </w:r>
            <w:r w:rsidRPr="00C95DE7">
              <w:rPr>
                <w:rStyle w:val="BoldandItalics"/>
              </w:rPr>
              <w:t>dealing with difficult p</w:t>
            </w:r>
            <w:r w:rsidRPr="00C95DE7">
              <w:rPr>
                <w:rStyle w:val="BoldandItalics"/>
              </w:rPr>
              <w:t>eople</w:t>
            </w:r>
            <w:r w:rsidRPr="00C95DE7">
              <w:t xml:space="preserve"> are applied. </w:t>
            </w:r>
          </w:p>
          <w:p w:rsidR="00000000" w:rsidRPr="00C95DE7" w:rsidP="00C95DE7">
            <w:pPr>
              <w:pStyle w:val="List"/>
            </w:pPr>
            <w:r w:rsidRPr="00C95DE7">
              <w:t>7.</w:t>
            </w:r>
            <w:r w:rsidRPr="00C95DE7">
              <w:tab/>
              <w:t>Conflict resolution strategies are employed.</w:t>
            </w:r>
          </w:p>
          <w:p w:rsidR="00000000" w:rsidRPr="00C95DE7" w:rsidP="00C95DE7">
            <w:pPr>
              <w:pStyle w:val="List"/>
            </w:pPr>
            <w:r w:rsidRPr="00C95DE7">
              <w:t>8.</w:t>
            </w:r>
            <w:r w:rsidRPr="00C95DE7">
              <w:tab/>
              <w:t>Assertiveness skills are used.</w:t>
            </w:r>
          </w:p>
          <w:p w:rsidR="00000000" w:rsidRPr="00C95DE7" w:rsidP="00C95DE7">
            <w:pPr>
              <w:pStyle w:val="List"/>
            </w:pPr>
            <w:r w:rsidRPr="00C95DE7">
              <w:t>9.</w:t>
            </w:r>
            <w:r w:rsidRPr="00C95DE7">
              <w:tab/>
            </w:r>
            <w:r w:rsidRPr="00C95DE7">
              <w:rPr>
                <w:rStyle w:val="BoldandItalics"/>
              </w:rPr>
              <w:t>Questioning techniques</w:t>
            </w:r>
            <w:r w:rsidRPr="00C95DE7">
              <w:t xml:space="preserve"> employed are effective and in accordance with administrative law principles. </w:t>
            </w:r>
          </w:p>
          <w:p w:rsidR="00000000" w:rsidP="00C95DE7">
            <w:pPr>
              <w:pStyle w:val="List"/>
              <w:rPr>
                <w:lang w:val="en-NZ"/>
              </w:rPr>
            </w:pPr>
            <w:r w:rsidRPr="00C95DE7">
              <w:t>10.</w:t>
            </w:r>
            <w:r w:rsidRPr="00C95DE7">
              <w:tab/>
            </w:r>
            <w:r w:rsidRPr="00C95DE7">
              <w:t>Interviews and inquiries are conducted with due consideration for organisational protocols and time constraints.</w:t>
            </w:r>
          </w:p>
        </w:tc>
      </w:tr>
      <w:tr w:rsidTr="00516DC5">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t>Conduct inquiries.</w:t>
            </w:r>
          </w:p>
        </w:tc>
        <w:tc>
          <w:tcPr>
            <w:tcW w:w="5931" w:type="dxa"/>
            <w:tcBorders>
              <w:top w:val="nil"/>
              <w:left w:val="nil"/>
              <w:bottom w:val="nil"/>
              <w:right w:val="nil"/>
            </w:tcBorders>
            <w:tcMar>
              <w:top w:w="0" w:type="dxa"/>
              <w:left w:w="62" w:type="dxa"/>
              <w:bottom w:w="0" w:type="dxa"/>
              <w:right w:w="62" w:type="dxa"/>
            </w:tcMar>
          </w:tcPr>
          <w:p w:rsidR="00000000" w:rsidRPr="00C95DE7" w:rsidP="00C95DE7">
            <w:pPr>
              <w:pStyle w:val="List"/>
            </w:pPr>
            <w:r w:rsidRPr="00C95DE7">
              <w:t>11.</w:t>
            </w:r>
            <w:r w:rsidRPr="00C95DE7">
              <w:tab/>
              <w:t>Rights and responsibilities are relayed to participants.</w:t>
            </w:r>
          </w:p>
          <w:p w:rsidR="00000000" w:rsidRPr="00C95DE7" w:rsidP="00C95DE7">
            <w:pPr>
              <w:pStyle w:val="List"/>
            </w:pPr>
            <w:r w:rsidRPr="00C95DE7">
              <w:t>12.</w:t>
            </w:r>
            <w:r w:rsidRPr="00C95DE7">
              <w:tab/>
            </w:r>
            <w:r w:rsidRPr="00C95DE7">
              <w:rPr>
                <w:rStyle w:val="BoldandItalics"/>
              </w:rPr>
              <w:t>Assertiveness skills</w:t>
            </w:r>
            <w:r w:rsidRPr="00C95DE7">
              <w:t xml:space="preserve"> are employed during inquiries. </w:t>
            </w:r>
          </w:p>
          <w:p w:rsidR="00000000" w:rsidRPr="00C95DE7" w:rsidP="00C95DE7">
            <w:pPr>
              <w:pStyle w:val="List"/>
            </w:pPr>
            <w:r w:rsidRPr="00C95DE7">
              <w:t>13.</w:t>
            </w:r>
            <w:r w:rsidRPr="00C95DE7">
              <w:tab/>
              <w:t>P</w:t>
            </w:r>
            <w:r w:rsidRPr="00C95DE7">
              <w:t xml:space="preserve">articipant's need for assistance is identified and provided. </w:t>
            </w:r>
          </w:p>
          <w:p w:rsidR="00000000" w:rsidP="00C95DE7">
            <w:pPr>
              <w:pStyle w:val="List"/>
              <w:rPr>
                <w:lang w:val="en-NZ"/>
              </w:rPr>
            </w:pPr>
            <w:r w:rsidRPr="00C95DE7">
              <w:t>14.</w:t>
            </w:r>
            <w:r w:rsidRPr="00C95DE7">
              <w:tab/>
              <w:t xml:space="preserve">Decisions made are based on </w:t>
            </w:r>
            <w:r w:rsidRPr="00C95DE7">
              <w:rPr>
                <w:rStyle w:val="BoldandItalics"/>
              </w:rPr>
              <w:t>evidence</w:t>
            </w:r>
            <w:r w:rsidRPr="00C95DE7">
              <w:t xml:space="preserve"> provided and the rules of racing. </w:t>
            </w:r>
          </w:p>
        </w:tc>
      </w:tr>
      <w:tr w:rsidTr="00516DC5">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t>Determine appropriate penalties.</w:t>
            </w:r>
          </w:p>
        </w:tc>
        <w:tc>
          <w:tcPr>
            <w:tcW w:w="5931" w:type="dxa"/>
            <w:tcBorders>
              <w:top w:val="nil"/>
              <w:left w:val="nil"/>
              <w:bottom w:val="nil"/>
              <w:right w:val="nil"/>
            </w:tcBorders>
            <w:tcMar>
              <w:top w:w="0" w:type="dxa"/>
              <w:left w:w="62" w:type="dxa"/>
              <w:bottom w:w="0" w:type="dxa"/>
              <w:right w:w="62" w:type="dxa"/>
            </w:tcMar>
          </w:tcPr>
          <w:p w:rsidR="00000000" w:rsidRPr="00C95DE7" w:rsidP="00C95DE7">
            <w:pPr>
              <w:pStyle w:val="List"/>
            </w:pPr>
            <w:r w:rsidRPr="00C95DE7">
              <w:t>15.</w:t>
            </w:r>
            <w:r w:rsidRPr="00C95DE7">
              <w:tab/>
              <w:t>Rules of racing are reviewed in relation to incident.</w:t>
            </w:r>
          </w:p>
          <w:p w:rsidR="00000000" w:rsidRPr="00C95DE7" w:rsidP="00C95DE7">
            <w:pPr>
              <w:pStyle w:val="List"/>
            </w:pPr>
            <w:r w:rsidRPr="00C95DE7">
              <w:t>16.</w:t>
            </w:r>
            <w:r w:rsidRPr="00C95DE7">
              <w:tab/>
              <w:t xml:space="preserve">Penalties appropriate </w:t>
            </w:r>
            <w:r w:rsidRPr="00C95DE7">
              <w:t>to the incident are considered.</w:t>
            </w:r>
          </w:p>
          <w:p w:rsidR="00000000" w:rsidRPr="00C95DE7" w:rsidP="00C95DE7">
            <w:pPr>
              <w:pStyle w:val="List"/>
            </w:pPr>
            <w:r w:rsidRPr="00C95DE7">
              <w:t>17.</w:t>
            </w:r>
            <w:r w:rsidRPr="00C95DE7">
              <w:tab/>
              <w:t>Previous history of participant is considered when deciding penalty.</w:t>
            </w:r>
          </w:p>
          <w:p w:rsidR="00000000" w:rsidRPr="00C95DE7" w:rsidP="00C95DE7">
            <w:pPr>
              <w:pStyle w:val="List"/>
            </w:pPr>
            <w:r w:rsidRPr="00C95DE7">
              <w:t>18.</w:t>
            </w:r>
            <w:r w:rsidRPr="00C95DE7">
              <w:tab/>
              <w:t>Decision is announced.</w:t>
            </w:r>
          </w:p>
          <w:p w:rsidR="00000000" w:rsidRPr="00C95DE7" w:rsidP="00C95DE7">
            <w:pPr>
              <w:pStyle w:val="List"/>
            </w:pPr>
            <w:r w:rsidRPr="00C95DE7">
              <w:t>19.</w:t>
            </w:r>
            <w:r w:rsidRPr="00C95DE7">
              <w:tab/>
              <w:t xml:space="preserve">Participant's right to appeal is explained. </w:t>
            </w:r>
          </w:p>
        </w:tc>
      </w:tr>
    </w:tbl>
    <w:p w:rsidR="00516DC5" w:rsidP="00C95DE7">
      <w:pPr>
        <w:pStyle w:val="BodyText"/>
      </w:pPr>
    </w:p>
    <w:p w:rsidR="00516DC5" w:rsidP="00C95DE7">
      <w:pPr>
        <w:pStyle w:val="BodyText"/>
      </w:pPr>
    </w:p>
    <w:p w:rsidR="00000000" w:rsidRPr="00C95DE7" w:rsidP="00C95DE7">
      <w:pPr>
        <w:pStyle w:val="Heading1"/>
      </w:pPr>
      <w:bookmarkStart w:id="9" w:name="O_261632"/>
      <w:bookmarkEnd w:id="9"/>
      <w:r w:rsidRPr="00C95DE7">
        <w:t>Required Skills and Knowledge</w:t>
      </w:r>
    </w:p>
    <w:tbl>
      <w:tblPr>
        <w:tblW w:w="0" w:type="auto"/>
        <w:tblLayout w:type="fixed"/>
        <w:tblCellMar>
          <w:left w:w="62" w:type="dxa"/>
          <w:right w:w="62" w:type="dxa"/>
        </w:tblCellMar>
        <w:tblLook w:val="0000"/>
      </w:tblPr>
      <w:tblGrid>
        <w:gridCol w:w="8522"/>
      </w:tblGrid>
      <w:tr w:rsidTr="00516DC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REQUIRED SKILLS AND KNOWLEDGE</w:t>
            </w:r>
          </w:p>
        </w:tc>
      </w:tr>
      <w:tr w:rsidTr="00516D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t>This section describes the skills and knowledge required for this unit.</w:t>
            </w:r>
          </w:p>
        </w:tc>
      </w:tr>
      <w:tr w:rsidTr="00516D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Required skills</w:t>
            </w:r>
          </w:p>
        </w:tc>
      </w:tr>
      <w:tr w:rsidTr="00516D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 xml:space="preserve">communicating with other stewards, racing officials, licensed and registered personnel and others using assertive communication </w:t>
            </w:r>
            <w:r w:rsidRPr="00C95DE7">
              <w:t>techniques to gather, interpret and relay information related to racing incident investigations</w:t>
            </w:r>
          </w:p>
          <w:p w:rsidR="00000000" w:rsidRPr="00C95DE7" w:rsidP="00C95DE7">
            <w:pPr>
              <w:pStyle w:val="ListBullet"/>
            </w:pPr>
            <w:r w:rsidRPr="00C95DE7">
              <w:t>completing duties in accordance with safe operating procedures and nominated time frame</w:t>
            </w:r>
          </w:p>
          <w:p w:rsidR="00000000" w:rsidRPr="00C95DE7" w:rsidP="00C95DE7">
            <w:pPr>
              <w:pStyle w:val="ListBullet"/>
            </w:pPr>
            <w:r w:rsidRPr="00C95DE7">
              <w:t>completing clear and concise stewards' reports</w:t>
            </w:r>
          </w:p>
          <w:p w:rsidR="00000000" w:rsidRPr="00C95DE7" w:rsidP="00C95DE7">
            <w:pPr>
              <w:pStyle w:val="ListBullet"/>
            </w:pPr>
            <w:r w:rsidRPr="00C95DE7">
              <w:t>complying with organisati</w:t>
            </w:r>
            <w:r w:rsidRPr="00C95DE7">
              <w:t>onal policies and procedures and the rules of racing</w:t>
            </w:r>
          </w:p>
          <w:p w:rsidR="00000000" w:rsidRPr="00C95DE7" w:rsidP="00C95DE7">
            <w:pPr>
              <w:pStyle w:val="ListBullet"/>
            </w:pPr>
            <w:r w:rsidRPr="00C95DE7">
              <w:t>conducting inquiries and arriving at satisfactory conclusions</w:t>
            </w:r>
          </w:p>
          <w:p w:rsidR="00000000" w:rsidRPr="00C95DE7" w:rsidP="00C95DE7">
            <w:pPr>
              <w:pStyle w:val="ListBullet"/>
            </w:pPr>
            <w:r w:rsidRPr="00C95DE7">
              <w:t>gathering relevant evidence to racing incidents covered by the rules of racing</w:t>
            </w:r>
          </w:p>
          <w:p w:rsidR="00000000" w:rsidRPr="00C95DE7" w:rsidP="00C95DE7">
            <w:pPr>
              <w:pStyle w:val="ListBullet"/>
            </w:pPr>
            <w:r w:rsidRPr="00C95DE7">
              <w:t>hearing and adjudicating race protests</w:t>
            </w:r>
          </w:p>
          <w:p w:rsidR="00000000" w:rsidRPr="00C95DE7" w:rsidP="00C95DE7">
            <w:pPr>
              <w:pStyle w:val="ListBullet"/>
            </w:pPr>
            <w:r w:rsidRPr="00C95DE7">
              <w:t xml:space="preserve">managing conflicts and </w:t>
            </w:r>
            <w:r w:rsidRPr="00C95DE7">
              <w:t>difficult situations</w:t>
            </w:r>
          </w:p>
          <w:p w:rsidR="00000000" w:rsidRPr="00C95DE7" w:rsidP="00C95DE7">
            <w:pPr>
              <w:pStyle w:val="ListBullet"/>
            </w:pPr>
            <w:r w:rsidRPr="00C95DE7">
              <w:t>performing the duties of a steward with due consideration to the individual differences and needs of licensed persons</w:t>
            </w:r>
          </w:p>
          <w:p w:rsidR="00000000" w:rsidRPr="00C95DE7" w:rsidP="00C95DE7">
            <w:pPr>
              <w:pStyle w:val="ListBullet"/>
            </w:pPr>
            <w:r w:rsidRPr="00C95DE7">
              <w:t>preparing and presenting evidence for appeals</w:t>
            </w:r>
          </w:p>
          <w:p w:rsidR="00000000" w:rsidRPr="00C95DE7" w:rsidP="00C95DE7">
            <w:pPr>
              <w:pStyle w:val="ListBullet"/>
            </w:pPr>
            <w:r w:rsidRPr="00C95DE7">
              <w:t>reading and interpreting workplace documentation, including rules of ra</w:t>
            </w:r>
            <w:r w:rsidRPr="00C95DE7">
              <w:t>cing</w:t>
            </w:r>
          </w:p>
          <w:p w:rsidR="00000000" w:rsidRPr="00C95DE7" w:rsidP="00C95DE7">
            <w:pPr>
              <w:pStyle w:val="ListBullet"/>
            </w:pPr>
            <w:r w:rsidRPr="00C95DE7">
              <w:t>relating to people from a range of social, cultural and ethnic backgrounds and with varying physical and mental abilities</w:t>
            </w:r>
          </w:p>
          <w:p w:rsidR="00000000" w:rsidRPr="00C95DE7" w:rsidP="00C95DE7">
            <w:pPr>
              <w:pStyle w:val="ListBullet"/>
            </w:pPr>
            <w:r w:rsidRPr="00C95DE7">
              <w:t>teamwork skills to ensure completion of job tasks</w:t>
            </w:r>
          </w:p>
          <w:p w:rsidR="00000000" w:rsidP="00C95DE7">
            <w:pPr>
              <w:pStyle w:val="ListBullet"/>
              <w:rPr>
                <w:lang w:val="en-NZ"/>
              </w:rPr>
            </w:pPr>
            <w:r w:rsidRPr="00C95DE7">
              <w:t>written communication skills to complete workplace documentation and reports.</w:t>
            </w:r>
          </w:p>
        </w:tc>
      </w:tr>
      <w:tr w:rsidTr="00516D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Required knowledge</w:t>
            </w:r>
          </w:p>
        </w:tc>
      </w:tr>
      <w:tr w:rsidTr="00516D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communication procedures for communicating with other stewards and industry personnel, including reporting lines within the workplace and wider racing industry</w:t>
            </w:r>
          </w:p>
          <w:p w:rsidR="00000000" w:rsidRPr="00C95DE7" w:rsidP="00C95DE7">
            <w:pPr>
              <w:pStyle w:val="ListBullet"/>
            </w:pPr>
            <w:r w:rsidRPr="00C95DE7">
              <w:t xml:space="preserve">detailed understanding of applicable federal, state or territory </w:t>
            </w:r>
            <w:r w:rsidRPr="00C95DE7">
              <w:t>legislation and regulations relating to anti-discrimination and harassment</w:t>
            </w:r>
          </w:p>
          <w:p w:rsidR="00000000" w:rsidRPr="00C95DE7" w:rsidP="00C95DE7">
            <w:pPr>
              <w:pStyle w:val="ListBullet"/>
            </w:pPr>
            <w:r w:rsidRPr="00C95DE7">
              <w:t>ethical conduct standards of relevant racing principal authority</w:t>
            </w:r>
          </w:p>
          <w:p w:rsidR="00000000" w:rsidRPr="00C95DE7" w:rsidP="00C95DE7">
            <w:pPr>
              <w:pStyle w:val="ListBullet"/>
            </w:pPr>
            <w:r w:rsidRPr="00C95DE7">
              <w:t>industry terminology related to steward duties, racing operations and wider racing industry</w:t>
            </w:r>
          </w:p>
          <w:p w:rsidR="00000000" w:rsidRPr="00C95DE7" w:rsidP="00C95DE7">
            <w:pPr>
              <w:pStyle w:val="ListBullet"/>
            </w:pPr>
            <w:r w:rsidRPr="00C95DE7">
              <w:t>OHS and environmental le</w:t>
            </w:r>
            <w:r w:rsidRPr="00C95DE7">
              <w:t>gislative requirements</w:t>
            </w:r>
          </w:p>
          <w:p w:rsidR="00000000" w:rsidRPr="00C95DE7" w:rsidP="00C95DE7">
            <w:pPr>
              <w:pStyle w:val="ListBullet"/>
            </w:pPr>
            <w:r w:rsidRPr="00C95DE7">
              <w:t>organisational policies and procedures</w:t>
            </w:r>
          </w:p>
          <w:p w:rsidR="00000000" w:rsidRPr="00C95DE7" w:rsidP="00C95DE7">
            <w:pPr>
              <w:pStyle w:val="ListBullet"/>
            </w:pPr>
            <w:r w:rsidRPr="00C95DE7">
              <w:t>principles of administrative law</w:t>
            </w:r>
          </w:p>
          <w:p w:rsidR="00000000" w:rsidRPr="00C95DE7" w:rsidP="00C95DE7">
            <w:pPr>
              <w:pStyle w:val="ListBullet"/>
            </w:pPr>
            <w:r w:rsidRPr="00C95DE7">
              <w:t>principles of effective communication</w:t>
            </w:r>
          </w:p>
          <w:p w:rsidR="00000000" w:rsidRPr="00C95DE7" w:rsidP="00C95DE7">
            <w:pPr>
              <w:pStyle w:val="ListBullet"/>
            </w:pPr>
            <w:r w:rsidRPr="00C95DE7">
              <w:t>purpose of racing operations documentation</w:t>
            </w:r>
          </w:p>
          <w:p w:rsidR="00000000" w:rsidRPr="00C95DE7" w:rsidP="00C95DE7">
            <w:pPr>
              <w:pStyle w:val="ListBullet"/>
            </w:pPr>
            <w:r w:rsidRPr="00C95DE7">
              <w:t>racing industry animal welfare requirements</w:t>
            </w:r>
          </w:p>
          <w:p w:rsidR="00000000" w:rsidRPr="00C95DE7" w:rsidP="00C95DE7">
            <w:pPr>
              <w:pStyle w:val="ListBullet"/>
            </w:pPr>
            <w:r w:rsidRPr="00C95DE7">
              <w:t>rules of racing</w:t>
            </w:r>
          </w:p>
          <w:p w:rsidR="00000000" w:rsidRPr="00C95DE7" w:rsidP="00C95DE7">
            <w:pPr>
              <w:pStyle w:val="ListBullet"/>
            </w:pPr>
            <w:r w:rsidRPr="00C95DE7">
              <w:t>reporting requiremen</w:t>
            </w:r>
            <w:r w:rsidRPr="00C95DE7">
              <w:t>ts for irregularities and problems</w:t>
            </w:r>
          </w:p>
          <w:p w:rsidR="00000000" w:rsidRPr="00C95DE7" w:rsidP="00C95DE7">
            <w:pPr>
              <w:pStyle w:val="ListBullet"/>
            </w:pPr>
            <w:r w:rsidRPr="00C95DE7">
              <w:t>rules relating to licensed personnel, permit holders and others authorised to undertake work associated with the greyhound, harness and thoroughbred codes</w:t>
            </w:r>
          </w:p>
          <w:p w:rsidR="00000000" w:rsidRPr="00C95DE7" w:rsidP="00C95DE7">
            <w:pPr>
              <w:pStyle w:val="ListBullet"/>
            </w:pPr>
            <w:r w:rsidRPr="00C95DE7">
              <w:t>rules relating to conduct of inquiries, hearings, protests and app</w:t>
            </w:r>
            <w:r w:rsidRPr="00C95DE7">
              <w:t>eals</w:t>
            </w:r>
          </w:p>
          <w:p w:rsidR="00000000" w:rsidRPr="00C95DE7" w:rsidP="00C95DE7">
            <w:pPr>
              <w:pStyle w:val="ListBullet"/>
            </w:pPr>
            <w:r w:rsidRPr="00C95DE7">
              <w:t>state and territory Acts governing the specific racing code of the industry.</w:t>
            </w:r>
          </w:p>
        </w:tc>
      </w:tr>
    </w:tbl>
    <w:p w:rsidR="00516DC5" w:rsidP="00C95DE7">
      <w:pPr>
        <w:pStyle w:val="BodyText"/>
      </w:pPr>
    </w:p>
    <w:p w:rsidR="00516DC5" w:rsidP="00C95DE7">
      <w:pPr>
        <w:pStyle w:val="BodyText"/>
      </w:pPr>
    </w:p>
    <w:p w:rsidR="00000000" w:rsidRPr="00C95DE7" w:rsidP="00C95DE7">
      <w:pPr>
        <w:pStyle w:val="AllowPageBreak"/>
      </w:pPr>
    </w:p>
    <w:p w:rsidR="00000000" w:rsidRPr="00C95DE7" w:rsidP="00C95DE7">
      <w:pPr>
        <w:pStyle w:val="Heading1"/>
      </w:pPr>
      <w:bookmarkStart w:id="10" w:name="O_245825"/>
      <w:bookmarkEnd w:id="10"/>
      <w:r w:rsidRPr="00C95DE7">
        <w:t>Evidence Guide</w:t>
      </w:r>
    </w:p>
    <w:tbl>
      <w:tblPr>
        <w:tblW w:w="9570" w:type="dxa"/>
        <w:tblLayout w:type="fixed"/>
        <w:tblCellMar>
          <w:left w:w="62" w:type="dxa"/>
          <w:right w:w="62" w:type="dxa"/>
        </w:tblCellMar>
        <w:tblLook w:val="0000"/>
      </w:tblPr>
      <w:tblGrid>
        <w:gridCol w:w="3908"/>
        <w:gridCol w:w="5662"/>
      </w:tblGrid>
      <w:tr w:rsidTr="00516DC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C95DE7">
            <w:pPr>
              <w:pStyle w:val="BodyText"/>
              <w:rPr>
                <w:lang w:val="en-NZ"/>
              </w:rPr>
            </w:pPr>
            <w:r w:rsidRPr="00C95DE7">
              <w:rPr>
                <w:rStyle w:val="SpecialBold"/>
              </w:rPr>
              <w:t>EVIDENCE GUIDE</w:t>
            </w:r>
          </w:p>
        </w:tc>
      </w:tr>
      <w:tr w:rsidTr="00516DC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C95DE7">
            <w:pPr>
              <w:pStyle w:val="BodyText"/>
              <w:rPr>
                <w:lang w:val="en-NZ"/>
              </w:rPr>
            </w:pPr>
            <w:r w:rsidRPr="00C95DE7">
              <w:t>The evidence guide provides advice on assessment and must be read in conjunction with the performance criteria, required skills and knowledge, range statement and the Assessment Guidelines for the Training Package.</w:t>
            </w:r>
          </w:p>
        </w:tc>
      </w:tr>
      <w:tr w:rsidTr="00516D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The evidence required to demonstrate competency in this unit must be relevant to workplace operations and satisfy all of the requirements of the performance criter</w:t>
            </w:r>
            <w:r w:rsidRPr="00C95DE7">
              <w:t>ia, required skills and knowledge and the range statement of this unit and include evidence of the following:</w:t>
            </w:r>
          </w:p>
          <w:p w:rsidR="00000000" w:rsidRPr="00C95DE7" w:rsidP="00C95DE7">
            <w:pPr>
              <w:pStyle w:val="ListBullet"/>
            </w:pPr>
            <w:r w:rsidRPr="00C95DE7">
              <w:t>knowledge of the requirements, procedures and instructions applicable to applying the principles of administrative law to racing incident investig</w:t>
            </w:r>
            <w:r w:rsidRPr="00C95DE7">
              <w:t>ations and resolution</w:t>
            </w:r>
          </w:p>
          <w:p w:rsidR="00000000" w:rsidRPr="00C95DE7" w:rsidP="00C95DE7">
            <w:pPr>
              <w:pStyle w:val="ListBullet"/>
            </w:pPr>
            <w:r w:rsidRPr="00C95DE7">
              <w:t>demonstration of ability to employ a range of communication strategies to elicit facts and information and to defuse potentially difficult situations, while applying the principles of natural justice and procedural fairness and comply</w:t>
            </w:r>
            <w:r w:rsidRPr="00C95DE7">
              <w:t>ing with equity principles</w:t>
            </w:r>
          </w:p>
          <w:p w:rsidR="00000000" w:rsidRPr="00C95DE7" w:rsidP="00C95DE7">
            <w:pPr>
              <w:pStyle w:val="ListBullet"/>
            </w:pPr>
            <w:r w:rsidRPr="00C95DE7">
              <w:t>implementation of procedures and timely techniques for the safe, effective and efficient application of administrative law principles to investigations and resolution of racing incidents</w:t>
            </w:r>
          </w:p>
          <w:p w:rsidR="00000000" w:rsidRPr="00C95DE7" w:rsidP="00C95DE7">
            <w:pPr>
              <w:pStyle w:val="ListBullet"/>
            </w:pPr>
            <w:r w:rsidRPr="00C95DE7">
              <w:t>working with others to undertake and compl</w:t>
            </w:r>
            <w:r w:rsidRPr="00C95DE7">
              <w:t>ete the required procedures that meet required outcomes.</w:t>
            </w:r>
          </w:p>
          <w:p w:rsidR="00000000" w:rsidP="00C95DE7">
            <w:pPr>
              <w:pStyle w:val="BodyText"/>
              <w:rPr>
                <w:lang w:val="en-NZ"/>
              </w:rPr>
            </w:pPr>
            <w:r w:rsidRPr="00C95DE7">
              <w:t xml:space="preserve">Evidence should be collected over a period of time in a range of racing industry administration and operations contexts, and include dealings with an appropriate range of situations. </w:t>
            </w:r>
          </w:p>
        </w:tc>
      </w:tr>
      <w:tr w:rsidTr="00516D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Context of and</w:t>
            </w:r>
            <w:r w:rsidRPr="00C95DE7">
              <w:rPr>
                <w:rStyle w:val="SpecialBold"/>
              </w:rPr>
              <w:t xml:space="preserve">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 xml:space="preserve">Competency must be assessed in a racing workplace that provides access to the required resources. Assessment is to occur under standard and authorised work practices, safety requirements and environmental constraints. It </w:t>
            </w:r>
            <w:r w:rsidRPr="00C95DE7">
              <w:t>is to comply with relevant regulatory requirements or Australian Standards requirements.</w:t>
            </w:r>
          </w:p>
          <w:p w:rsidR="00000000" w:rsidRPr="00C95DE7" w:rsidP="00C95DE7">
            <w:pPr>
              <w:pStyle w:val="BodyText"/>
            </w:pPr>
            <w:r w:rsidRPr="00C95DE7">
              <w:t>Assessment of the practical components of this unit will be by observation of relevant skills.</w:t>
            </w:r>
          </w:p>
          <w:p w:rsidR="00000000" w:rsidRPr="00C95DE7" w:rsidP="00C95DE7">
            <w:pPr>
              <w:pStyle w:val="BodyText"/>
            </w:pPr>
            <w:r w:rsidRPr="00C95DE7">
              <w:t>The following resources must be available:</w:t>
            </w:r>
          </w:p>
          <w:p w:rsidR="00000000" w:rsidRPr="00C95DE7" w:rsidP="00C95DE7">
            <w:pPr>
              <w:pStyle w:val="ListBullet"/>
            </w:pPr>
            <w:r w:rsidRPr="00C95DE7">
              <w:t>materials and equipment rele</w:t>
            </w:r>
            <w:r w:rsidRPr="00C95DE7">
              <w:t>vant to assessing candidate's ability to apply the principles of administrative law to investigation and resolution of racing incidents</w:t>
            </w:r>
          </w:p>
          <w:p w:rsidR="00000000" w:rsidRPr="00C95DE7" w:rsidP="00C95DE7">
            <w:pPr>
              <w:pStyle w:val="ListBullet"/>
            </w:pPr>
            <w:r w:rsidRPr="00C95DE7">
              <w:t>racing administration buildings, race meetings and related facilities</w:t>
            </w:r>
          </w:p>
          <w:p w:rsidR="00000000" w:rsidP="00C95DE7">
            <w:pPr>
              <w:pStyle w:val="ListBullet"/>
              <w:rPr>
                <w:lang w:val="en-NZ"/>
              </w:rPr>
            </w:pPr>
            <w:r w:rsidRPr="00C95DE7">
              <w:t>work instructions and related documentation.</w:t>
            </w:r>
          </w:p>
        </w:tc>
      </w:tr>
      <w:tr w:rsidTr="00516D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Meth</w:t>
            </w:r>
            <w:r w:rsidRPr="00C95DE7">
              <w:rPr>
                <w:rStyle w:val="SpecialBold"/>
              </w:rPr>
              <w:t>od of assessment</w:t>
            </w:r>
          </w:p>
        </w:tc>
        <w:tc>
          <w:tcPr>
            <w:tcW w:w="5662"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Assessment methods must satisfy the endorsed Assessment Guidelines of the Racing Training Package.</w:t>
            </w:r>
          </w:p>
          <w:p w:rsidR="00000000" w:rsidRPr="00C95DE7" w:rsidP="00C95DE7">
            <w:pPr>
              <w:pStyle w:val="BodyText"/>
            </w:pPr>
            <w:r w:rsidRPr="00C95DE7">
              <w:t>The suggested strategies for the assessment of this unit are:</w:t>
            </w:r>
          </w:p>
          <w:p w:rsidR="00000000" w:rsidRPr="00C95DE7" w:rsidP="00C95DE7">
            <w:pPr>
              <w:pStyle w:val="ListBullet"/>
            </w:pPr>
            <w:r w:rsidRPr="00C95DE7">
              <w:t>written and/or oral assessment of candidate's required knowledge</w:t>
            </w:r>
          </w:p>
          <w:p w:rsidR="00000000" w:rsidRPr="00C95DE7" w:rsidP="00C95DE7">
            <w:pPr>
              <w:pStyle w:val="ListBullet"/>
            </w:pPr>
            <w:r w:rsidRPr="00C95DE7">
              <w:t>observed, doc</w:t>
            </w:r>
            <w:r w:rsidRPr="00C95DE7">
              <w:t>umented and firsthand testimonial evidence of candidate's application of practical tasks</w:t>
            </w:r>
          </w:p>
          <w:p w:rsidR="00000000" w:rsidRPr="00C95DE7" w:rsidP="00C95DE7">
            <w:pPr>
              <w:pStyle w:val="ListBullet"/>
            </w:pPr>
            <w:r w:rsidRPr="00C95DE7">
              <w:t>case studies to assess candidate's ability to provide written and/or oral responses to various scenarios.</w:t>
            </w:r>
          </w:p>
          <w:p w:rsidR="00000000" w:rsidRPr="00C95DE7" w:rsidP="00C95DE7">
            <w:pPr>
              <w:pStyle w:val="BodyText"/>
            </w:pPr>
            <w:r w:rsidRPr="00C95DE7">
              <w:t>Evidence is required to be demonstrated over a period of time</w:t>
            </w:r>
            <w:r w:rsidRPr="00C95DE7">
              <w:t>, therefore where performance is not directly observed any evidence should be authenticated by supervisors or other appropriate persons, at least one of whom should be approved by the State Principal Racing Authority.</w:t>
            </w:r>
          </w:p>
          <w:p w:rsidR="00000000" w:rsidP="00C95DE7">
            <w:pPr>
              <w:pStyle w:val="BodyText"/>
              <w:rPr>
                <w:lang w:val="en-NZ"/>
              </w:rPr>
            </w:pPr>
            <w:r w:rsidRPr="00C95DE7">
              <w:t>This unit may be assessed in a holisti</w:t>
            </w:r>
            <w:r w:rsidRPr="00C95DE7">
              <w:t xml:space="preserve">c way with other units of competency relevant to the industry sector, workplace and job role. </w:t>
            </w:r>
          </w:p>
        </w:tc>
      </w:tr>
      <w:tr w:rsidTr="00516D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 xml:space="preserve">Assessment methods should reflect workplace demands (e.g. literacy and numeracy demands) and the needs of particular target </w:t>
            </w:r>
            <w:r w:rsidRPr="00C95DE7">
              <w:t xml:space="preserve">groups (e.g. people with disabilities, Aboriginal and Torres Strait Islander people, women, people with a language background other than English, youth and people from low socioeconomic backgrounds). </w:t>
            </w:r>
          </w:p>
        </w:tc>
      </w:tr>
    </w:tbl>
    <w:p w:rsidR="00516DC5" w:rsidP="00C95DE7">
      <w:pPr>
        <w:pStyle w:val="BodyText"/>
      </w:pPr>
    </w:p>
    <w:p w:rsidR="00516DC5" w:rsidP="00C95DE7">
      <w:pPr>
        <w:pStyle w:val="BodyText"/>
      </w:pPr>
    </w:p>
    <w:p w:rsidR="00000000" w:rsidRPr="00C95DE7" w:rsidP="00C95DE7">
      <w:pPr>
        <w:pStyle w:val="Heading1"/>
      </w:pPr>
      <w:bookmarkStart w:id="11" w:name="O_253808"/>
      <w:bookmarkEnd w:id="11"/>
      <w:r w:rsidRPr="00C95DE7">
        <w:t>Range Statement</w:t>
      </w:r>
    </w:p>
    <w:tbl>
      <w:tblPr>
        <w:tblW w:w="0" w:type="auto"/>
        <w:tblLayout w:type="fixed"/>
        <w:tblCellMar>
          <w:left w:w="62" w:type="dxa"/>
          <w:right w:w="62" w:type="dxa"/>
        </w:tblCellMar>
        <w:tblLook w:val="0000"/>
      </w:tblPr>
      <w:tblGrid>
        <w:gridCol w:w="3499"/>
        <w:gridCol w:w="5023"/>
      </w:tblGrid>
      <w:tr w:rsidTr="00516DC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95DE7">
            <w:pPr>
              <w:pStyle w:val="BodyText"/>
              <w:rPr>
                <w:lang w:val="en-NZ"/>
              </w:rPr>
            </w:pPr>
            <w:r w:rsidRPr="00C95DE7">
              <w:rPr>
                <w:rStyle w:val="SpecialBold"/>
              </w:rPr>
              <w:t>RANGE STATEMENT</w:t>
            </w:r>
          </w:p>
        </w:tc>
      </w:tr>
      <w:tr w:rsidTr="00516DC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C95DE7" w:rsidP="00C95DE7">
            <w:pPr>
              <w:pStyle w:val="BodyText"/>
            </w:pPr>
            <w:r w:rsidRPr="00C95DE7">
              <w:t xml:space="preserve">The range statement relates to the unit of competency as a whole. It allows for different work environments and situations that may affect performance. Bold italicised wording in the performance criteria is detailed below. </w:t>
            </w:r>
          </w:p>
          <w:p w:rsidR="00000000" w:rsidRPr="00C95DE7" w:rsidP="00C95DE7">
            <w:pPr>
              <w:pStyle w:val="BodyText"/>
            </w:pPr>
          </w:p>
          <w:p w:rsidR="00000000" w:rsidRPr="00C95DE7" w:rsidP="00C95DE7">
            <w:pPr>
              <w:pStyle w:val="BodyText"/>
            </w:pPr>
            <w:r w:rsidRPr="00C95DE7">
              <w:t>The range statement provides d</w:t>
            </w:r>
            <w:r w:rsidRPr="00C95DE7">
              <w:t>etails of how this competency can be used in the workplaces of the racing industry to apply the principles of administrative law to investigation and resolution of racing incidents. Workplaces include greyhound, harness and thoroughbred racecourses, traini</w:t>
            </w:r>
            <w:r w:rsidRPr="00C95DE7">
              <w:t>ng tracks and administration buildings.</w:t>
            </w:r>
          </w:p>
          <w:p w:rsidR="00000000" w:rsidRPr="00C95DE7" w:rsidP="00C95DE7">
            <w:pPr>
              <w:pStyle w:val="BodyText"/>
            </w:pPr>
          </w:p>
          <w:p w:rsidR="00000000" w:rsidP="00C95DE7">
            <w:pPr>
              <w:pStyle w:val="BodyText"/>
              <w:rPr>
                <w:lang w:val="en-NZ"/>
              </w:rPr>
            </w:pPr>
            <w:r w:rsidRPr="00C95DE7">
              <w:t>Stewards oversee the conduct of all racing-related activities within the responsibilities and powers described under the rules of racing. The conditions under which this unit is delivered and assessed must take into</w:t>
            </w:r>
            <w:r w:rsidRPr="00C95DE7">
              <w:t xml:space="preserve"> consideration these powers and responsibilities. These powers and responsibilities are further described in the rules of racing for the relevant racing code. It is strongly recommended that training facilitators and learners refer to these powers and resp</w:t>
            </w:r>
            <w:r w:rsidRPr="00C95DE7">
              <w:t>onsibilities as part of the range of conditions for all units covered in the steward specialist area of the Training Package.</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Natural justice</w:t>
            </w:r>
            <w:r w:rsidRPr="00C95DE7">
              <w:t xml:space="preserve"> , also known as procedural fairness, is applied to: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conduct of inquiries, hearings, protests and appeals</w:t>
            </w:r>
          </w:p>
          <w:p w:rsidR="00000000" w:rsidRPr="00C95DE7" w:rsidP="00C95DE7">
            <w:pPr>
              <w:pStyle w:val="ListBullet"/>
            </w:pPr>
            <w:r w:rsidRPr="00C95DE7">
              <w:t>dealings with licensed persons, including:</w:t>
            </w:r>
          </w:p>
          <w:p w:rsidR="00000000" w:rsidRPr="00C95DE7" w:rsidP="00C95DE7">
            <w:pPr>
              <w:pStyle w:val="ListBullet2"/>
            </w:pPr>
            <w:r w:rsidRPr="00C95DE7">
              <w:t>drug testing procedures</w:t>
            </w:r>
          </w:p>
          <w:p w:rsidR="00000000" w:rsidRPr="00C95DE7" w:rsidP="00C95DE7">
            <w:pPr>
              <w:pStyle w:val="ListBullet2"/>
            </w:pPr>
            <w:r w:rsidRPr="00C95DE7">
              <w:t>inspections</w:t>
            </w:r>
          </w:p>
          <w:p w:rsidR="00000000" w:rsidP="00C95DE7">
            <w:pPr>
              <w:pStyle w:val="ListBullet2"/>
              <w:rPr>
                <w:lang w:val="en-NZ"/>
              </w:rPr>
            </w:pPr>
            <w:r w:rsidRPr="00C95DE7">
              <w:t>licensing matters.</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Racing protocols and procedures</w:t>
            </w:r>
            <w:r w:rsidRPr="00C95DE7">
              <w:t xml:space="preserve"> include: </w:t>
            </w:r>
          </w:p>
        </w:tc>
        <w:tc>
          <w:tcPr>
            <w:tcW w:w="5023" w:type="dxa"/>
            <w:tcBorders>
              <w:top w:val="nil"/>
              <w:left w:val="nil"/>
              <w:bottom w:val="nil"/>
              <w:right w:val="nil"/>
            </w:tcBorders>
            <w:tcMar>
              <w:top w:w="0" w:type="dxa"/>
              <w:left w:w="62" w:type="dxa"/>
              <w:bottom w:w="0" w:type="dxa"/>
              <w:right w:w="62" w:type="dxa"/>
            </w:tcMar>
          </w:tcPr>
          <w:p w:rsidR="00000000" w:rsidP="00C95DE7">
            <w:pPr>
              <w:pStyle w:val="ListBullet"/>
              <w:rPr>
                <w:lang w:val="en-NZ"/>
              </w:rPr>
            </w:pPr>
            <w:r w:rsidRPr="00C95DE7">
              <w:t>legal parameters within the rules of racing and the stewards' rights and obligations under these rules when conducting an investigation and resolution of an incident.</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Non</w:t>
            </w:r>
            <w:r w:rsidRPr="00C95DE7">
              <w:t>-</w:t>
            </w:r>
            <w:r w:rsidRPr="00C95DE7">
              <w:rPr>
                <w:rStyle w:val="BoldandItalics"/>
              </w:rPr>
              <w:t>verbal communication</w:t>
            </w:r>
            <w:r w:rsidRPr="00C95DE7">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body posture</w:t>
            </w:r>
          </w:p>
          <w:p w:rsidR="00000000" w:rsidRPr="00C95DE7" w:rsidP="00C95DE7">
            <w:pPr>
              <w:pStyle w:val="ListBullet"/>
            </w:pPr>
            <w:r w:rsidRPr="00C95DE7">
              <w:t>eye contact</w:t>
            </w:r>
          </w:p>
          <w:p w:rsidR="00000000" w:rsidRPr="00C95DE7" w:rsidP="00C95DE7">
            <w:pPr>
              <w:pStyle w:val="ListBullet"/>
            </w:pPr>
            <w:r w:rsidRPr="00C95DE7">
              <w:t>distance or physical con</w:t>
            </w:r>
            <w:r w:rsidRPr="00C95DE7">
              <w:t>tact</w:t>
            </w:r>
          </w:p>
          <w:p w:rsidR="00000000" w:rsidRPr="00C95DE7" w:rsidP="00C95DE7">
            <w:pPr>
              <w:pStyle w:val="ListBullet"/>
            </w:pPr>
            <w:r w:rsidRPr="00C95DE7">
              <w:t>facial expression</w:t>
            </w:r>
          </w:p>
          <w:p w:rsidR="00000000" w:rsidP="00C95DE7">
            <w:pPr>
              <w:pStyle w:val="ListBullet"/>
              <w:rPr>
                <w:lang w:val="en-NZ"/>
              </w:rPr>
            </w:pPr>
            <w:r w:rsidRPr="00C95DE7">
              <w:t>timing.</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Communication and recording aids</w:t>
            </w:r>
            <w:r w:rsidRPr="00C95DE7">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microphone</w:t>
            </w:r>
          </w:p>
          <w:p w:rsidR="00000000" w:rsidRPr="00C95DE7" w:rsidP="00C95DE7">
            <w:pPr>
              <w:pStyle w:val="ListBullet"/>
            </w:pPr>
            <w:r w:rsidRPr="00C95DE7">
              <w:t>note taking</w:t>
            </w:r>
          </w:p>
          <w:p w:rsidR="00000000" w:rsidRPr="00C95DE7" w:rsidP="00C95DE7">
            <w:pPr>
              <w:pStyle w:val="ListBullet"/>
            </w:pPr>
            <w:r w:rsidRPr="00C95DE7">
              <w:t>recorder</w:t>
            </w:r>
          </w:p>
          <w:p w:rsidR="00000000" w:rsidRPr="00C95DE7" w:rsidP="00C95DE7">
            <w:pPr>
              <w:pStyle w:val="ListBullet"/>
            </w:pPr>
            <w:r w:rsidRPr="00C95DE7">
              <w:t>scribe</w:t>
            </w:r>
          </w:p>
          <w:p w:rsidR="00000000" w:rsidP="00C95DE7">
            <w:pPr>
              <w:pStyle w:val="ListBullet"/>
              <w:rPr>
                <w:lang w:val="en-NZ"/>
              </w:rPr>
            </w:pPr>
            <w:r w:rsidRPr="00C95DE7">
              <w:t>two-way radio.</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t xml:space="preserve">Techniques for </w:t>
            </w:r>
            <w:r w:rsidRPr="00C95DE7">
              <w:rPr>
                <w:rStyle w:val="BoldandItalics"/>
              </w:rPr>
              <w:t>dealing with difficult people</w:t>
            </w:r>
            <w:r w:rsidRPr="00C95DE7">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analysing the situation from the interviewee's point of view</w:t>
            </w:r>
          </w:p>
          <w:p w:rsidR="00000000" w:rsidRPr="00C95DE7" w:rsidP="00C95DE7">
            <w:pPr>
              <w:pStyle w:val="ListBullet"/>
            </w:pPr>
            <w:r w:rsidRPr="00C95DE7">
              <w:t>avoiding using manipulation or displays of temper</w:t>
            </w:r>
          </w:p>
          <w:p w:rsidR="00000000" w:rsidRPr="00C95DE7" w:rsidP="00C95DE7">
            <w:pPr>
              <w:pStyle w:val="ListBullet"/>
            </w:pPr>
            <w:r w:rsidRPr="00C95DE7">
              <w:t>creating a clear picture of the overall situation</w:t>
            </w:r>
          </w:p>
          <w:p w:rsidR="00000000" w:rsidRPr="00C95DE7" w:rsidP="00C95DE7">
            <w:pPr>
              <w:pStyle w:val="ListBullet"/>
            </w:pPr>
            <w:r w:rsidRPr="00C95DE7">
              <w:t>defining the parameters or constraints of the inquiry and solution</w:t>
            </w:r>
          </w:p>
          <w:p w:rsidR="00000000" w:rsidRPr="00C95DE7" w:rsidP="00C95DE7">
            <w:pPr>
              <w:pStyle w:val="ListBullet"/>
            </w:pPr>
            <w:r w:rsidRPr="00C95DE7">
              <w:t>explaining decisions</w:t>
            </w:r>
          </w:p>
          <w:p w:rsidR="00000000" w:rsidRPr="00C95DE7" w:rsidP="00C95DE7">
            <w:pPr>
              <w:pStyle w:val="ListBullet"/>
            </w:pPr>
            <w:r w:rsidRPr="00C95DE7">
              <w:t>identifying strengths and weaknesses of the case</w:t>
            </w:r>
          </w:p>
          <w:p w:rsidR="00000000" w:rsidRPr="00C95DE7" w:rsidP="00C95DE7">
            <w:pPr>
              <w:pStyle w:val="ListBullet"/>
            </w:pPr>
            <w:r w:rsidRPr="00C95DE7">
              <w:t>judging issues at h</w:t>
            </w:r>
            <w:r w:rsidRPr="00C95DE7">
              <w:t>and and not individuals</w:t>
            </w:r>
          </w:p>
          <w:p w:rsidR="00000000" w:rsidRPr="00C95DE7" w:rsidP="00C95DE7">
            <w:pPr>
              <w:pStyle w:val="ListBullet"/>
            </w:pPr>
            <w:r w:rsidRPr="00C95DE7">
              <w:t>keeping calm and controlling level and pitch of voice</w:t>
            </w:r>
          </w:p>
          <w:p w:rsidR="00000000" w:rsidRPr="00C95DE7" w:rsidP="00C95DE7">
            <w:pPr>
              <w:pStyle w:val="ListBullet"/>
            </w:pPr>
            <w:r w:rsidRPr="00C95DE7">
              <w:t>recognising the existence of difficulty</w:t>
            </w:r>
          </w:p>
          <w:p w:rsidR="00000000" w:rsidRPr="00C95DE7" w:rsidP="00C95DE7">
            <w:pPr>
              <w:pStyle w:val="ListBullet"/>
            </w:pPr>
            <w:r w:rsidRPr="00C95DE7">
              <w:t>restraining from retaliating to interviewee's manipulation or displays of temper</w:t>
            </w:r>
          </w:p>
          <w:p w:rsidR="00000000" w:rsidP="00C95DE7">
            <w:pPr>
              <w:pStyle w:val="ListBullet"/>
              <w:rPr>
                <w:lang w:val="en-NZ"/>
              </w:rPr>
            </w:pPr>
            <w:r w:rsidRPr="00C95DE7">
              <w:t>stating the issues.</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Questioning techniques</w:t>
            </w:r>
            <w:r w:rsidRPr="00C95DE7">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identifying and acknowledging individual differences</w:t>
            </w:r>
          </w:p>
          <w:p w:rsidR="00000000" w:rsidRPr="00C95DE7" w:rsidP="00C95DE7">
            <w:pPr>
              <w:pStyle w:val="ListBullet"/>
            </w:pPr>
            <w:r w:rsidRPr="00C95DE7">
              <w:t>identifying own issues that might impact on effective interviewing, including:</w:t>
            </w:r>
          </w:p>
          <w:p w:rsidR="00000000" w:rsidRPr="00C95DE7" w:rsidP="00C95DE7">
            <w:pPr>
              <w:pStyle w:val="ListBullet2"/>
            </w:pPr>
            <w:r w:rsidRPr="00C95DE7">
              <w:t>job role limitations</w:t>
            </w:r>
          </w:p>
          <w:p w:rsidR="00000000" w:rsidRPr="00C95DE7" w:rsidP="00C95DE7">
            <w:pPr>
              <w:pStyle w:val="ListBullet2"/>
            </w:pPr>
            <w:r w:rsidRPr="00C95DE7">
              <w:t>personal interaction styles</w:t>
            </w:r>
          </w:p>
          <w:p w:rsidR="00000000" w:rsidRPr="00C95DE7" w:rsidP="00C95DE7">
            <w:pPr>
              <w:pStyle w:val="ListBullet2"/>
            </w:pPr>
            <w:r w:rsidRPr="00C95DE7">
              <w:t>personal values</w:t>
            </w:r>
          </w:p>
          <w:p w:rsidR="00000000" w:rsidRPr="00C95DE7" w:rsidP="00C95DE7">
            <w:pPr>
              <w:pStyle w:val="ListBullet"/>
            </w:pPr>
            <w:r w:rsidRPr="00C95DE7">
              <w:t xml:space="preserve">identifying </w:t>
            </w:r>
            <w:r w:rsidRPr="00C95DE7">
              <w:t>legislation and organisational policies, procedures and protocols that impact on effective interviewing, including natural justice</w:t>
            </w:r>
          </w:p>
          <w:p w:rsidR="00000000" w:rsidP="00C95DE7">
            <w:pPr>
              <w:pStyle w:val="ListBullet"/>
              <w:rPr>
                <w:lang w:val="en-NZ"/>
              </w:rPr>
            </w:pPr>
            <w:r w:rsidRPr="00C95DE7">
              <w:t>using open-ended questions.</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Assertiveness skills</w:t>
            </w:r>
            <w:r w:rsidRPr="00C95DE7">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acknowledging rights of self and others</w:t>
            </w:r>
          </w:p>
          <w:p w:rsidR="00000000" w:rsidRPr="00C95DE7" w:rsidP="00C95DE7">
            <w:pPr>
              <w:pStyle w:val="ListBullet"/>
            </w:pPr>
            <w:r w:rsidRPr="00C95DE7">
              <w:t>confronting tactfully</w:t>
            </w:r>
          </w:p>
          <w:p w:rsidR="00000000" w:rsidRPr="00C95DE7" w:rsidP="00C95DE7">
            <w:pPr>
              <w:pStyle w:val="ListBullet"/>
            </w:pPr>
            <w:r w:rsidRPr="00C95DE7">
              <w:t>displaying self-confidence</w:t>
            </w:r>
          </w:p>
          <w:p w:rsidR="00000000" w:rsidRPr="00C95DE7" w:rsidP="00C95DE7">
            <w:pPr>
              <w:pStyle w:val="ListBullet"/>
            </w:pPr>
            <w:r w:rsidRPr="00C95DE7">
              <w:t>giving others an opportunity to state their case</w:t>
            </w:r>
          </w:p>
          <w:p w:rsidR="00000000" w:rsidRPr="00C95DE7" w:rsidP="00C95DE7">
            <w:pPr>
              <w:pStyle w:val="ListBullet"/>
            </w:pPr>
            <w:r w:rsidRPr="00C95DE7">
              <w:t>keeping control of emotions</w:t>
            </w:r>
          </w:p>
          <w:p w:rsidR="00000000" w:rsidRPr="00C95DE7" w:rsidP="00C95DE7">
            <w:pPr>
              <w:pStyle w:val="ListBullet"/>
            </w:pPr>
            <w:r w:rsidRPr="00C95DE7">
              <w:t>keeping control of tone, level and pitch of voice</w:t>
            </w:r>
          </w:p>
          <w:p w:rsidR="00000000" w:rsidRPr="00C95DE7" w:rsidP="00C95DE7">
            <w:pPr>
              <w:pStyle w:val="ListBullet"/>
            </w:pPr>
            <w:r w:rsidRPr="00C95DE7">
              <w:t>maintaining authority without resorting to emotional blackmail or violence</w:t>
            </w:r>
          </w:p>
          <w:p w:rsidR="00000000" w:rsidP="00C95DE7">
            <w:pPr>
              <w:pStyle w:val="ListBullet"/>
              <w:rPr>
                <w:lang w:val="en-NZ"/>
              </w:rPr>
            </w:pPr>
            <w:r w:rsidRPr="00C95DE7">
              <w:t>valuing others.</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Participant's need for assistance</w:t>
            </w:r>
            <w:r w:rsidRPr="00C95DE7">
              <w:t xml:space="preserve"> may be required due to: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age</w:t>
            </w:r>
          </w:p>
          <w:p w:rsidR="00000000" w:rsidRPr="00C95DE7" w:rsidP="00C95DE7">
            <w:pPr>
              <w:pStyle w:val="ListBullet"/>
            </w:pPr>
            <w:r w:rsidRPr="00C95DE7">
              <w:t>culture</w:t>
            </w:r>
          </w:p>
          <w:p w:rsidR="00000000" w:rsidRPr="00C95DE7" w:rsidP="00C95DE7">
            <w:pPr>
              <w:pStyle w:val="ListBullet"/>
            </w:pPr>
            <w:r w:rsidRPr="00C95DE7">
              <w:t>gender</w:t>
            </w:r>
          </w:p>
          <w:p w:rsidR="00000000" w:rsidRPr="00C95DE7" w:rsidP="00C95DE7">
            <w:pPr>
              <w:pStyle w:val="ListBullet"/>
            </w:pPr>
            <w:r w:rsidRPr="00C95DE7">
              <w:t>lack of racing industry experience</w:t>
            </w:r>
          </w:p>
          <w:p w:rsidR="00000000" w:rsidRPr="00C95DE7" w:rsidP="00C95DE7">
            <w:pPr>
              <w:pStyle w:val="ListBullet"/>
            </w:pPr>
            <w:r w:rsidRPr="00C95DE7">
              <w:t>lack of reading or writing skills</w:t>
            </w:r>
          </w:p>
          <w:p w:rsidR="00000000" w:rsidRPr="00C95DE7" w:rsidP="00C95DE7">
            <w:pPr>
              <w:pStyle w:val="ListBullet"/>
            </w:pPr>
            <w:r w:rsidRPr="00C95DE7">
              <w:t>non-English speaking background</w:t>
            </w:r>
          </w:p>
          <w:p w:rsidR="00000000" w:rsidP="00C95DE7">
            <w:pPr>
              <w:pStyle w:val="ListBullet"/>
              <w:rPr>
                <w:lang w:val="en-NZ"/>
              </w:rPr>
            </w:pPr>
            <w:r w:rsidRPr="00C95DE7">
              <w:t>physical or intellectual disability.</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BoldandItalics"/>
              </w:rPr>
              <w:t>Evidence</w:t>
            </w:r>
            <w:r w:rsidRPr="00C95DE7">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 xml:space="preserve">copy of betting </w:t>
            </w:r>
            <w:r w:rsidRPr="00C95DE7">
              <w:t>sheets and fluctuations</w:t>
            </w:r>
          </w:p>
          <w:p w:rsidR="00000000" w:rsidRPr="00C95DE7" w:rsidP="00C95DE7">
            <w:pPr>
              <w:pStyle w:val="ListBullet"/>
            </w:pPr>
            <w:r w:rsidRPr="00C95DE7">
              <w:t>inquiry transcripts</w:t>
            </w:r>
          </w:p>
          <w:p w:rsidR="00000000" w:rsidRPr="00C95DE7" w:rsidP="00C95DE7">
            <w:pPr>
              <w:pStyle w:val="ListBullet"/>
            </w:pPr>
            <w:r w:rsidRPr="00C95DE7">
              <w:t>stewards' reports</w:t>
            </w:r>
          </w:p>
          <w:p w:rsidR="00000000" w:rsidRPr="00C95DE7" w:rsidP="00C95DE7">
            <w:pPr>
              <w:pStyle w:val="ListBullet"/>
            </w:pPr>
            <w:r w:rsidRPr="00C95DE7">
              <w:t>swab materials</w:t>
            </w:r>
          </w:p>
          <w:p w:rsidR="00000000" w:rsidP="00C95DE7">
            <w:pPr>
              <w:pStyle w:val="ListBullet"/>
              <w:rPr>
                <w:lang w:val="en-NZ"/>
              </w:rPr>
            </w:pPr>
            <w:r w:rsidRPr="00C95DE7">
              <w:t>videos.</w:t>
            </w:r>
          </w:p>
        </w:tc>
      </w:tr>
      <w:tr w:rsidTr="00516DC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t xml:space="preserve">Explanations of </w:t>
            </w:r>
            <w:r w:rsidRPr="00C95DE7">
              <w:rPr>
                <w:rStyle w:val="BoldandItalics"/>
              </w:rPr>
              <w:t>participant's right to appeal</w:t>
            </w:r>
            <w:r w:rsidRPr="00C95DE7">
              <w:t xml:space="preserve"> may cover: </w:t>
            </w:r>
          </w:p>
        </w:tc>
        <w:tc>
          <w:tcPr>
            <w:tcW w:w="5023" w:type="dxa"/>
            <w:tcBorders>
              <w:top w:val="nil"/>
              <w:left w:val="nil"/>
              <w:bottom w:val="nil"/>
              <w:right w:val="nil"/>
            </w:tcBorders>
            <w:tcMar>
              <w:top w:w="0" w:type="dxa"/>
              <w:left w:w="62" w:type="dxa"/>
              <w:bottom w:w="0" w:type="dxa"/>
              <w:right w:w="62" w:type="dxa"/>
            </w:tcMar>
          </w:tcPr>
          <w:p w:rsidR="00000000" w:rsidRPr="00C95DE7" w:rsidP="00C95DE7">
            <w:pPr>
              <w:pStyle w:val="ListBullet"/>
            </w:pPr>
            <w:r w:rsidRPr="00C95DE7">
              <w:t>how to obtain relevant documentation</w:t>
            </w:r>
          </w:p>
          <w:p w:rsidR="00000000" w:rsidRPr="00C95DE7" w:rsidP="00C95DE7">
            <w:pPr>
              <w:pStyle w:val="ListBullet"/>
            </w:pPr>
            <w:r w:rsidRPr="00C95DE7">
              <w:t>permitted time frame</w:t>
            </w:r>
          </w:p>
          <w:p w:rsidR="00000000" w:rsidRPr="00C95DE7" w:rsidP="00C95DE7">
            <w:pPr>
              <w:pStyle w:val="ListBullet"/>
            </w:pPr>
            <w:r w:rsidRPr="00C95DE7">
              <w:t>steps involved in appealing a decision</w:t>
            </w:r>
          </w:p>
          <w:p w:rsidR="00000000" w:rsidRPr="00C95DE7" w:rsidP="00C95DE7">
            <w:pPr>
              <w:pStyle w:val="ListBullet"/>
            </w:pPr>
            <w:r w:rsidRPr="00C95DE7">
              <w:t>types of decisions that are eligible for appeal.</w:t>
            </w:r>
          </w:p>
        </w:tc>
      </w:tr>
    </w:tbl>
    <w:p w:rsidR="00516DC5" w:rsidP="00C95DE7">
      <w:pPr>
        <w:pStyle w:val="BodyText"/>
      </w:pPr>
    </w:p>
    <w:p w:rsidR="00516DC5" w:rsidP="00C95DE7">
      <w:pPr>
        <w:pStyle w:val="BodyText"/>
      </w:pPr>
    </w:p>
    <w:p w:rsidR="00000000" w:rsidRPr="00C95DE7" w:rsidP="00C95DE7">
      <w:pPr>
        <w:pStyle w:val="Heading1"/>
      </w:pPr>
      <w:bookmarkStart w:id="12" w:name="O_217386"/>
      <w:bookmarkEnd w:id="12"/>
      <w:r w:rsidRPr="00C95DE7">
        <w:t>Unit Sector(s)</w:t>
      </w:r>
    </w:p>
    <w:tbl>
      <w:tblPr>
        <w:tblW w:w="0" w:type="auto"/>
        <w:tblLayout w:type="fixed"/>
        <w:tblCellMar>
          <w:left w:w="62" w:type="dxa"/>
          <w:right w:w="62" w:type="dxa"/>
        </w:tblCellMar>
        <w:tblLook w:val="0000"/>
      </w:tblPr>
      <w:tblGrid>
        <w:gridCol w:w="2603"/>
        <w:gridCol w:w="5919"/>
      </w:tblGrid>
      <w:tr w:rsidTr="00516DC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Greyhound, harness and thoroughbred racing codes</w:t>
            </w:r>
          </w:p>
        </w:tc>
      </w:tr>
    </w:tbl>
    <w:p w:rsidR="00516DC5" w:rsidP="00C95DE7">
      <w:pPr>
        <w:pStyle w:val="BodyText"/>
      </w:pPr>
    </w:p>
    <w:p w:rsidR="00516DC5" w:rsidP="00C95DE7">
      <w:pPr>
        <w:pStyle w:val="BodyText"/>
      </w:pPr>
    </w:p>
    <w:p w:rsidR="00000000" w:rsidRPr="00C95DE7" w:rsidP="00C95DE7">
      <w:pPr>
        <w:pStyle w:val="Heading1"/>
      </w:pPr>
      <w:bookmarkStart w:id="13" w:name="O_217383"/>
      <w:bookmarkEnd w:id="13"/>
      <w:r w:rsidRPr="00C95DE7">
        <w:t>Co-requisite units</w:t>
      </w:r>
    </w:p>
    <w:tbl>
      <w:tblPr>
        <w:tblW w:w="0" w:type="auto"/>
        <w:tblLayout w:type="fixed"/>
        <w:tblCellMar>
          <w:left w:w="62" w:type="dxa"/>
          <w:right w:w="62" w:type="dxa"/>
        </w:tblCellMar>
        <w:tblLook w:val="0000"/>
      </w:tblPr>
      <w:tblGrid>
        <w:gridCol w:w="2641"/>
        <w:gridCol w:w="1322"/>
        <w:gridCol w:w="4559"/>
      </w:tblGrid>
      <w:tr w:rsidTr="00516DC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C95DE7">
            <w:pPr>
              <w:pStyle w:val="BodyText"/>
              <w:rPr>
                <w:lang w:val="en-NZ"/>
              </w:rPr>
            </w:pPr>
          </w:p>
        </w:tc>
      </w:tr>
      <w:tr w:rsidTr="00516DC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p>
        </w:tc>
      </w:tr>
      <w:tr w:rsidTr="00516DC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C95DE7" w:rsidP="00C95DE7">
            <w:pPr>
              <w:pStyle w:val="BodyText"/>
            </w:pPr>
          </w:p>
        </w:tc>
      </w:tr>
    </w:tbl>
    <w:p w:rsidR="00516DC5" w:rsidP="00C95DE7">
      <w:pPr>
        <w:pStyle w:val="BodyText"/>
      </w:pPr>
    </w:p>
    <w:p w:rsidR="00516DC5" w:rsidP="00C95DE7">
      <w:pPr>
        <w:pStyle w:val="BodyText"/>
      </w:pPr>
    </w:p>
    <w:p w:rsidR="00000000" w:rsidRPr="00C95DE7" w:rsidP="00C95DE7">
      <w:pPr>
        <w:pStyle w:val="Heading1"/>
      </w:pPr>
      <w:bookmarkStart w:id="14" w:name="O_217385"/>
      <w:bookmarkEnd w:id="14"/>
      <w:r w:rsidRPr="00C95DE7">
        <w:t>Functional Area</w:t>
      </w:r>
    </w:p>
    <w:tbl>
      <w:tblPr>
        <w:tblW w:w="0" w:type="auto"/>
        <w:tblLayout w:type="fixed"/>
        <w:tblCellMar>
          <w:left w:w="62" w:type="dxa"/>
          <w:right w:w="62" w:type="dxa"/>
        </w:tblCellMar>
        <w:tblLook w:val="0000"/>
      </w:tblPr>
      <w:tblGrid>
        <w:gridCol w:w="2736"/>
        <w:gridCol w:w="5786"/>
      </w:tblGrid>
      <w:tr w:rsidTr="00516DC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C95DE7">
            <w:pPr>
              <w:pStyle w:val="BodyText"/>
              <w:rPr>
                <w:lang w:val="en-NZ"/>
              </w:rPr>
            </w:pPr>
            <w:r w:rsidRPr="00C95DE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C95DE7" w:rsidP="00C95DE7">
            <w:pPr>
              <w:pStyle w:val="BodyText"/>
            </w:pPr>
            <w:r w:rsidRPr="00C95DE7">
              <w:t>Racing common</w:t>
            </w:r>
          </w:p>
        </w:tc>
      </w:tr>
    </w:tbl>
    <w:p w:rsidR="00516DC5" w:rsidP="00C95DE7">
      <w:pPr>
        <w:pStyle w:val="BodyText"/>
      </w:pPr>
    </w:p>
    <w:p w:rsidR="00516DC5" w:rsidP="00C95DE7">
      <w:pPr>
        <w:pStyle w:val="BodyText"/>
      </w:pPr>
    </w:p>
    <w:p w:rsidR="00000000" w:rsidRPr="00C95DE7" w:rsidP="00C95DE7"/>
    <w:sectPr w:rsidSect="00C95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DC5" w:rsidP="00516D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C5" w:rsidP="00C95D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16DC5" w:rsidP="00C95D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6DC5" w:rsidP="00C95D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E7" w:rsidRPr="00516DC5" w:rsidP="00516D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C5" w:rsidRPr="002D2AF8" w:rsidP="00C95DE7">
    <w:pPr>
      <w:pStyle w:val="Header"/>
      <w:framePr w:wrap="around"/>
    </w:pPr>
    <w:r>
      <w:fldChar w:fldCharType="begin"/>
    </w:r>
    <w:r>
      <w:instrText xml:space="preserve"> TITLE   \* MERGEFORMAT </w:instrText>
    </w:r>
    <w:r>
      <w:fldChar w:fldCharType="separate"/>
    </w:r>
    <w:r>
      <w:t>RGRSTD403A Apply principles of administrative law to investigation and resolution of racing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16DC5" w:rsidP="00C95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08F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29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8F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DE7"/>
    <w:pPr>
      <w:spacing w:before="360" w:after="60"/>
      <w:outlineLvl w:val="0"/>
    </w:pPr>
    <w:rPr>
      <w:sz w:val="32"/>
    </w:rPr>
  </w:style>
  <w:style w:type="paragraph" w:styleId="Heading2">
    <w:name w:val="heading 2"/>
    <w:basedOn w:val="HeadingBase"/>
    <w:next w:val="BodyText"/>
    <w:link w:val="Heading2Char"/>
    <w:qFormat/>
    <w:rsid w:val="00C95DE7"/>
    <w:pPr>
      <w:keepLines/>
      <w:spacing w:before="240" w:after="120"/>
      <w:outlineLvl w:val="1"/>
    </w:pPr>
    <w:rPr>
      <w:sz w:val="28"/>
      <w:szCs w:val="40"/>
    </w:rPr>
  </w:style>
  <w:style w:type="paragraph" w:styleId="Heading3">
    <w:name w:val="heading 3"/>
    <w:basedOn w:val="HeadingBase"/>
    <w:next w:val="BodyText"/>
    <w:link w:val="Heading3Char"/>
    <w:qFormat/>
    <w:rsid w:val="00C95DE7"/>
    <w:pPr>
      <w:spacing w:before="180" w:after="120"/>
      <w:outlineLvl w:val="2"/>
    </w:pPr>
    <w:rPr>
      <w:spacing w:val="-10"/>
      <w:kern w:val="32"/>
    </w:rPr>
  </w:style>
  <w:style w:type="paragraph" w:styleId="Heading4">
    <w:name w:val="heading 4"/>
    <w:basedOn w:val="HeadingBase"/>
    <w:next w:val="BodyText"/>
    <w:link w:val="Heading4Char"/>
    <w:qFormat/>
    <w:rsid w:val="00C95DE7"/>
    <w:pPr>
      <w:spacing w:before="160" w:after="120"/>
      <w:outlineLvl w:val="3"/>
    </w:pPr>
    <w:rPr>
      <w:sz w:val="22"/>
    </w:rPr>
  </w:style>
  <w:style w:type="paragraph" w:styleId="Heading5">
    <w:name w:val="heading 5"/>
    <w:basedOn w:val="HeadingBase"/>
    <w:next w:val="Normal"/>
    <w:link w:val="Heading5Char"/>
    <w:qFormat/>
    <w:rsid w:val="00C95DE7"/>
    <w:pPr>
      <w:spacing w:before="80"/>
      <w:outlineLvl w:val="4"/>
    </w:pPr>
    <w:rPr>
      <w:color w:val="918585"/>
      <w:sz w:val="20"/>
    </w:rPr>
  </w:style>
  <w:style w:type="paragraph" w:styleId="Heading6">
    <w:name w:val="heading 6"/>
    <w:basedOn w:val="HeadingBase"/>
    <w:next w:val="Normal"/>
    <w:link w:val="Heading6Char"/>
    <w:qFormat/>
    <w:rsid w:val="00C95DE7"/>
    <w:pPr>
      <w:spacing w:before="60"/>
      <w:outlineLvl w:val="5"/>
    </w:pPr>
    <w:rPr>
      <w:color w:val="918585"/>
      <w:sz w:val="20"/>
    </w:rPr>
  </w:style>
  <w:style w:type="paragraph" w:styleId="Heading7">
    <w:name w:val="heading 7"/>
    <w:basedOn w:val="Normal"/>
    <w:next w:val="Normal"/>
    <w:link w:val="Heading7Char"/>
    <w:qFormat/>
    <w:rsid w:val="00C95DE7"/>
    <w:pPr>
      <w:ind w:left="720"/>
      <w:outlineLvl w:val="6"/>
    </w:pPr>
    <w:rPr>
      <w:i/>
    </w:rPr>
  </w:style>
  <w:style w:type="paragraph" w:styleId="Heading8">
    <w:name w:val="heading 8"/>
    <w:basedOn w:val="Normal"/>
    <w:next w:val="Normal"/>
    <w:link w:val="Heading8Char"/>
    <w:qFormat/>
    <w:rsid w:val="00C95DE7"/>
    <w:pPr>
      <w:ind w:left="720"/>
      <w:outlineLvl w:val="7"/>
    </w:pPr>
    <w:rPr>
      <w:i/>
    </w:rPr>
  </w:style>
  <w:style w:type="paragraph" w:styleId="Heading9">
    <w:name w:val="heading 9"/>
    <w:basedOn w:val="Normal"/>
    <w:next w:val="Normal"/>
    <w:link w:val="Heading9Char"/>
    <w:qFormat/>
    <w:rsid w:val="00C95DE7"/>
    <w:pPr>
      <w:ind w:left="720"/>
      <w:outlineLvl w:val="8"/>
    </w:pPr>
    <w:rPr>
      <w:i/>
    </w:rPr>
  </w:style>
  <w:style w:type="character" w:default="1" w:styleId="DefaultParagraphFont">
    <w:name w:val="Default Paragraph Font"/>
    <w:uiPriority w:val="1"/>
    <w:unhideWhenUsed/>
    <w:rsid w:val="00C95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DE7"/>
  </w:style>
  <w:style w:type="character" w:customStyle="1" w:styleId="Heading1Char">
    <w:name w:val="Heading 1 Char"/>
    <w:basedOn w:val="DefaultParagraphFont"/>
    <w:link w:val="Heading1"/>
    <w:rsid w:val="00C95DE7"/>
    <w:rPr>
      <w:rFonts w:ascii="Times New Roman" w:eastAsia="Times New Roman" w:hAnsi="Times New Roman" w:cs="Times New Roman"/>
      <w:b/>
      <w:sz w:val="32"/>
      <w:szCs w:val="20"/>
      <w:lang w:eastAsia="en-US"/>
    </w:rPr>
  </w:style>
  <w:style w:type="paragraph" w:styleId="BodyText">
    <w:name w:val="Body Text"/>
    <w:basedOn w:val="Normal"/>
    <w:link w:val="BodyTextChar"/>
    <w:rsid w:val="00C95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DE7"/>
    <w:rPr>
      <w:rFonts w:ascii="Times New Roman" w:eastAsia="Times New Roman" w:hAnsi="Times New Roman" w:cs="Times New Roman"/>
      <w:sz w:val="24"/>
      <w:lang w:eastAsia="en-US"/>
    </w:rPr>
  </w:style>
  <w:style w:type="paragraph" w:styleId="Footer">
    <w:name w:val="footer"/>
    <w:basedOn w:val="Normal"/>
    <w:link w:val="FooterChar"/>
    <w:rsid w:val="00C95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DE7"/>
    <w:rPr>
      <w:rFonts w:ascii="Times New Roman" w:eastAsia="Times New Roman" w:hAnsi="Times New Roman" w:cs="Times New Roman"/>
      <w:sz w:val="16"/>
      <w:lang w:eastAsia="en-US"/>
    </w:rPr>
  </w:style>
  <w:style w:type="paragraph" w:styleId="List">
    <w:name w:val="List"/>
    <w:basedOn w:val="BodyText"/>
    <w:next w:val="BodyText"/>
    <w:rsid w:val="00C95DE7"/>
    <w:pPr>
      <w:tabs>
        <w:tab w:val="left" w:pos="340"/>
      </w:tabs>
      <w:spacing w:before="60" w:after="60"/>
      <w:ind w:left="340" w:hanging="340"/>
    </w:pPr>
  </w:style>
  <w:style w:type="paragraph" w:styleId="ListBullet">
    <w:name w:val="List Bullet"/>
    <w:basedOn w:val="List"/>
    <w:rsid w:val="00C95DE7"/>
    <w:pPr>
      <w:numPr>
        <w:numId w:val="13"/>
      </w:numPr>
      <w:tabs>
        <w:tab w:val="clear" w:pos="340"/>
      </w:tabs>
      <w:spacing w:before="40" w:after="40"/>
    </w:pPr>
  </w:style>
  <w:style w:type="character" w:customStyle="1" w:styleId="SpecialBold">
    <w:name w:val="Special Bold"/>
    <w:basedOn w:val="DefaultParagraphFont"/>
    <w:rsid w:val="00C95DE7"/>
    <w:rPr>
      <w:b/>
      <w:spacing w:val="0"/>
    </w:rPr>
  </w:style>
  <w:style w:type="paragraph" w:styleId="ListBullet2">
    <w:name w:val="List Bullet 2"/>
    <w:basedOn w:val="List2"/>
    <w:rsid w:val="00C95DE7"/>
    <w:pPr>
      <w:numPr>
        <w:numId w:val="14"/>
      </w:numPr>
      <w:tabs>
        <w:tab w:val="clear" w:pos="680"/>
      </w:tabs>
    </w:pPr>
  </w:style>
  <w:style w:type="paragraph" w:customStyle="1" w:styleId="SuperHeading">
    <w:name w:val="SuperHeading"/>
    <w:basedOn w:val="Normal"/>
    <w:rsid w:val="00C95DE7"/>
    <w:pPr>
      <w:spacing w:before="240" w:after="120"/>
      <w:outlineLvl w:val="0"/>
    </w:pPr>
    <w:rPr>
      <w:rFonts w:ascii="Times New Roman" w:hAnsi="Times New Roman"/>
      <w:b/>
      <w:sz w:val="28"/>
    </w:rPr>
  </w:style>
  <w:style w:type="paragraph" w:customStyle="1" w:styleId="AllowPageBreak">
    <w:name w:val="AllowPageBreak"/>
    <w:rsid w:val="00C95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5DE7"/>
    <w:rPr>
      <w:b/>
      <w:i/>
      <w:u w:val="none"/>
    </w:rPr>
  </w:style>
  <w:style w:type="character" w:customStyle="1" w:styleId="Heading2Char">
    <w:name w:val="Heading 2 Char"/>
    <w:basedOn w:val="DefaultParagraphFont"/>
    <w:link w:val="Heading2"/>
    <w:rsid w:val="00C95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DE7"/>
    <w:rPr>
      <w:rFonts w:ascii="Courier New" w:eastAsia="Times New Roman" w:hAnsi="Courier New" w:cs="Times New Roman"/>
      <w:i/>
      <w:szCs w:val="20"/>
      <w:lang w:eastAsia="en-US"/>
    </w:rPr>
  </w:style>
  <w:style w:type="paragraph" w:customStyle="1" w:styleId="HeadingBase">
    <w:name w:val="Heading Base"/>
    <w:rsid w:val="00C95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DE7"/>
    <w:pPr>
      <w:tabs>
        <w:tab w:val="right" w:leader="dot" w:pos="9072"/>
      </w:tabs>
      <w:ind w:left="567"/>
    </w:pPr>
    <w:rPr>
      <w:szCs w:val="22"/>
    </w:rPr>
  </w:style>
  <w:style w:type="paragraph" w:customStyle="1" w:styleId="TOCBase">
    <w:name w:val="TOC Base"/>
    <w:rsid w:val="00C95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DE7"/>
    <w:pPr>
      <w:tabs>
        <w:tab w:val="right" w:leader="dot" w:pos="9072"/>
      </w:tabs>
      <w:spacing w:before="40" w:after="40"/>
      <w:ind w:left="284"/>
    </w:pPr>
    <w:rPr>
      <w:rFonts w:ascii="Times New Roman" w:hAnsi="Times New Roman"/>
    </w:rPr>
  </w:style>
  <w:style w:type="paragraph" w:styleId="TOC1">
    <w:name w:val="toc 1"/>
    <w:basedOn w:val="TOCBase"/>
    <w:next w:val="Normal"/>
    <w:rsid w:val="00C95D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DE7"/>
    <w:pPr>
      <w:spacing w:before="5040"/>
      <w:jc w:val="center"/>
    </w:pPr>
    <w:rPr>
      <w:sz w:val="48"/>
      <w:szCs w:val="72"/>
      <w:lang w:val="en-US"/>
    </w:rPr>
  </w:style>
  <w:style w:type="character" w:customStyle="1" w:styleId="TitleChar">
    <w:name w:val="Title Char"/>
    <w:basedOn w:val="DefaultParagraphFont"/>
    <w:link w:val="Title"/>
    <w:rsid w:val="00C95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DE7"/>
    <w:pPr>
      <w:tabs>
        <w:tab w:val="left" w:pos="3600"/>
        <w:tab w:val="left" w:pos="3958"/>
      </w:tabs>
    </w:pPr>
  </w:style>
  <w:style w:type="paragraph" w:customStyle="1" w:styleId="Note">
    <w:name w:val="Note"/>
    <w:basedOn w:val="BodyText"/>
    <w:rsid w:val="00C95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DE7"/>
    <w:pPr>
      <w:framePr w:wrap="auto" w:hAnchor="text" w:y="6049"/>
    </w:pPr>
    <w:rPr>
      <w:color w:val="000000"/>
      <w:sz w:val="40"/>
    </w:rPr>
  </w:style>
  <w:style w:type="paragraph" w:customStyle="1" w:styleId="TOCTitle">
    <w:name w:val="TOCTitle"/>
    <w:basedOn w:val="Heading1"/>
    <w:rsid w:val="00C95DE7"/>
    <w:pPr>
      <w:spacing w:after="240"/>
      <w:jc w:val="center"/>
      <w:outlineLvl w:val="9"/>
    </w:pPr>
    <w:rPr>
      <w:caps/>
    </w:rPr>
  </w:style>
  <w:style w:type="paragraph" w:customStyle="1" w:styleId="Version">
    <w:name w:val="Version"/>
    <w:rsid w:val="00C95D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DE7"/>
    <w:pPr>
      <w:keepNext w:val="0"/>
      <w:tabs>
        <w:tab w:val="right" w:pos="4176"/>
      </w:tabs>
      <w:ind w:left="198" w:hanging="198"/>
    </w:pPr>
    <w:rPr>
      <w:rFonts w:ascii="Garamond" w:hAnsi="Garamond"/>
    </w:rPr>
  </w:style>
  <w:style w:type="paragraph" w:styleId="IndexHeading">
    <w:name w:val="index heading"/>
    <w:basedOn w:val="Normal"/>
    <w:next w:val="Index1"/>
    <w:semiHidden/>
    <w:rsid w:val="00C95DE7"/>
    <w:pPr>
      <w:spacing w:before="120" w:after="120"/>
    </w:pPr>
    <w:rPr>
      <w:rFonts w:ascii="Arial" w:hAnsi="Arial"/>
      <w:b/>
      <w:color w:val="918585"/>
      <w:sz w:val="24"/>
    </w:rPr>
  </w:style>
  <w:style w:type="paragraph" w:styleId="Header">
    <w:name w:val="header"/>
    <w:basedOn w:val="Normal"/>
    <w:link w:val="HeaderChar"/>
    <w:rsid w:val="00C95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DE7"/>
    <w:rPr>
      <w:rFonts w:ascii="Times New Roman" w:eastAsia="Times New Roman" w:hAnsi="Times New Roman" w:cs="Times New Roman"/>
      <w:sz w:val="16"/>
      <w:szCs w:val="20"/>
      <w:lang w:val="en-GB" w:eastAsia="en-US"/>
    </w:rPr>
  </w:style>
  <w:style w:type="paragraph" w:customStyle="1" w:styleId="Chapter">
    <w:name w:val="Chapter"/>
    <w:basedOn w:val="Normal"/>
    <w:rsid w:val="00C95DE7"/>
    <w:pPr>
      <w:spacing w:before="240"/>
    </w:pPr>
    <w:rPr>
      <w:rFonts w:ascii="Times New Roman" w:hAnsi="Times New Roman"/>
      <w:smallCaps/>
      <w:spacing w:val="80"/>
      <w:sz w:val="28"/>
    </w:rPr>
  </w:style>
  <w:style w:type="paragraph" w:customStyle="1" w:styleId="InChapter">
    <w:name w:val="InChapter"/>
    <w:basedOn w:val="Heading3"/>
    <w:rsid w:val="00C95DE7"/>
    <w:pPr>
      <w:spacing w:after="240"/>
      <w:outlineLvl w:val="9"/>
    </w:pPr>
    <w:rPr>
      <w:noProof/>
    </w:rPr>
  </w:style>
  <w:style w:type="paragraph" w:styleId="Index2">
    <w:name w:val="index 2"/>
    <w:basedOn w:val="Normal"/>
    <w:next w:val="Normal"/>
    <w:semiHidden/>
    <w:rsid w:val="00C95DE7"/>
    <w:pPr>
      <w:tabs>
        <w:tab w:val="right" w:pos="4176"/>
      </w:tabs>
      <w:ind w:left="568" w:hanging="284"/>
    </w:pPr>
    <w:rPr>
      <w:rFonts w:ascii="Garamond" w:hAnsi="Garamond"/>
    </w:rPr>
  </w:style>
  <w:style w:type="paragraph" w:customStyle="1" w:styleId="Byline">
    <w:name w:val="Byline"/>
    <w:rsid w:val="00C95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DE7"/>
    <w:pPr>
      <w:tabs>
        <w:tab w:val="clear" w:pos="3600"/>
        <w:tab w:val="clear" w:pos="3958"/>
      </w:tabs>
      <w:jc w:val="right"/>
    </w:pPr>
  </w:style>
  <w:style w:type="character" w:styleId="Emphasis">
    <w:name w:val="Emphasis"/>
    <w:basedOn w:val="DefaultParagraphFont"/>
    <w:qFormat/>
    <w:rsid w:val="00C95DE7"/>
    <w:rPr>
      <w:i/>
    </w:rPr>
  </w:style>
  <w:style w:type="paragraph" w:styleId="Caption">
    <w:name w:val="caption"/>
    <w:basedOn w:val="BodyText"/>
    <w:next w:val="Normal"/>
    <w:qFormat/>
    <w:rsid w:val="00C95DE7"/>
    <w:pPr>
      <w:framePr w:w="2268" w:hSpace="181" w:vSpace="181" w:wrap="around" w:vAnchor="text" w:hAnchor="page" w:x="1135" w:y="285" w:anchorLock="1"/>
    </w:pPr>
    <w:rPr>
      <w:i/>
    </w:rPr>
  </w:style>
  <w:style w:type="paragraph" w:customStyle="1" w:styleId="MiniTOCTitle">
    <w:name w:val="MiniTOCTitle"/>
    <w:basedOn w:val="Heading4"/>
    <w:rsid w:val="00C95DE7"/>
    <w:pPr>
      <w:spacing w:before="240"/>
      <w:outlineLvl w:val="9"/>
    </w:pPr>
    <w:rPr>
      <w:noProof/>
      <w:sz w:val="24"/>
    </w:rPr>
  </w:style>
  <w:style w:type="paragraph" w:customStyle="1" w:styleId="MiniTOCItem">
    <w:name w:val="MiniTOCItem"/>
    <w:basedOn w:val="ListBullet"/>
    <w:rsid w:val="00C95DE7"/>
    <w:pPr>
      <w:numPr>
        <w:numId w:val="0"/>
      </w:numPr>
      <w:tabs>
        <w:tab w:val="right" w:leader="dot" w:pos="6521"/>
      </w:tabs>
      <w:spacing w:before="0" w:after="0"/>
    </w:pPr>
  </w:style>
  <w:style w:type="paragraph" w:customStyle="1" w:styleId="TOFTitle">
    <w:name w:val="TOFTitle"/>
    <w:basedOn w:val="TOCTitle"/>
    <w:rsid w:val="00C95DE7"/>
  </w:style>
  <w:style w:type="paragraph" w:styleId="TableofFigures">
    <w:name w:val="table of figures"/>
    <w:basedOn w:val="Normal"/>
    <w:next w:val="Normal"/>
    <w:semiHidden/>
    <w:rsid w:val="00C95DE7"/>
    <w:pPr>
      <w:tabs>
        <w:tab w:val="right" w:leader="dot" w:pos="9072"/>
      </w:tabs>
      <w:ind w:left="970" w:hanging="403"/>
    </w:pPr>
    <w:rPr>
      <w:rFonts w:ascii="Times New Roman" w:hAnsi="Times New Roman"/>
      <w:b/>
    </w:rPr>
  </w:style>
  <w:style w:type="paragraph" w:styleId="ListNumber">
    <w:name w:val="List Number"/>
    <w:basedOn w:val="List"/>
    <w:rsid w:val="00C95DE7"/>
    <w:pPr>
      <w:numPr>
        <w:numId w:val="11"/>
      </w:numPr>
    </w:pPr>
  </w:style>
  <w:style w:type="character" w:customStyle="1" w:styleId="WingdingSymbols">
    <w:name w:val="Wingding Symbols"/>
    <w:rsid w:val="00C95DE7"/>
    <w:rPr>
      <w:rFonts w:ascii="Wingdings" w:hAnsi="Wingdings"/>
    </w:rPr>
  </w:style>
  <w:style w:type="paragraph" w:customStyle="1" w:styleId="TableHeading">
    <w:name w:val="Table Heading"/>
    <w:basedOn w:val="HeadingBase"/>
    <w:rsid w:val="00C95DE7"/>
    <w:pPr>
      <w:keepLines/>
      <w:pBdr>
        <w:bottom w:val="single" w:sz="6" w:space="1" w:color="918585"/>
      </w:pBdr>
      <w:spacing w:before="240"/>
    </w:pPr>
  </w:style>
  <w:style w:type="character" w:customStyle="1" w:styleId="HotSpot">
    <w:name w:val="HotSpot"/>
    <w:rsid w:val="00C95DE7"/>
    <w:rPr>
      <w:color w:val="0033CC"/>
      <w:u w:val="none"/>
    </w:rPr>
  </w:style>
  <w:style w:type="paragraph" w:customStyle="1" w:styleId="BodyTextRight">
    <w:name w:val="Body Text Right"/>
    <w:basedOn w:val="BodyText"/>
    <w:rsid w:val="00C95DE7"/>
    <w:pPr>
      <w:spacing w:before="0" w:after="0"/>
      <w:jc w:val="right"/>
    </w:pPr>
  </w:style>
  <w:style w:type="paragraph" w:styleId="Index3">
    <w:name w:val="index 3"/>
    <w:basedOn w:val="ListNumber2"/>
    <w:next w:val="Normal"/>
    <w:semiHidden/>
    <w:rsid w:val="00C95DE7"/>
    <w:pPr>
      <w:numPr>
        <w:numId w:val="0"/>
      </w:numPr>
      <w:tabs>
        <w:tab w:val="right" w:leader="dot" w:pos="4176"/>
      </w:tabs>
    </w:pPr>
  </w:style>
  <w:style w:type="paragraph" w:styleId="ListNumber2">
    <w:name w:val="List Number 2"/>
    <w:basedOn w:val="List2"/>
    <w:rsid w:val="00C95DE7"/>
    <w:pPr>
      <w:numPr>
        <w:numId w:val="10"/>
      </w:numPr>
      <w:tabs>
        <w:tab w:val="clear" w:pos="1060"/>
      </w:tabs>
    </w:pPr>
  </w:style>
  <w:style w:type="paragraph" w:customStyle="1" w:styleId="MarginNote">
    <w:name w:val="Margin Note"/>
    <w:basedOn w:val="BodyText"/>
    <w:rsid w:val="00C95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DE7"/>
    <w:rPr>
      <w:sz w:val="32"/>
    </w:rPr>
  </w:style>
  <w:style w:type="paragraph" w:customStyle="1" w:styleId="HeadingProcedure">
    <w:name w:val="Heading Procedure"/>
    <w:basedOn w:val="HeadingBase"/>
    <w:next w:val="Normal"/>
    <w:rsid w:val="00C95DE7"/>
    <w:pPr>
      <w:tabs>
        <w:tab w:val="left" w:pos="0"/>
      </w:tabs>
      <w:spacing w:before="120" w:after="60"/>
    </w:pPr>
    <w:rPr>
      <w:i/>
      <w:color w:val="918585"/>
      <w:sz w:val="22"/>
    </w:rPr>
  </w:style>
  <w:style w:type="paragraph" w:customStyle="1" w:styleId="TableBodyText">
    <w:name w:val="Table Body Text"/>
    <w:basedOn w:val="BodyText"/>
    <w:rsid w:val="00C95DE7"/>
    <w:pPr>
      <w:spacing w:before="60" w:after="60"/>
    </w:pPr>
  </w:style>
  <w:style w:type="paragraph" w:styleId="ListContinue">
    <w:name w:val="List Continue"/>
    <w:basedOn w:val="List"/>
    <w:rsid w:val="00C95DE7"/>
    <w:pPr>
      <w:ind w:firstLine="0"/>
    </w:pPr>
  </w:style>
  <w:style w:type="paragraph" w:customStyle="1" w:styleId="ListNote">
    <w:name w:val="List Note"/>
    <w:basedOn w:val="List"/>
    <w:rsid w:val="00C95DE7"/>
    <w:pPr>
      <w:pBdr>
        <w:top w:val="single" w:sz="6" w:space="2" w:color="918585"/>
        <w:bottom w:val="single" w:sz="6" w:space="2" w:color="918585"/>
      </w:pBdr>
      <w:tabs>
        <w:tab w:val="left" w:pos="1021"/>
      </w:tabs>
      <w:ind w:firstLine="0"/>
    </w:pPr>
  </w:style>
  <w:style w:type="paragraph" w:customStyle="1" w:styleId="Warning">
    <w:name w:val="Warning"/>
    <w:basedOn w:val="BodyText"/>
    <w:rsid w:val="00C95DE7"/>
    <w:pPr>
      <w:shd w:val="clear" w:color="auto" w:fill="D9D9D9"/>
      <w:tabs>
        <w:tab w:val="left" w:pos="992"/>
      </w:tabs>
      <w:ind w:left="119" w:right="119"/>
    </w:pPr>
    <w:rPr>
      <w:sz w:val="20"/>
    </w:rPr>
  </w:style>
  <w:style w:type="paragraph" w:customStyle="1" w:styleId="MarginIcons">
    <w:name w:val="Margin Icons"/>
    <w:basedOn w:val="BodyText"/>
    <w:rsid w:val="00C95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DE7"/>
    <w:rPr>
      <w:rFonts w:ascii="Courier New" w:hAnsi="Courier New"/>
    </w:rPr>
  </w:style>
  <w:style w:type="paragraph" w:customStyle="1" w:styleId="NoteBullet">
    <w:name w:val="Note Bullet"/>
    <w:basedOn w:val="Note"/>
    <w:rsid w:val="00C95DE7"/>
    <w:pPr>
      <w:tabs>
        <w:tab w:val="clear" w:pos="680"/>
      </w:tabs>
      <w:spacing w:before="60" w:after="60"/>
    </w:pPr>
  </w:style>
  <w:style w:type="paragraph" w:customStyle="1" w:styleId="SubHeading2">
    <w:name w:val="SubHeading2"/>
    <w:basedOn w:val="HeadingBase"/>
    <w:rsid w:val="00C95DE7"/>
    <w:pPr>
      <w:spacing w:before="240" w:after="60"/>
    </w:pPr>
    <w:rPr>
      <w:sz w:val="20"/>
    </w:rPr>
  </w:style>
  <w:style w:type="paragraph" w:customStyle="1" w:styleId="SubHeading1">
    <w:name w:val="SubHeading1"/>
    <w:basedOn w:val="HeadingBase"/>
    <w:rsid w:val="00C95DE7"/>
    <w:pPr>
      <w:spacing w:before="240" w:after="60"/>
    </w:pPr>
    <w:rPr>
      <w:color w:val="918585"/>
      <w:sz w:val="22"/>
    </w:rPr>
  </w:style>
  <w:style w:type="paragraph" w:customStyle="1" w:styleId="SideHeading">
    <w:name w:val="Side Heading"/>
    <w:basedOn w:val="HeadingBase"/>
    <w:rsid w:val="00C95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DE7"/>
    <w:pPr>
      <w:numPr>
        <w:numId w:val="12"/>
      </w:numPr>
    </w:pPr>
  </w:style>
  <w:style w:type="paragraph" w:styleId="PlainText">
    <w:name w:val="Plain Text"/>
    <w:basedOn w:val="Normal"/>
    <w:link w:val="PlainTextChar"/>
    <w:rsid w:val="00C95DE7"/>
    <w:rPr>
      <w:sz w:val="20"/>
    </w:rPr>
  </w:style>
  <w:style w:type="character" w:customStyle="1" w:styleId="PlainTextChar">
    <w:name w:val="Plain Text Char"/>
    <w:basedOn w:val="DefaultParagraphFont"/>
    <w:link w:val="PlainText"/>
    <w:rsid w:val="00C95DE7"/>
    <w:rPr>
      <w:rFonts w:ascii="Courier New" w:eastAsia="Times New Roman" w:hAnsi="Courier New" w:cs="Times New Roman"/>
      <w:sz w:val="20"/>
      <w:szCs w:val="20"/>
      <w:lang w:eastAsia="en-US"/>
    </w:rPr>
  </w:style>
  <w:style w:type="character" w:customStyle="1" w:styleId="MenuOption">
    <w:name w:val="Menu Option"/>
    <w:basedOn w:val="DefaultParagraphFont"/>
    <w:rsid w:val="00C95DE7"/>
    <w:rPr>
      <w:b/>
      <w:smallCaps/>
    </w:rPr>
  </w:style>
  <w:style w:type="paragraph" w:customStyle="1" w:styleId="TableListNumber">
    <w:name w:val="Table List Number"/>
    <w:basedOn w:val="ListNumber"/>
    <w:rsid w:val="00C95DE7"/>
    <w:pPr>
      <w:numPr>
        <w:numId w:val="0"/>
      </w:numPr>
    </w:pPr>
  </w:style>
  <w:style w:type="paragraph" w:styleId="TOC4">
    <w:name w:val="toc 4"/>
    <w:basedOn w:val="TOCBase"/>
    <w:next w:val="Normal"/>
    <w:semiHidden/>
    <w:rsid w:val="00C95DE7"/>
    <w:pPr>
      <w:tabs>
        <w:tab w:val="right" w:leader="dot" w:pos="9071"/>
      </w:tabs>
      <w:ind w:left="1701"/>
    </w:pPr>
  </w:style>
  <w:style w:type="paragraph" w:customStyle="1" w:styleId="ListAlpha">
    <w:name w:val="List Alpha"/>
    <w:basedOn w:val="List"/>
    <w:rsid w:val="00C95DE7"/>
    <w:pPr>
      <w:numPr>
        <w:numId w:val="9"/>
      </w:numPr>
    </w:pPr>
  </w:style>
  <w:style w:type="paragraph" w:customStyle="1" w:styleId="ListAlpha2">
    <w:name w:val="List Alpha 2"/>
    <w:basedOn w:val="List2"/>
    <w:rsid w:val="00C95DE7"/>
    <w:pPr>
      <w:numPr>
        <w:numId w:val="8"/>
      </w:numPr>
    </w:pPr>
  </w:style>
  <w:style w:type="paragraph" w:styleId="List2">
    <w:name w:val="List 2"/>
    <w:basedOn w:val="BodyText"/>
    <w:rsid w:val="00C95DE7"/>
    <w:pPr>
      <w:tabs>
        <w:tab w:val="left" w:pos="680"/>
      </w:tabs>
      <w:spacing w:before="60" w:after="60"/>
      <w:ind w:left="680" w:hanging="340"/>
    </w:pPr>
  </w:style>
  <w:style w:type="paragraph" w:styleId="List3">
    <w:name w:val="List 3"/>
    <w:basedOn w:val="BodyText"/>
    <w:rsid w:val="00C95DE7"/>
    <w:pPr>
      <w:tabs>
        <w:tab w:val="left" w:pos="1021"/>
      </w:tabs>
      <w:spacing w:before="60" w:after="60"/>
      <w:ind w:left="1020" w:hanging="340"/>
    </w:pPr>
  </w:style>
  <w:style w:type="paragraph" w:styleId="List4">
    <w:name w:val="List 4"/>
    <w:basedOn w:val="BodyText"/>
    <w:rsid w:val="00C95DE7"/>
    <w:pPr>
      <w:tabs>
        <w:tab w:val="left" w:pos="1361"/>
      </w:tabs>
      <w:spacing w:before="60" w:after="60"/>
      <w:ind w:left="1361" w:hanging="340"/>
    </w:pPr>
  </w:style>
  <w:style w:type="paragraph" w:styleId="List5">
    <w:name w:val="List 5"/>
    <w:basedOn w:val="BodyText"/>
    <w:rsid w:val="00C95DE7"/>
    <w:pPr>
      <w:tabs>
        <w:tab w:val="left" w:pos="1701"/>
      </w:tabs>
      <w:spacing w:before="60" w:after="60"/>
      <w:ind w:left="1701" w:hanging="340"/>
    </w:pPr>
  </w:style>
  <w:style w:type="paragraph" w:styleId="ListBullet3">
    <w:name w:val="List Bullet 3"/>
    <w:basedOn w:val="List3"/>
    <w:rsid w:val="00C95DE7"/>
    <w:pPr>
      <w:numPr>
        <w:numId w:val="15"/>
      </w:numPr>
      <w:tabs>
        <w:tab w:val="clear" w:pos="1021"/>
      </w:tabs>
      <w:ind w:left="1037" w:hanging="357"/>
    </w:pPr>
  </w:style>
  <w:style w:type="paragraph" w:styleId="ListBullet4">
    <w:name w:val="List Bullet 4"/>
    <w:basedOn w:val="List4"/>
    <w:rsid w:val="00C95DE7"/>
    <w:pPr>
      <w:numPr>
        <w:numId w:val="3"/>
      </w:numPr>
    </w:pPr>
  </w:style>
  <w:style w:type="paragraph" w:styleId="ListBullet5">
    <w:name w:val="List Bullet 5"/>
    <w:basedOn w:val="List5"/>
    <w:rsid w:val="00C95DE7"/>
    <w:pPr>
      <w:numPr>
        <w:numId w:val="4"/>
      </w:numPr>
    </w:pPr>
  </w:style>
  <w:style w:type="paragraph" w:styleId="ListContinue2">
    <w:name w:val="List Continue 2"/>
    <w:basedOn w:val="List2"/>
    <w:rsid w:val="00C95DE7"/>
    <w:pPr>
      <w:ind w:firstLine="0"/>
    </w:pPr>
  </w:style>
  <w:style w:type="paragraph" w:styleId="ListContinue3">
    <w:name w:val="List Continue 3"/>
    <w:basedOn w:val="List3"/>
    <w:rsid w:val="00C95DE7"/>
    <w:pPr>
      <w:ind w:left="1021" w:firstLine="0"/>
    </w:pPr>
  </w:style>
  <w:style w:type="paragraph" w:styleId="ListContinue4">
    <w:name w:val="List Continue 4"/>
    <w:basedOn w:val="List4"/>
    <w:rsid w:val="00C95DE7"/>
    <w:pPr>
      <w:ind w:firstLine="0"/>
    </w:pPr>
  </w:style>
  <w:style w:type="paragraph" w:styleId="ListContinue5">
    <w:name w:val="List Continue 5"/>
    <w:basedOn w:val="List5"/>
    <w:rsid w:val="00C95DE7"/>
    <w:pPr>
      <w:ind w:firstLine="0"/>
    </w:pPr>
  </w:style>
  <w:style w:type="paragraph" w:styleId="ListNumber3">
    <w:name w:val="List Number 3"/>
    <w:basedOn w:val="List3"/>
    <w:rsid w:val="00C95DE7"/>
    <w:pPr>
      <w:numPr>
        <w:numId w:val="5"/>
      </w:numPr>
    </w:pPr>
  </w:style>
  <w:style w:type="paragraph" w:styleId="ListNumber4">
    <w:name w:val="List Number 4"/>
    <w:basedOn w:val="List4"/>
    <w:rsid w:val="00C95DE7"/>
    <w:pPr>
      <w:numPr>
        <w:numId w:val="6"/>
      </w:numPr>
    </w:pPr>
  </w:style>
  <w:style w:type="paragraph" w:styleId="ListNumber5">
    <w:name w:val="List Number 5"/>
    <w:basedOn w:val="List5"/>
    <w:rsid w:val="00C95DE7"/>
    <w:pPr>
      <w:numPr>
        <w:numId w:val="7"/>
      </w:numPr>
    </w:pPr>
  </w:style>
  <w:style w:type="paragraph" w:styleId="BlockText">
    <w:name w:val="Block Text"/>
    <w:basedOn w:val="Normal"/>
    <w:rsid w:val="00C95DE7"/>
    <w:pPr>
      <w:spacing w:after="120"/>
      <w:ind w:left="1440" w:right="1440"/>
    </w:pPr>
  </w:style>
  <w:style w:type="character" w:customStyle="1" w:styleId="Subscript">
    <w:name w:val="Subscript"/>
    <w:basedOn w:val="DefaultParagraphFont"/>
    <w:rsid w:val="00C95DE7"/>
    <w:rPr>
      <w:sz w:val="16"/>
      <w:vertAlign w:val="subscript"/>
    </w:rPr>
  </w:style>
  <w:style w:type="character" w:customStyle="1" w:styleId="Superscript">
    <w:name w:val="Superscript"/>
    <w:basedOn w:val="DefaultParagraphFont"/>
    <w:rsid w:val="00C95DE7"/>
    <w:rPr>
      <w:sz w:val="16"/>
      <w:vertAlign w:val="superscript"/>
    </w:rPr>
  </w:style>
  <w:style w:type="character" w:customStyle="1" w:styleId="Symbols">
    <w:name w:val="Symbols"/>
    <w:basedOn w:val="DefaultParagraphFont"/>
    <w:rsid w:val="00C95DE7"/>
    <w:rPr>
      <w:rFonts w:ascii="Symbol" w:hAnsi="Symbol"/>
    </w:rPr>
  </w:style>
  <w:style w:type="character" w:customStyle="1" w:styleId="MenuOptions">
    <w:name w:val="Menu Options"/>
    <w:basedOn w:val="DefaultParagraphFont"/>
    <w:rsid w:val="00C95DE7"/>
    <w:rPr>
      <w:rFonts w:ascii="Arial Narrow" w:hAnsi="Arial Narrow"/>
      <w:smallCaps/>
    </w:rPr>
  </w:style>
  <w:style w:type="character" w:customStyle="1" w:styleId="Buttons">
    <w:name w:val="Buttons"/>
    <w:basedOn w:val="DefaultParagraphFont"/>
    <w:rsid w:val="00C95DE7"/>
    <w:rPr>
      <w:b/>
    </w:rPr>
  </w:style>
  <w:style w:type="character" w:customStyle="1" w:styleId="Underlined">
    <w:name w:val="Underlined"/>
    <w:basedOn w:val="DefaultParagraphFont"/>
    <w:rsid w:val="00C95DE7"/>
    <w:rPr>
      <w:u w:val="single"/>
    </w:rPr>
  </w:style>
  <w:style w:type="paragraph" w:customStyle="1" w:styleId="TableBodyTextRight">
    <w:name w:val="Table Body Text Right"/>
    <w:basedOn w:val="TableBodyText"/>
    <w:rsid w:val="00C95DE7"/>
    <w:pPr>
      <w:widowControl w:val="0"/>
      <w:autoSpaceDE w:val="0"/>
      <w:autoSpaceDN w:val="0"/>
      <w:adjustRightInd w:val="0"/>
      <w:jc w:val="right"/>
    </w:pPr>
    <w:rPr>
      <w:rFonts w:cs="Arial"/>
      <w:szCs w:val="18"/>
    </w:rPr>
  </w:style>
  <w:style w:type="paragraph" w:customStyle="1" w:styleId="CopyrightText">
    <w:name w:val="Copyright Text"/>
    <w:basedOn w:val="BodyText"/>
    <w:rsid w:val="00C95DE7"/>
    <w:rPr>
      <w:sz w:val="18"/>
    </w:rPr>
  </w:style>
  <w:style w:type="paragraph" w:customStyle="1" w:styleId="BodySmallRight">
    <w:name w:val="Body Small Right"/>
    <w:basedOn w:val="BodyTextRight"/>
    <w:rsid w:val="00C95DE7"/>
    <w:rPr>
      <w:sz w:val="18"/>
      <w:szCs w:val="18"/>
    </w:rPr>
  </w:style>
  <w:style w:type="paragraph" w:customStyle="1" w:styleId="MarginEdition">
    <w:name w:val="Margin Edition"/>
    <w:basedOn w:val="MarginNote"/>
    <w:rsid w:val="00C95DE7"/>
    <w:pPr>
      <w:spacing w:before="0" w:after="0"/>
    </w:pPr>
    <w:rPr>
      <w:rFonts w:ascii="Times New Roman" w:hAnsi="Times New Roman"/>
      <w:color w:val="999999"/>
    </w:rPr>
  </w:style>
  <w:style w:type="paragraph" w:customStyle="1" w:styleId="Spacer">
    <w:name w:val="Spacer"/>
    <w:basedOn w:val="Normal"/>
    <w:rsid w:val="00C95DE7"/>
    <w:rPr>
      <w:sz w:val="2"/>
      <w:szCs w:val="2"/>
    </w:rPr>
  </w:style>
  <w:style w:type="character" w:customStyle="1" w:styleId="Small">
    <w:name w:val="Small"/>
    <w:basedOn w:val="DefaultParagraphFont"/>
    <w:rsid w:val="00C95DE7"/>
    <w:rPr>
      <w:sz w:val="16"/>
    </w:rPr>
  </w:style>
  <w:style w:type="paragraph" w:customStyle="1" w:styleId="WideTable">
    <w:name w:val="Wide Table"/>
    <w:basedOn w:val="Normal"/>
    <w:rsid w:val="00C95DE7"/>
    <w:pPr>
      <w:ind w:left="-1418"/>
    </w:pPr>
    <w:rPr>
      <w:sz w:val="2"/>
      <w:szCs w:val="2"/>
    </w:rPr>
  </w:style>
  <w:style w:type="character" w:styleId="PageNumber">
    <w:name w:val="page number"/>
    <w:basedOn w:val="DefaultParagraphFont"/>
    <w:rsid w:val="00C95DE7"/>
  </w:style>
  <w:style w:type="paragraph" w:styleId="Quote">
    <w:name w:val="Quote"/>
    <w:basedOn w:val="Heading1"/>
    <w:link w:val="QuoteChar"/>
    <w:qFormat/>
    <w:rsid w:val="00C95DE7"/>
    <w:rPr>
      <w:b w:val="0"/>
      <w:sz w:val="72"/>
      <w:szCs w:val="72"/>
      <w:lang w:val="en-NZ"/>
    </w:rPr>
  </w:style>
  <w:style w:type="character" w:customStyle="1" w:styleId="QuoteChar">
    <w:name w:val="Quote Char"/>
    <w:basedOn w:val="DefaultParagraphFont"/>
    <w:link w:val="Quote"/>
    <w:rsid w:val="00C95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DE7"/>
    <w:pPr>
      <w:pageBreakBefore/>
    </w:pPr>
  </w:style>
  <w:style w:type="paragraph" w:customStyle="1" w:styleId="Border">
    <w:name w:val="Border"/>
    <w:basedOn w:val="Normal"/>
    <w:qFormat/>
    <w:rsid w:val="00C95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DE7"/>
    <w:rPr>
      <w:b/>
      <w:bCs/>
      <w:i/>
      <w:iCs/>
      <w:color w:val="auto"/>
    </w:rPr>
  </w:style>
  <w:style w:type="paragraph" w:styleId="IntenseQuote">
    <w:name w:val="Intense Quote"/>
    <w:basedOn w:val="Normal"/>
    <w:next w:val="Normal"/>
    <w:link w:val="IntenseQuoteChar"/>
    <w:uiPriority w:val="30"/>
    <w:qFormat/>
    <w:rsid w:val="00C95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DE7"/>
    <w:rPr>
      <w:smallCaps/>
      <w:color w:val="auto"/>
      <w:u w:val="single"/>
    </w:rPr>
  </w:style>
  <w:style w:type="character" w:styleId="IntenseReference">
    <w:name w:val="Intense Reference"/>
    <w:basedOn w:val="DefaultParagraphFont"/>
    <w:uiPriority w:val="32"/>
    <w:qFormat/>
    <w:rsid w:val="00C95DE7"/>
    <w:rPr>
      <w:b/>
      <w:bCs/>
      <w:smallCaps/>
      <w:color w:val="auto"/>
      <w:spacing w:val="5"/>
      <w:u w:val="single"/>
    </w:rPr>
  </w:style>
  <w:style w:type="paragraph" w:customStyle="1" w:styleId="2ColumnHeading">
    <w:name w:val="2Column Heading"/>
    <w:basedOn w:val="BodyText"/>
    <w:qFormat/>
    <w:rsid w:val="00C95DE7"/>
    <w:pPr>
      <w:spacing w:after="60"/>
      <w:ind w:left="-2268"/>
    </w:pPr>
    <w:rPr>
      <w:b/>
    </w:rPr>
  </w:style>
  <w:style w:type="paragraph" w:customStyle="1" w:styleId="Heading1TOC">
    <w:name w:val="Heading1 TOC"/>
    <w:basedOn w:val="Normal"/>
    <w:qFormat/>
    <w:rsid w:val="00C95DE7"/>
    <w:pPr>
      <w:spacing w:before="240" w:after="120"/>
    </w:pPr>
    <w:rPr>
      <w:rFonts w:ascii="Times New Roman" w:hAnsi="Times New Roman"/>
      <w:b/>
      <w:sz w:val="32"/>
    </w:rPr>
  </w:style>
  <w:style w:type="paragraph" w:customStyle="1" w:styleId="Heading2TOC">
    <w:name w:val="Heading2 TOC"/>
    <w:basedOn w:val="Normal"/>
    <w:qFormat/>
    <w:rsid w:val="00C95DE7"/>
    <w:pPr>
      <w:spacing w:before="240" w:after="60"/>
    </w:pPr>
    <w:rPr>
      <w:rFonts w:ascii="Times New Roman" w:hAnsi="Times New Roman"/>
      <w:b/>
      <w:sz w:val="28"/>
    </w:rPr>
  </w:style>
  <w:style w:type="character" w:customStyle="1" w:styleId="Underline">
    <w:name w:val="Underline"/>
    <w:basedOn w:val="DefaultParagraphFont"/>
    <w:qFormat/>
    <w:rsid w:val="00C95DE7"/>
    <w:rPr>
      <w:u w:val="single"/>
    </w:rPr>
  </w:style>
  <w:style w:type="paragraph" w:styleId="BalloonText">
    <w:name w:val="Balloon Text"/>
    <w:basedOn w:val="Normal"/>
    <w:link w:val="BalloonTextChar"/>
    <w:rsid w:val="00C95DE7"/>
    <w:rPr>
      <w:rFonts w:ascii="Tahoma" w:hAnsi="Tahoma" w:cs="Tahoma"/>
      <w:sz w:val="16"/>
      <w:szCs w:val="16"/>
    </w:rPr>
  </w:style>
  <w:style w:type="character" w:customStyle="1" w:styleId="BalloonTextChar">
    <w:name w:val="Balloon Text Char"/>
    <w:basedOn w:val="DefaultParagraphFont"/>
    <w:link w:val="BalloonText"/>
    <w:rsid w:val="00C95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DE7"/>
    <w:rPr>
      <w:b/>
      <w:color w:val="660033"/>
      <w:spacing w:val="0"/>
    </w:rPr>
  </w:style>
  <w:style w:type="paragraph" w:customStyle="1" w:styleId="Nameditemlist">
    <w:name w:val="Named item list"/>
    <w:basedOn w:val="BodyText"/>
    <w:qFormat/>
    <w:rsid w:val="00C95D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1884</Words>
  <Characters>11947</Characters>
  <Application>Microsoft Office Word</Application>
  <DocSecurity>0</DocSecurity>
  <Lines>381</Lines>
  <Paragraphs>193</Paragraphs>
  <ScaleCrop>false</ScaleCrop>
  <Company>Author-it Software Corporation Ltd.</Company>
  <LinksUpToDate>false</LinksUpToDate>
  <CharactersWithSpaces>13760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RGRSTD403A Apply principles of administrative law to investigation and resolution of racing incidents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2012-10-11T22:44:00Z</dcterms:created>
  <dcterms:modified xsi:type="dcterms:W3CDTF">2012-10-11T22:44:00Z</dcterms:modified>
</cp:coreProperties>
</file>