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F1B" w:rsidP="00265F1B">
      <w:pPr>
        <w:pStyle w:val="Title"/>
      </w:pPr>
      <w:r>
        <w:fldChar w:fldCharType="begin"/>
      </w:r>
      <w:r>
        <w:instrText xml:space="preserve"> TITLE   \* MERGEFORMAT </w:instrText>
      </w:r>
      <w:r>
        <w:fldChar w:fldCharType="separate"/>
      </w:r>
      <w:r>
        <w:t>RGRSTD302A Interpret wagering trends</w:t>
      </w:r>
      <w:r>
        <w:fldChar w:fldCharType="end"/>
      </w:r>
    </w:p>
    <w:p w:rsidR="00265F1B" w:rsidP="00265F1B">
      <w:pPr>
        <w:pStyle w:val="Version"/>
        <w:sectPr w:rsidSect="000F0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BF1" w:rsidP="000F0BF1">
      <w:pPr>
        <w:pStyle w:val="SuperHeading"/>
      </w:pPr>
      <w:r w:rsidRPr="000F0BF1">
        <w:t>RGRSTD302A Interpret wagering trends</w:t>
      </w:r>
    </w:p>
    <w:p w:rsidR="00000000" w:rsidRPr="000F0BF1" w:rsidP="000F0BF1">
      <w:pPr>
        <w:pStyle w:val="Heading1"/>
      </w:pPr>
      <w:bookmarkStart w:id="1" w:name="O_273123"/>
      <w:bookmarkEnd w:id="1"/>
      <w:r w:rsidRPr="000F0BF1">
        <w:t>Modification History</w:t>
      </w:r>
    </w:p>
    <w:p w:rsidR="00000000" w:rsidRPr="000F0BF1" w:rsidP="000F0BF1">
      <w:pPr>
        <w:pStyle w:val="BodyText"/>
      </w:pPr>
      <w:r w:rsidRPr="000F0BF1">
        <w:t>Not Applicable</w:t>
      </w:r>
    </w:p>
    <w:p w:rsidR="00000000" w:rsidRPr="000F0BF1" w:rsidP="000F0BF1">
      <w:pPr>
        <w:pStyle w:val="AllowPageBreak"/>
      </w:pPr>
    </w:p>
    <w:p w:rsidR="00000000" w:rsidRPr="000F0BF1" w:rsidP="000F0BF1">
      <w:pPr>
        <w:pStyle w:val="Heading1"/>
      </w:pPr>
      <w:bookmarkStart w:id="2" w:name="O_217352"/>
      <w:bookmarkEnd w:id="2"/>
      <w:r w:rsidRPr="000F0BF1">
        <w:t>Unit Descriptor</w:t>
      </w:r>
    </w:p>
    <w:tbl>
      <w:tblPr>
        <w:tblW w:w="0" w:type="auto"/>
        <w:tblLayout w:type="fixed"/>
        <w:tblCellMar>
          <w:left w:w="62" w:type="dxa"/>
          <w:right w:w="62" w:type="dxa"/>
        </w:tblCellMar>
        <w:tblLook w:val="0000"/>
      </w:tblPr>
      <w:tblGrid>
        <w:gridCol w:w="2653"/>
        <w:gridCol w:w="5869"/>
      </w:tblGrid>
      <w:tr w:rsidTr="00265F1B">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This unit of competency spec</w:t>
            </w:r>
            <w:r w:rsidRPr="000F0BF1">
              <w:t>ifies the outcomes required to conduct pre-race and race meeting checks of a variety of documentation, including written, audio and visual, to monitor and interpret wagering information. It requires knowledge of the rules of racing related to bookmakers, b</w:t>
            </w:r>
            <w:r w:rsidRPr="000F0BF1">
              <w:t>ookmakers' clerks and other licensed and registered personnel, including owners. It also requires the application of mathematical and analytical skills to interpret wagering trends.</w:t>
            </w:r>
          </w:p>
          <w:p w:rsidR="00000000" w:rsidRPr="000F0BF1" w:rsidP="000F0BF1">
            <w:pPr>
              <w:pStyle w:val="BodyText"/>
            </w:pPr>
            <w:r w:rsidRPr="000F0BF1">
              <w:t>This unit of competency operates in workplace environments of racing admin</w:t>
            </w:r>
            <w:r w:rsidRPr="000F0BF1">
              <w:t xml:space="preserve">istration, kennels, stables, racecourses and public areas. </w:t>
            </w:r>
          </w:p>
          <w:p w:rsidR="00000000" w:rsidRPr="000F0BF1" w:rsidP="000F0BF1">
            <w:pPr>
              <w:pStyle w:val="BodyText"/>
            </w:pPr>
            <w:r w:rsidRPr="000F0BF1">
              <w:t>Greyhound, harness and thoroughbred racing is strictly regulated throughout Australia. All stewards are appointed under the rules of racing by the relevant racing controlling body. For this reason</w:t>
            </w:r>
            <w:r w:rsidRPr="000F0BF1">
              <w:t xml:space="preserve"> enrolment in this unit of competency is restricted to people currently employed as a stipendiary or cadet steward or those who have been approved by a State Principal Racing Authority to undertake this unit.</w:t>
            </w:r>
          </w:p>
        </w:tc>
      </w:tr>
    </w:tbl>
    <w:p w:rsidR="00265F1B" w:rsidP="000F0BF1">
      <w:pPr>
        <w:pStyle w:val="BodyText"/>
      </w:pPr>
    </w:p>
    <w:p w:rsidR="00265F1B" w:rsidP="000F0BF1">
      <w:pPr>
        <w:pStyle w:val="BodyText"/>
      </w:pPr>
    </w:p>
    <w:p w:rsidR="00000000" w:rsidRPr="000F0BF1" w:rsidP="000F0BF1">
      <w:pPr>
        <w:pStyle w:val="Heading1"/>
      </w:pPr>
      <w:bookmarkStart w:id="3" w:name="O_217356"/>
      <w:bookmarkEnd w:id="3"/>
      <w:r w:rsidRPr="000F0BF1">
        <w:t>Application of the Unit</w:t>
      </w:r>
    </w:p>
    <w:tbl>
      <w:tblPr>
        <w:tblW w:w="0" w:type="auto"/>
        <w:tblLayout w:type="fixed"/>
        <w:tblCellMar>
          <w:left w:w="62" w:type="dxa"/>
          <w:right w:w="62" w:type="dxa"/>
        </w:tblCellMar>
        <w:tblLook w:val="0000"/>
      </w:tblPr>
      <w:tblGrid>
        <w:gridCol w:w="2745"/>
        <w:gridCol w:w="5777"/>
      </w:tblGrid>
      <w:tr w:rsidTr="00265F1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This unit of competency supports betting stewards, supervisors and racing officials to perform the job functions associated with interpreting wagering trends.</w:t>
            </w:r>
          </w:p>
          <w:p w:rsidR="00000000" w:rsidRPr="000F0BF1" w:rsidP="000F0BF1">
            <w:pPr>
              <w:pStyle w:val="BodyText"/>
            </w:pPr>
            <w:r w:rsidRPr="000F0BF1">
              <w:t>Competencies attained in this unit apply to the greyhound, harness or tho</w:t>
            </w:r>
            <w:r w:rsidRPr="000F0BF1">
              <w:t xml:space="preserve">roughbred code of the industry. Consequently when performance criteria are applied they will relate to the greyhound code or the harness code or the thoroughbred code, and statements of attainment for this unit will reflect this distinction. </w:t>
            </w:r>
          </w:p>
        </w:tc>
      </w:tr>
    </w:tbl>
    <w:p w:rsidR="00265F1B" w:rsidP="000F0BF1">
      <w:pPr>
        <w:pStyle w:val="BodyText"/>
      </w:pPr>
    </w:p>
    <w:p w:rsidR="00265F1B" w:rsidP="000F0BF1">
      <w:pPr>
        <w:pStyle w:val="BodyText"/>
      </w:pPr>
    </w:p>
    <w:p w:rsidR="00000000" w:rsidRPr="000F0BF1" w:rsidP="000F0BF1">
      <w:pPr>
        <w:pStyle w:val="Heading1"/>
      </w:pPr>
      <w:bookmarkStart w:id="4" w:name="O_281383"/>
      <w:bookmarkEnd w:id="4"/>
      <w:r w:rsidRPr="000F0BF1">
        <w:t>Licensing/Regulatory Information</w:t>
      </w:r>
    </w:p>
    <w:p w:rsidR="00000000" w:rsidRPr="000F0BF1" w:rsidP="000F0BF1">
      <w:pPr>
        <w:pStyle w:val="BodyText"/>
      </w:pPr>
      <w:r w:rsidRPr="000F0BF1">
        <w:t>Not Applicable</w:t>
      </w:r>
    </w:p>
    <w:p w:rsidR="00000000" w:rsidRPr="000F0BF1" w:rsidP="000F0BF1">
      <w:pPr>
        <w:pStyle w:val="AllowPageBreak"/>
      </w:pPr>
    </w:p>
    <w:p w:rsidR="00000000" w:rsidRPr="000F0BF1" w:rsidP="000F0BF1">
      <w:pPr>
        <w:pStyle w:val="Heading1"/>
      </w:pPr>
      <w:bookmarkStart w:id="5" w:name="O_217354"/>
      <w:bookmarkEnd w:id="5"/>
      <w:r w:rsidRPr="000F0BF1">
        <w:t>Pre-Requisites</w:t>
      </w:r>
    </w:p>
    <w:tbl>
      <w:tblPr>
        <w:tblW w:w="0" w:type="auto"/>
        <w:tblLayout w:type="fixed"/>
        <w:tblCellMar>
          <w:left w:w="62" w:type="dxa"/>
          <w:right w:w="62" w:type="dxa"/>
        </w:tblCellMar>
        <w:tblLook w:val="0000"/>
      </w:tblPr>
      <w:tblGrid>
        <w:gridCol w:w="2775"/>
        <w:gridCol w:w="1295"/>
        <w:gridCol w:w="4452"/>
      </w:tblGrid>
      <w:tr w:rsidTr="00265F1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0F0BF1">
            <w:pPr>
              <w:pStyle w:val="BodyText"/>
              <w:rPr>
                <w:lang w:val="en-NZ"/>
              </w:rPr>
            </w:pPr>
          </w:p>
        </w:tc>
      </w:tr>
      <w:tr w:rsidTr="00265F1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p>
        </w:tc>
      </w:tr>
      <w:tr w:rsidTr="00265F1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0F0BF1" w:rsidP="000F0BF1">
            <w:pPr>
              <w:pStyle w:val="BodyText"/>
            </w:pPr>
          </w:p>
        </w:tc>
      </w:tr>
    </w:tbl>
    <w:p w:rsidR="00265F1B" w:rsidP="000F0BF1">
      <w:pPr>
        <w:pStyle w:val="BodyText"/>
      </w:pPr>
    </w:p>
    <w:p w:rsidR="00265F1B" w:rsidP="000F0BF1">
      <w:pPr>
        <w:pStyle w:val="BodyText"/>
      </w:pPr>
    </w:p>
    <w:p w:rsidR="00000000" w:rsidRPr="000F0BF1" w:rsidP="000F0BF1">
      <w:pPr>
        <w:pStyle w:val="Heading1"/>
      </w:pPr>
      <w:bookmarkStart w:id="6" w:name="O_217353"/>
      <w:bookmarkEnd w:id="6"/>
      <w:r w:rsidRPr="000F0BF1">
        <w:t>Employability Skills Information</w:t>
      </w:r>
    </w:p>
    <w:tbl>
      <w:tblPr>
        <w:tblW w:w="0" w:type="auto"/>
        <w:tblLayout w:type="fixed"/>
        <w:tblCellMar>
          <w:left w:w="62" w:type="dxa"/>
          <w:right w:w="62" w:type="dxa"/>
        </w:tblCellMar>
        <w:tblLook w:val="0000"/>
      </w:tblPr>
      <w:tblGrid>
        <w:gridCol w:w="2802"/>
        <w:gridCol w:w="5720"/>
      </w:tblGrid>
      <w:tr w:rsidTr="00265F1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This unit contains employability skills.</w:t>
            </w:r>
          </w:p>
        </w:tc>
      </w:tr>
    </w:tbl>
    <w:p w:rsidR="00265F1B" w:rsidP="000F0BF1">
      <w:pPr>
        <w:pStyle w:val="BodyText"/>
      </w:pPr>
    </w:p>
    <w:p w:rsidR="00265F1B" w:rsidP="000F0BF1">
      <w:pPr>
        <w:pStyle w:val="BodyText"/>
      </w:pPr>
    </w:p>
    <w:p w:rsidR="00000000" w:rsidRPr="000F0BF1" w:rsidP="000F0BF1">
      <w:pPr>
        <w:pStyle w:val="Heading1"/>
      </w:pPr>
      <w:bookmarkStart w:id="7" w:name="O_291169"/>
      <w:bookmarkEnd w:id="7"/>
      <w:r w:rsidRPr="000F0BF1">
        <w:t>Elements and Performance Criteria Pre-Content</w:t>
      </w:r>
    </w:p>
    <w:tbl>
      <w:tblPr>
        <w:tblW w:w="0" w:type="auto"/>
        <w:tblLayout w:type="fixed"/>
        <w:tblCellMar>
          <w:left w:w="62" w:type="dxa"/>
          <w:right w:w="62" w:type="dxa"/>
        </w:tblCellMar>
        <w:tblLook w:val="0000"/>
      </w:tblPr>
      <w:tblGrid>
        <w:gridCol w:w="2566"/>
        <w:gridCol w:w="5956"/>
      </w:tblGrid>
      <w:tr w:rsidTr="00265F1B">
        <w:tblPrEx>
          <w:tblW w:w="0" w:type="auto"/>
          <w:tblLayout w:type="fixed"/>
          <w:tblCellMar>
            <w:left w:w="62" w:type="dxa"/>
            <w:right w:w="62" w:type="dxa"/>
          </w:tblCellMar>
          <w:tblLook w:val="0000"/>
        </w:tblPrEx>
        <w:tc>
          <w:tcPr>
            <w:tcW w:w="2566" w:type="dxa"/>
            <w:tcBorders>
              <w:top w:val="single" w:sz="6" w:space="0" w:color="auto"/>
              <w:left w:val="nil"/>
              <w:bottom w:val="nil"/>
              <w:right w:val="nil"/>
            </w:tcBorders>
            <w:tcMar>
              <w:top w:w="0" w:type="dxa"/>
              <w:left w:w="62" w:type="dxa"/>
              <w:bottom w:w="0" w:type="dxa"/>
              <w:right w:w="62" w:type="dxa"/>
            </w:tcMar>
          </w:tcPr>
          <w:p w:rsidR="00000000" w:rsidP="000F0BF1">
            <w:pPr>
              <w:pStyle w:val="BodyText"/>
              <w:rPr>
                <w:lang w:val="en-NZ"/>
              </w:rPr>
            </w:pPr>
            <w:r w:rsidRPr="000F0BF1">
              <w:t>Elements describe the essential outcomes of a unit of competency.</w:t>
            </w:r>
          </w:p>
        </w:tc>
        <w:tc>
          <w:tcPr>
            <w:tcW w:w="5956" w:type="dxa"/>
            <w:tcBorders>
              <w:top w:val="single" w:sz="6" w:space="0" w:color="auto"/>
              <w:left w:val="nil"/>
              <w:bottom w:val="nil"/>
              <w:right w:val="nil"/>
            </w:tcBorders>
            <w:tcMar>
              <w:top w:w="0" w:type="dxa"/>
              <w:left w:w="62" w:type="dxa"/>
              <w:bottom w:w="0" w:type="dxa"/>
              <w:right w:w="62" w:type="dxa"/>
            </w:tcMar>
          </w:tcPr>
          <w:p w:rsidR="00000000" w:rsidRPr="000F0BF1" w:rsidP="000F0BF1">
            <w:pPr>
              <w:pStyle w:val="BodyText"/>
            </w:pPr>
            <w:r w:rsidRPr="000F0BF1">
              <w:t>Performance criteria describe the performance needed to demonstrate achievement of the element. Where bold italicised text is used, further info</w:t>
            </w:r>
            <w:r w:rsidRPr="000F0BF1">
              <w:t>rmation is detailed in the required skills and knowledge section and the range statement. Assessment of performance is to be consistent with the evidence guide.</w:t>
            </w:r>
          </w:p>
        </w:tc>
      </w:tr>
    </w:tbl>
    <w:p w:rsidR="00000000" w:rsidRPr="000F0BF1" w:rsidP="000F0BF1">
      <w:pPr>
        <w:pStyle w:val="BodyText"/>
      </w:pPr>
    </w:p>
    <w:p w:rsidR="00000000" w:rsidRPr="000F0BF1" w:rsidP="000F0BF1">
      <w:pPr>
        <w:pStyle w:val="AllowPageBreak"/>
      </w:pPr>
    </w:p>
    <w:p w:rsidR="00000000" w:rsidRPr="000F0BF1" w:rsidP="000F0BF1">
      <w:pPr>
        <w:pStyle w:val="Heading1"/>
      </w:pPr>
      <w:bookmarkStart w:id="8" w:name="O_237837"/>
      <w:bookmarkEnd w:id="8"/>
      <w:r w:rsidRPr="000F0BF1">
        <w:t>Elements and Performance Criteria</w:t>
      </w:r>
    </w:p>
    <w:tbl>
      <w:tblPr>
        <w:tblW w:w="0" w:type="auto"/>
        <w:tblLayout w:type="fixed"/>
        <w:tblCellMar>
          <w:left w:w="62" w:type="dxa"/>
          <w:right w:w="62" w:type="dxa"/>
        </w:tblCellMar>
        <w:tblLook w:val="0000"/>
      </w:tblPr>
      <w:tblGrid>
        <w:gridCol w:w="2566"/>
        <w:gridCol w:w="5956"/>
      </w:tblGrid>
      <w:tr w:rsidTr="00265F1B">
        <w:tblPrEx>
          <w:tblW w:w="0" w:type="auto"/>
          <w:tblLayout w:type="fixed"/>
          <w:tblCellMar>
            <w:left w:w="62" w:type="dxa"/>
            <w:right w:w="62" w:type="dxa"/>
          </w:tblCellMar>
          <w:tblLook w:val="0000"/>
        </w:tblPrEx>
        <w:trPr>
          <w:tblHeader/>
        </w:trPr>
        <w:tc>
          <w:tcPr>
            <w:tcW w:w="2566" w:type="dxa"/>
            <w:tcBorders>
              <w:top w:val="nil"/>
              <w:left w:val="nil"/>
              <w:bottom w:val="single" w:sz="6" w:space="0" w:color="auto"/>
              <w:right w:val="nil"/>
            </w:tcBorders>
            <w:tcMar>
              <w:top w:w="0" w:type="dxa"/>
              <w:left w:w="62" w:type="dxa"/>
              <w:bottom w:w="0" w:type="dxa"/>
              <w:right w:w="62" w:type="dxa"/>
            </w:tcMar>
          </w:tcPr>
          <w:p w:rsidR="00000000" w:rsidRPr="000F0BF1" w:rsidP="000F0BF1">
            <w:pPr>
              <w:pStyle w:val="BodyText"/>
            </w:pPr>
            <w:r w:rsidRPr="000F0BF1">
              <w:rPr>
                <w:rStyle w:val="SpecialBold"/>
              </w:rPr>
              <w:t>ELEMENT</w:t>
            </w:r>
          </w:p>
        </w:tc>
        <w:tc>
          <w:tcPr>
            <w:tcW w:w="5956" w:type="dxa"/>
            <w:tcBorders>
              <w:top w:val="nil"/>
              <w:left w:val="nil"/>
              <w:bottom w:val="single" w:sz="6" w:space="0" w:color="auto"/>
              <w:right w:val="nil"/>
            </w:tcBorders>
            <w:tcMar>
              <w:top w:w="0" w:type="dxa"/>
              <w:left w:w="62" w:type="dxa"/>
              <w:bottom w:w="0" w:type="dxa"/>
              <w:right w:w="62" w:type="dxa"/>
            </w:tcMar>
          </w:tcPr>
          <w:p w:rsidR="00000000" w:rsidP="000F0BF1">
            <w:pPr>
              <w:pStyle w:val="BodyText"/>
              <w:rPr>
                <w:lang w:val="en-NZ"/>
              </w:rPr>
            </w:pPr>
            <w:r w:rsidRPr="000F0BF1">
              <w:rPr>
                <w:rStyle w:val="SpecialBold"/>
              </w:rPr>
              <w:t>PERFORMANCE CRITERIA</w:t>
            </w:r>
          </w:p>
        </w:tc>
      </w:tr>
      <w:tr w:rsidTr="00265F1B">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t>Read and interpret wagering information.</w:t>
            </w:r>
          </w:p>
        </w:tc>
        <w:tc>
          <w:tcPr>
            <w:tcW w:w="5956" w:type="dxa"/>
            <w:tcBorders>
              <w:top w:val="nil"/>
              <w:left w:val="nil"/>
              <w:bottom w:val="nil"/>
              <w:right w:val="nil"/>
            </w:tcBorders>
            <w:tcMar>
              <w:top w:w="0" w:type="dxa"/>
              <w:left w:w="62" w:type="dxa"/>
              <w:bottom w:w="0" w:type="dxa"/>
              <w:right w:w="62" w:type="dxa"/>
            </w:tcMar>
          </w:tcPr>
          <w:p w:rsidR="00000000" w:rsidRPr="000F0BF1" w:rsidP="000F0BF1">
            <w:pPr>
              <w:pStyle w:val="List"/>
            </w:pPr>
            <w:r w:rsidRPr="000F0BF1">
              <w:t>1.</w:t>
            </w:r>
            <w:r w:rsidRPr="000F0BF1">
              <w:tab/>
            </w:r>
            <w:r w:rsidRPr="000F0BF1">
              <w:rPr>
                <w:rStyle w:val="BoldandItalics"/>
              </w:rPr>
              <w:t>Industry jargon and abbreviations</w:t>
            </w:r>
            <w:r w:rsidRPr="000F0BF1">
              <w:t xml:space="preserve"> used in wagering are interpreted. </w:t>
            </w:r>
          </w:p>
          <w:p w:rsidR="00000000" w:rsidRPr="000F0BF1" w:rsidP="000F0BF1">
            <w:pPr>
              <w:pStyle w:val="List"/>
            </w:pPr>
            <w:r w:rsidRPr="000F0BF1">
              <w:t>2.</w:t>
            </w:r>
            <w:r w:rsidRPr="000F0BF1">
              <w:tab/>
            </w:r>
            <w:r w:rsidRPr="000F0BF1">
              <w:rPr>
                <w:rStyle w:val="BoldandItalics"/>
              </w:rPr>
              <w:t>Types of bets</w:t>
            </w:r>
            <w:r w:rsidRPr="000F0BF1">
              <w:t xml:space="preserve"> available are explained. </w:t>
            </w:r>
          </w:p>
          <w:p w:rsidR="00000000" w:rsidRPr="000F0BF1" w:rsidP="000F0BF1">
            <w:pPr>
              <w:pStyle w:val="List"/>
            </w:pPr>
            <w:r w:rsidRPr="000F0BF1">
              <w:t>3.</w:t>
            </w:r>
            <w:r w:rsidRPr="000F0BF1">
              <w:tab/>
              <w:t>Bookmakers' ledgers are interpreted.</w:t>
            </w:r>
          </w:p>
          <w:p w:rsidR="00000000" w:rsidP="000F0BF1">
            <w:pPr>
              <w:pStyle w:val="List"/>
              <w:rPr>
                <w:lang w:val="en-NZ"/>
              </w:rPr>
            </w:pPr>
            <w:r w:rsidRPr="000F0BF1">
              <w:t>4.</w:t>
            </w:r>
            <w:r w:rsidRPr="000F0BF1">
              <w:tab/>
              <w:t>Information provided on totalisators and other betting or</w:t>
            </w:r>
            <w:r w:rsidRPr="000F0BF1">
              <w:t xml:space="preserve"> form analysis systems is interpreted.</w:t>
            </w:r>
          </w:p>
        </w:tc>
      </w:tr>
      <w:tr w:rsidTr="00265F1B">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t>Monitor wagering.</w:t>
            </w:r>
          </w:p>
        </w:tc>
        <w:tc>
          <w:tcPr>
            <w:tcW w:w="5956" w:type="dxa"/>
            <w:tcBorders>
              <w:top w:val="nil"/>
              <w:left w:val="nil"/>
              <w:bottom w:val="nil"/>
              <w:right w:val="nil"/>
            </w:tcBorders>
            <w:tcMar>
              <w:top w:w="0" w:type="dxa"/>
              <w:left w:w="62" w:type="dxa"/>
              <w:bottom w:w="0" w:type="dxa"/>
              <w:right w:w="62" w:type="dxa"/>
            </w:tcMar>
          </w:tcPr>
          <w:p w:rsidR="00000000" w:rsidRPr="000F0BF1" w:rsidP="000F0BF1">
            <w:pPr>
              <w:pStyle w:val="List"/>
            </w:pPr>
            <w:r w:rsidRPr="000F0BF1">
              <w:t>5.</w:t>
            </w:r>
            <w:r w:rsidRPr="000F0BF1">
              <w:tab/>
              <w:t>On-course and totalisator wagering trends are monitored.</w:t>
            </w:r>
          </w:p>
          <w:p w:rsidR="00000000" w:rsidP="000F0BF1">
            <w:pPr>
              <w:pStyle w:val="List"/>
              <w:rPr>
                <w:lang w:val="en-NZ"/>
              </w:rPr>
            </w:pPr>
            <w:r w:rsidRPr="000F0BF1">
              <w:t>6.</w:t>
            </w:r>
            <w:r w:rsidRPr="000F0BF1">
              <w:tab/>
              <w:t>Off-course e-betting system wagers are monitored.</w:t>
            </w:r>
          </w:p>
        </w:tc>
      </w:tr>
      <w:tr w:rsidTr="00265F1B">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t>Relate odds offered to current form.</w:t>
            </w:r>
          </w:p>
        </w:tc>
        <w:tc>
          <w:tcPr>
            <w:tcW w:w="5956" w:type="dxa"/>
            <w:tcBorders>
              <w:top w:val="nil"/>
              <w:left w:val="nil"/>
              <w:bottom w:val="nil"/>
              <w:right w:val="nil"/>
            </w:tcBorders>
            <w:tcMar>
              <w:top w:w="0" w:type="dxa"/>
              <w:left w:w="62" w:type="dxa"/>
              <w:bottom w:w="0" w:type="dxa"/>
              <w:right w:w="62" w:type="dxa"/>
            </w:tcMar>
          </w:tcPr>
          <w:p w:rsidR="00000000" w:rsidRPr="000F0BF1" w:rsidP="000F0BF1">
            <w:pPr>
              <w:pStyle w:val="List"/>
            </w:pPr>
            <w:r w:rsidRPr="000F0BF1">
              <w:t>7.</w:t>
            </w:r>
            <w:r w:rsidRPr="000F0BF1">
              <w:tab/>
            </w:r>
            <w:r w:rsidRPr="000F0BF1">
              <w:rPr>
                <w:rStyle w:val="BoldandItalics"/>
              </w:rPr>
              <w:t>Speed maps</w:t>
            </w:r>
            <w:r w:rsidRPr="000F0BF1">
              <w:t xml:space="preserve"> and predicted form are reviewed. </w:t>
            </w:r>
          </w:p>
          <w:p w:rsidR="00000000" w:rsidRPr="000F0BF1" w:rsidP="000F0BF1">
            <w:pPr>
              <w:pStyle w:val="List"/>
            </w:pPr>
            <w:r w:rsidRPr="000F0BF1">
              <w:t>8.</w:t>
            </w:r>
            <w:r w:rsidRPr="000F0BF1">
              <w:tab/>
              <w:t xml:space="preserve">Odds offered by a range of sources are compared to </w:t>
            </w:r>
            <w:r w:rsidRPr="000F0BF1">
              <w:rPr>
                <w:rStyle w:val="BoldandItalics"/>
              </w:rPr>
              <w:t>predicted form</w:t>
            </w:r>
            <w:r w:rsidRPr="000F0BF1">
              <w:t xml:space="preserve"> . </w:t>
            </w:r>
          </w:p>
          <w:p w:rsidR="00000000" w:rsidRPr="000F0BF1" w:rsidP="000F0BF1">
            <w:pPr>
              <w:pStyle w:val="List"/>
            </w:pPr>
            <w:r w:rsidRPr="000F0BF1">
              <w:t>9.</w:t>
            </w:r>
            <w:r w:rsidRPr="000F0BF1">
              <w:tab/>
              <w:t>Race performance is assessed against wagers made and reported.</w:t>
            </w:r>
          </w:p>
        </w:tc>
      </w:tr>
    </w:tbl>
    <w:p w:rsidR="00265F1B" w:rsidP="000F0BF1">
      <w:pPr>
        <w:pStyle w:val="BodyText"/>
      </w:pPr>
    </w:p>
    <w:p w:rsidR="00265F1B" w:rsidP="000F0BF1">
      <w:pPr>
        <w:pStyle w:val="BodyText"/>
      </w:pPr>
    </w:p>
    <w:p w:rsidR="00000000" w:rsidRPr="000F0BF1" w:rsidP="000F0BF1">
      <w:pPr>
        <w:pStyle w:val="Heading1"/>
      </w:pPr>
      <w:bookmarkStart w:id="9" w:name="O_261628"/>
      <w:bookmarkEnd w:id="9"/>
      <w:r w:rsidRPr="000F0BF1">
        <w:t>Required Skills and Knowledge</w:t>
      </w:r>
    </w:p>
    <w:tbl>
      <w:tblPr>
        <w:tblW w:w="0" w:type="auto"/>
        <w:tblLayout w:type="fixed"/>
        <w:tblCellMar>
          <w:left w:w="62" w:type="dxa"/>
          <w:right w:w="62" w:type="dxa"/>
        </w:tblCellMar>
        <w:tblLook w:val="0000"/>
      </w:tblPr>
      <w:tblGrid>
        <w:gridCol w:w="8522"/>
      </w:tblGrid>
      <w:tr w:rsidTr="00265F1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REQUIRED SKILLS AND KNOWLEDGE</w:t>
            </w:r>
          </w:p>
        </w:tc>
      </w:tr>
      <w:tr w:rsidTr="00265F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t>This section describes the skills and knowledge required for this unit.</w:t>
            </w:r>
          </w:p>
        </w:tc>
      </w:tr>
      <w:tr w:rsidTr="00265F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Required skills</w:t>
            </w:r>
          </w:p>
        </w:tc>
      </w:tr>
      <w:tr w:rsidTr="00265F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communicating with senior stewards, racing officials, and licensed and registered personnel using assertive communication techniques to gather, interpret and relay i</w:t>
            </w:r>
            <w:r w:rsidRPr="000F0BF1">
              <w:t>nformation related to wagering trends</w:t>
            </w:r>
          </w:p>
          <w:p w:rsidR="00000000" w:rsidRPr="000F0BF1" w:rsidP="000F0BF1">
            <w:pPr>
              <w:pStyle w:val="ListBullet"/>
            </w:pPr>
            <w:r w:rsidRPr="000F0BF1">
              <w:t>completing duties in accordance with safe operating procedures and nominated time frame</w:t>
            </w:r>
          </w:p>
          <w:p w:rsidR="00000000" w:rsidRPr="000F0BF1" w:rsidP="000F0BF1">
            <w:pPr>
              <w:pStyle w:val="ListBullet"/>
            </w:pPr>
            <w:r w:rsidRPr="000F0BF1">
              <w:t>computer skills, including:</w:t>
            </w:r>
          </w:p>
          <w:p w:rsidR="00000000" w:rsidRPr="000F0BF1" w:rsidP="000F0BF1">
            <w:pPr>
              <w:pStyle w:val="ListBullet2"/>
            </w:pPr>
            <w:r w:rsidRPr="000F0BF1">
              <w:t>data entry and retrieval</w:t>
            </w:r>
          </w:p>
          <w:p w:rsidR="00000000" w:rsidRPr="000F0BF1" w:rsidP="000F0BF1">
            <w:pPr>
              <w:pStyle w:val="ListBullet2"/>
            </w:pPr>
            <w:r w:rsidRPr="000F0BF1">
              <w:t>email and internet</w:t>
            </w:r>
          </w:p>
          <w:p w:rsidR="00000000" w:rsidRPr="000F0BF1" w:rsidP="000F0BF1">
            <w:pPr>
              <w:pStyle w:val="ListBullet2"/>
            </w:pPr>
            <w:r w:rsidRPr="000F0BF1">
              <w:t>spreadsheet applications</w:t>
            </w:r>
          </w:p>
          <w:p w:rsidR="00000000" w:rsidRPr="000F0BF1" w:rsidP="000F0BF1">
            <w:pPr>
              <w:pStyle w:val="ListBullet2"/>
            </w:pPr>
            <w:r w:rsidRPr="000F0BF1">
              <w:t>word processing</w:t>
            </w:r>
          </w:p>
          <w:p w:rsidR="00000000" w:rsidRPr="000F0BF1" w:rsidP="000F0BF1">
            <w:pPr>
              <w:pStyle w:val="ListBullet"/>
            </w:pPr>
            <w:r w:rsidRPr="000F0BF1">
              <w:t>following OHS and environmental work procedures</w:t>
            </w:r>
          </w:p>
          <w:p w:rsidR="00000000" w:rsidRPr="000F0BF1" w:rsidP="000F0BF1">
            <w:pPr>
              <w:pStyle w:val="ListBullet"/>
            </w:pPr>
            <w:r w:rsidRPr="000F0BF1">
              <w:t>identifying individual animals during running of races</w:t>
            </w:r>
          </w:p>
          <w:p w:rsidR="00000000" w:rsidRPr="000F0BF1" w:rsidP="000F0BF1">
            <w:pPr>
              <w:pStyle w:val="ListBullet"/>
            </w:pPr>
            <w:r w:rsidRPr="000F0BF1">
              <w:t>numeracy and analytical skills to interpret odds fluctuations and record results</w:t>
            </w:r>
          </w:p>
          <w:p w:rsidR="00000000" w:rsidRPr="000F0BF1" w:rsidP="000F0BF1">
            <w:pPr>
              <w:pStyle w:val="ListBullet"/>
            </w:pPr>
            <w:r w:rsidRPr="000F0BF1">
              <w:t>operating a range of equipment and technology</w:t>
            </w:r>
          </w:p>
          <w:p w:rsidR="00000000" w:rsidRPr="000F0BF1" w:rsidP="000F0BF1">
            <w:pPr>
              <w:pStyle w:val="ListBullet"/>
            </w:pPr>
            <w:r w:rsidRPr="000F0BF1">
              <w:t>providing clear and concis</w:t>
            </w:r>
            <w:r w:rsidRPr="000F0BF1">
              <w:t>e reports on wagering trends in verbal and written formats</w:t>
            </w:r>
          </w:p>
          <w:p w:rsidR="00000000" w:rsidRPr="000F0BF1" w:rsidP="000F0BF1">
            <w:pPr>
              <w:pStyle w:val="ListBullet"/>
            </w:pPr>
            <w:r w:rsidRPr="000F0BF1">
              <w:t>reading and interpreting workplace documentation, including rules of racing</w:t>
            </w:r>
          </w:p>
          <w:p w:rsidR="00000000" w:rsidRPr="000F0BF1" w:rsidP="000F0BF1">
            <w:pPr>
              <w:pStyle w:val="ListBullet"/>
            </w:pPr>
            <w:r w:rsidRPr="000F0BF1">
              <w:t>relating to people from a range of social, cultural and ethnic backgrounds and with varying physical and mental abilities</w:t>
            </w:r>
          </w:p>
          <w:p w:rsidR="00000000" w:rsidRPr="000F0BF1" w:rsidP="000F0BF1">
            <w:pPr>
              <w:pStyle w:val="ListBullet"/>
            </w:pPr>
            <w:r w:rsidRPr="000F0BF1">
              <w:t>teamwork skills to ensure completion of job tasks</w:t>
            </w:r>
          </w:p>
          <w:p w:rsidR="00000000" w:rsidRPr="000F0BF1" w:rsidP="000F0BF1">
            <w:pPr>
              <w:pStyle w:val="ListBullet"/>
            </w:pPr>
            <w:r w:rsidRPr="000F0BF1">
              <w:t>using video and DVD recording and re-play devices</w:t>
            </w:r>
          </w:p>
          <w:p w:rsidR="00000000" w:rsidP="000F0BF1">
            <w:pPr>
              <w:pStyle w:val="ListBullet"/>
              <w:rPr>
                <w:lang w:val="en-NZ"/>
              </w:rPr>
            </w:pPr>
            <w:r w:rsidRPr="000F0BF1">
              <w:t>written communication skills to complete workplace documentation and reports.</w:t>
            </w:r>
          </w:p>
        </w:tc>
      </w:tr>
      <w:tr w:rsidTr="00265F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Required knowledge</w:t>
            </w:r>
          </w:p>
        </w:tc>
      </w:tr>
      <w:tr w:rsidTr="00265F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communication procedures for communicating with other stewards and officials, including reporting lines within the workplace and wider racing industry</w:t>
            </w:r>
          </w:p>
          <w:p w:rsidR="00000000" w:rsidRPr="000F0BF1" w:rsidP="000F0BF1">
            <w:pPr>
              <w:pStyle w:val="ListBullet"/>
            </w:pPr>
            <w:r w:rsidRPr="000F0BF1">
              <w:t>effect of track conditions and ratings, course layout and rail placement on animal performance</w:t>
            </w:r>
          </w:p>
          <w:p w:rsidR="00000000" w:rsidRPr="000F0BF1" w:rsidP="000F0BF1">
            <w:pPr>
              <w:pStyle w:val="ListBullet"/>
            </w:pPr>
            <w:r w:rsidRPr="000F0BF1">
              <w:t>ethical co</w:t>
            </w:r>
            <w:r w:rsidRPr="000F0BF1">
              <w:t>nduct standards of relevant racing principal authority</w:t>
            </w:r>
          </w:p>
          <w:p w:rsidR="00000000" w:rsidRPr="000F0BF1" w:rsidP="000F0BF1">
            <w:pPr>
              <w:pStyle w:val="ListBullet"/>
            </w:pPr>
            <w:r w:rsidRPr="000F0BF1">
              <w:t>greyhound or racehorse markings</w:t>
            </w:r>
          </w:p>
          <w:p w:rsidR="00000000" w:rsidRPr="000F0BF1" w:rsidP="000F0BF1">
            <w:pPr>
              <w:pStyle w:val="ListBullet"/>
            </w:pPr>
            <w:r w:rsidRPr="000F0BF1">
              <w:t>industry terminology related to wagering and wider racing industry</w:t>
            </w:r>
          </w:p>
          <w:p w:rsidR="00000000" w:rsidRPr="000F0BF1" w:rsidP="000F0BF1">
            <w:pPr>
              <w:pStyle w:val="ListBullet"/>
            </w:pPr>
            <w:r w:rsidRPr="000F0BF1">
              <w:t>OHS and environmental legislative requirements</w:t>
            </w:r>
          </w:p>
          <w:p w:rsidR="00000000" w:rsidRPr="000F0BF1" w:rsidP="000F0BF1">
            <w:pPr>
              <w:pStyle w:val="ListBullet"/>
            </w:pPr>
            <w:r w:rsidRPr="000F0BF1">
              <w:t>odds fluctuations and unusual betting patterns</w:t>
            </w:r>
          </w:p>
          <w:p w:rsidR="00000000" w:rsidRPr="000F0BF1" w:rsidP="000F0BF1">
            <w:pPr>
              <w:pStyle w:val="ListBullet"/>
            </w:pPr>
            <w:r w:rsidRPr="000F0BF1">
              <w:t>organisa</w:t>
            </w:r>
            <w:r w:rsidRPr="000F0BF1">
              <w:t>tional policies and procedures</w:t>
            </w:r>
          </w:p>
          <w:p w:rsidR="00000000" w:rsidRPr="000F0BF1" w:rsidP="000F0BF1">
            <w:pPr>
              <w:pStyle w:val="ListBullet"/>
            </w:pPr>
            <w:r w:rsidRPr="000F0BF1">
              <w:t>principles of effective communication</w:t>
            </w:r>
          </w:p>
          <w:p w:rsidR="00000000" w:rsidRPr="000F0BF1" w:rsidP="000F0BF1">
            <w:pPr>
              <w:pStyle w:val="ListBullet"/>
            </w:pPr>
            <w:r w:rsidRPr="000F0BF1">
              <w:t>procedures for operation and maintenance of office equipment and other technology</w:t>
            </w:r>
          </w:p>
          <w:p w:rsidR="00000000" w:rsidRPr="000F0BF1" w:rsidP="000F0BF1">
            <w:pPr>
              <w:pStyle w:val="ListBullet"/>
            </w:pPr>
            <w:r w:rsidRPr="000F0BF1">
              <w:t>reasons racing animals may not perform as expected</w:t>
            </w:r>
          </w:p>
          <w:p w:rsidR="00000000" w:rsidRPr="000F0BF1" w:rsidP="000F0BF1">
            <w:pPr>
              <w:pStyle w:val="ListBullet"/>
            </w:pPr>
            <w:r w:rsidRPr="000F0BF1">
              <w:t>relevant rules of racing</w:t>
            </w:r>
          </w:p>
          <w:p w:rsidR="00000000" w:rsidRPr="000F0BF1" w:rsidP="000F0BF1">
            <w:pPr>
              <w:pStyle w:val="ListBullet"/>
            </w:pPr>
            <w:r w:rsidRPr="000F0BF1">
              <w:t>reporting requirements for irregularities and problems.</w:t>
            </w:r>
          </w:p>
        </w:tc>
      </w:tr>
    </w:tbl>
    <w:p w:rsidR="00265F1B" w:rsidP="000F0BF1">
      <w:pPr>
        <w:pStyle w:val="BodyText"/>
      </w:pPr>
    </w:p>
    <w:p w:rsidR="00265F1B" w:rsidP="000F0BF1">
      <w:pPr>
        <w:pStyle w:val="BodyText"/>
      </w:pPr>
    </w:p>
    <w:p w:rsidR="00000000" w:rsidRPr="000F0BF1" w:rsidP="000F0BF1">
      <w:pPr>
        <w:pStyle w:val="AllowPageBreak"/>
      </w:pPr>
    </w:p>
    <w:p w:rsidR="00000000" w:rsidRPr="000F0BF1" w:rsidP="000F0BF1">
      <w:pPr>
        <w:pStyle w:val="Heading1"/>
      </w:pPr>
      <w:bookmarkStart w:id="10" w:name="O_245821"/>
      <w:bookmarkEnd w:id="10"/>
      <w:r w:rsidRPr="000F0BF1">
        <w:t>Evidence Guide</w:t>
      </w:r>
    </w:p>
    <w:tbl>
      <w:tblPr>
        <w:tblW w:w="9570" w:type="dxa"/>
        <w:tblLayout w:type="fixed"/>
        <w:tblCellMar>
          <w:left w:w="62" w:type="dxa"/>
          <w:right w:w="62" w:type="dxa"/>
        </w:tblCellMar>
        <w:tblLook w:val="0000"/>
      </w:tblPr>
      <w:tblGrid>
        <w:gridCol w:w="3908"/>
        <w:gridCol w:w="5662"/>
      </w:tblGrid>
      <w:tr w:rsidTr="00265F1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F0BF1">
            <w:pPr>
              <w:pStyle w:val="BodyText"/>
              <w:rPr>
                <w:lang w:val="en-NZ"/>
              </w:rPr>
            </w:pPr>
            <w:r w:rsidRPr="000F0BF1">
              <w:rPr>
                <w:rStyle w:val="SpecialBold"/>
              </w:rPr>
              <w:t>EVIDENCE GUIDE</w:t>
            </w:r>
          </w:p>
        </w:tc>
      </w:tr>
      <w:tr w:rsidTr="00265F1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F0BF1">
            <w:pPr>
              <w:pStyle w:val="BodyText"/>
              <w:rPr>
                <w:lang w:val="en-NZ"/>
              </w:rPr>
            </w:pPr>
            <w:r w:rsidRPr="000F0BF1">
              <w:t>The evidence guide provides advice on assessment and must be read in conjunction with the performance criteria, required skills and knowledge, range statement and the Assessment Guidelines for the Training Package.</w:t>
            </w:r>
          </w:p>
        </w:tc>
      </w:tr>
      <w:tr w:rsidTr="00265F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The evidence required to demonstrate competency in this unit must be relevant to workplace operations and satisfy all of the requirements of the performance criter</w:t>
            </w:r>
            <w:r w:rsidRPr="000F0BF1">
              <w:t>ia, required skills and knowledge and the range statement of this unit and include evidence of the following:</w:t>
            </w:r>
          </w:p>
          <w:p w:rsidR="00000000" w:rsidRPr="000F0BF1" w:rsidP="000F0BF1">
            <w:pPr>
              <w:pStyle w:val="ListBullet"/>
            </w:pPr>
            <w:r w:rsidRPr="000F0BF1">
              <w:t>knowledge of the requirements, procedures and instructions that are to apply when interpreting wagering trends</w:t>
            </w:r>
          </w:p>
          <w:p w:rsidR="00000000" w:rsidRPr="000F0BF1" w:rsidP="000F0BF1">
            <w:pPr>
              <w:pStyle w:val="ListBullet"/>
            </w:pPr>
            <w:r w:rsidRPr="000F0BF1">
              <w:t>demonstration of the ability to an</w:t>
            </w:r>
            <w:r w:rsidRPr="000F0BF1">
              <w:t>alyse race form and predict expected race results, interpret bookmakers' ledgers, totalisators and other systems, and accurately monitor betting fluctuations</w:t>
            </w:r>
          </w:p>
          <w:p w:rsidR="00000000" w:rsidRPr="000F0BF1" w:rsidP="000F0BF1">
            <w:pPr>
              <w:pStyle w:val="ListBullet"/>
            </w:pPr>
            <w:r w:rsidRPr="000F0BF1">
              <w:t>implementation of procedures and timely techniques for the safe, effective and efficient applicati</w:t>
            </w:r>
            <w:r w:rsidRPr="000F0BF1">
              <w:t>on of cadet steward duties</w:t>
            </w:r>
          </w:p>
          <w:p w:rsidR="00000000" w:rsidRPr="000F0BF1" w:rsidP="000F0BF1">
            <w:pPr>
              <w:pStyle w:val="ListBullet"/>
            </w:pPr>
            <w:r w:rsidRPr="000F0BF1">
              <w:t>working with others to undertake and complete the required procedures that meet required outcomes.</w:t>
            </w:r>
          </w:p>
          <w:p w:rsidR="00000000" w:rsidP="000F0BF1">
            <w:pPr>
              <w:pStyle w:val="BodyText"/>
              <w:rPr>
                <w:lang w:val="en-NZ"/>
              </w:rPr>
            </w:pPr>
            <w:r w:rsidRPr="000F0BF1">
              <w:t>Evidence should be collected over a period of time in a range of racing operations and administration-relevant contexts, and inclu</w:t>
            </w:r>
            <w:r w:rsidRPr="000F0BF1">
              <w:t xml:space="preserve">de dealings with an appropriate range of situations. </w:t>
            </w:r>
          </w:p>
        </w:tc>
      </w:tr>
      <w:tr w:rsidTr="00265F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 xml:space="preserve">Competency must be assessed in a racing workplace that provides access to the required resources. Assessment is to occur under standard and </w:t>
            </w:r>
            <w:r w:rsidRPr="000F0BF1">
              <w:t>authorised work practices, safety requirements and environmental constraints. It is to comply with relevant regulatory requirements or Australian Standards requirements.</w:t>
            </w:r>
          </w:p>
          <w:p w:rsidR="00000000" w:rsidRPr="000F0BF1" w:rsidP="000F0BF1">
            <w:pPr>
              <w:pStyle w:val="BodyText"/>
            </w:pPr>
            <w:r w:rsidRPr="000F0BF1">
              <w:t>Assessment of the practical components of this unit will be by observation of relevant</w:t>
            </w:r>
            <w:r w:rsidRPr="000F0BF1">
              <w:t xml:space="preserve"> skills.</w:t>
            </w:r>
          </w:p>
          <w:p w:rsidR="00000000" w:rsidRPr="000F0BF1" w:rsidP="000F0BF1">
            <w:pPr>
              <w:pStyle w:val="BodyText"/>
            </w:pPr>
            <w:r w:rsidRPr="000F0BF1">
              <w:t>The following resources must be available:</w:t>
            </w:r>
          </w:p>
          <w:p w:rsidR="00000000" w:rsidRPr="000F0BF1" w:rsidP="000F0BF1">
            <w:pPr>
              <w:pStyle w:val="ListBullet"/>
            </w:pPr>
            <w:r w:rsidRPr="000F0BF1">
              <w:t>materials and equipment relevant to assessing candidate's ability to interpret wagering trends</w:t>
            </w:r>
          </w:p>
          <w:p w:rsidR="00000000" w:rsidRPr="000F0BF1" w:rsidP="000F0BF1">
            <w:pPr>
              <w:pStyle w:val="ListBullet"/>
            </w:pPr>
            <w:r w:rsidRPr="000F0BF1">
              <w:t>racing administration buildings, race meetings and related facilities</w:t>
            </w:r>
          </w:p>
          <w:p w:rsidR="00000000" w:rsidP="000F0BF1">
            <w:pPr>
              <w:pStyle w:val="ListBullet"/>
              <w:rPr>
                <w:lang w:val="en-NZ"/>
              </w:rPr>
            </w:pPr>
            <w:r w:rsidRPr="000F0BF1">
              <w:t>work instructions and related document</w:t>
            </w:r>
            <w:r w:rsidRPr="000F0BF1">
              <w:t>ation.</w:t>
            </w:r>
          </w:p>
        </w:tc>
      </w:tr>
      <w:tr w:rsidTr="00265F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Assessment methods must satisfy the endorsed Assessment Guidelines of the Racing Training Package.</w:t>
            </w:r>
          </w:p>
          <w:p w:rsidR="00000000" w:rsidRPr="000F0BF1" w:rsidP="000F0BF1">
            <w:pPr>
              <w:pStyle w:val="BodyText"/>
            </w:pPr>
            <w:r w:rsidRPr="000F0BF1">
              <w:t>The suggested strategies for the assessment of this unit are:</w:t>
            </w:r>
          </w:p>
          <w:p w:rsidR="00000000" w:rsidRPr="000F0BF1" w:rsidP="000F0BF1">
            <w:pPr>
              <w:pStyle w:val="ListBullet"/>
            </w:pPr>
            <w:r w:rsidRPr="000F0BF1">
              <w:t>written and/or oral assessment of candidate's required knowledge</w:t>
            </w:r>
          </w:p>
          <w:p w:rsidR="00000000" w:rsidRPr="000F0BF1" w:rsidP="000F0BF1">
            <w:pPr>
              <w:pStyle w:val="ListBullet"/>
            </w:pPr>
            <w:r w:rsidRPr="000F0BF1">
              <w:t>observed, documented and firsthand testimonial evidence of candidate's application of practical tasks</w:t>
            </w:r>
          </w:p>
          <w:p w:rsidR="00000000" w:rsidRPr="000F0BF1" w:rsidP="000F0BF1">
            <w:pPr>
              <w:pStyle w:val="ListBullet"/>
            </w:pPr>
            <w:r w:rsidRPr="000F0BF1">
              <w:t>case studies to assess candidate's ability to provide written and/or oral responses to various scenarios.</w:t>
            </w:r>
          </w:p>
          <w:p w:rsidR="00000000" w:rsidRPr="000F0BF1" w:rsidP="000F0BF1">
            <w:pPr>
              <w:pStyle w:val="BodyText"/>
            </w:pPr>
            <w:r w:rsidRPr="000F0BF1">
              <w:t>Evidence is required to be demonstrated over a p</w:t>
            </w:r>
            <w:r w:rsidRPr="000F0BF1">
              <w:t>eriod of time, therefore where performance is not directly observed any evidence should be authenticated by supervisors or other appropriate persons, at least one of whom should be approved by the State Principal Racing Authority.</w:t>
            </w:r>
          </w:p>
          <w:p w:rsidR="00000000" w:rsidRPr="000F0BF1" w:rsidP="000F0BF1">
            <w:pPr>
              <w:pStyle w:val="BodyText"/>
            </w:pPr>
            <w:r w:rsidRPr="000F0BF1">
              <w:t>This unit may be assessed in a holistic way with other units of competency relevant to the industry sector, workplace and job role, for example:</w:t>
            </w:r>
          </w:p>
          <w:p w:rsidR="00000000" w:rsidRPr="000F0BF1" w:rsidP="000F0BF1">
            <w:pPr>
              <w:pStyle w:val="ListBullet"/>
            </w:pPr>
            <w:r w:rsidRPr="000F0BF1">
              <w:t>RGRCMN001A Comply with the rules of racing and related protocols</w:t>
            </w:r>
          </w:p>
          <w:p w:rsidR="00000000" w:rsidP="000F0BF1">
            <w:pPr>
              <w:pStyle w:val="ListBullet"/>
              <w:rPr>
                <w:lang w:val="en-NZ"/>
              </w:rPr>
            </w:pPr>
            <w:r w:rsidRPr="000F0BF1">
              <w:t>RGRROP408A Perform duties of betting supervis</w:t>
            </w:r>
            <w:r w:rsidRPr="000F0BF1">
              <w:t>or or steward at greyhound or horse race meetings.</w:t>
            </w:r>
          </w:p>
        </w:tc>
      </w:tr>
      <w:tr w:rsidTr="00265F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Assessment methods should reflect workplace demands (e.g. literacy and numeracy demands) and the needs of particular target groups (e.g. people with disabilities, Abori</w:t>
            </w:r>
            <w:r w:rsidRPr="000F0BF1">
              <w:t xml:space="preserve">ginal and Torres Strait Islander people, women, people with a language background other than English, youth and people from low socioeconomic backgrounds). </w:t>
            </w:r>
          </w:p>
        </w:tc>
      </w:tr>
    </w:tbl>
    <w:p w:rsidR="00265F1B" w:rsidP="000F0BF1">
      <w:pPr>
        <w:pStyle w:val="BodyText"/>
      </w:pPr>
    </w:p>
    <w:p w:rsidR="00265F1B" w:rsidP="000F0BF1">
      <w:pPr>
        <w:pStyle w:val="BodyText"/>
      </w:pPr>
    </w:p>
    <w:p w:rsidR="00000000" w:rsidRPr="000F0BF1" w:rsidP="000F0BF1">
      <w:pPr>
        <w:pStyle w:val="Heading1"/>
      </w:pPr>
      <w:bookmarkStart w:id="11" w:name="O_253804"/>
      <w:bookmarkEnd w:id="11"/>
      <w:r w:rsidRPr="000F0BF1">
        <w:t>Range Statement</w:t>
      </w:r>
    </w:p>
    <w:tbl>
      <w:tblPr>
        <w:tblW w:w="0" w:type="auto"/>
        <w:tblLayout w:type="fixed"/>
        <w:tblCellMar>
          <w:left w:w="62" w:type="dxa"/>
          <w:right w:w="62" w:type="dxa"/>
        </w:tblCellMar>
        <w:tblLook w:val="0000"/>
      </w:tblPr>
      <w:tblGrid>
        <w:gridCol w:w="3473"/>
        <w:gridCol w:w="5049"/>
      </w:tblGrid>
      <w:tr w:rsidTr="00265F1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0BF1">
            <w:pPr>
              <w:pStyle w:val="BodyText"/>
              <w:rPr>
                <w:lang w:val="en-NZ"/>
              </w:rPr>
            </w:pPr>
            <w:r w:rsidRPr="000F0BF1">
              <w:rPr>
                <w:rStyle w:val="SpecialBold"/>
              </w:rPr>
              <w:t>RANGE STATEMENT</w:t>
            </w:r>
          </w:p>
        </w:tc>
      </w:tr>
      <w:tr w:rsidTr="00265F1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0F0BF1" w:rsidP="000F0BF1">
            <w:pPr>
              <w:pStyle w:val="BodyText"/>
            </w:pPr>
            <w:r w:rsidRPr="000F0BF1">
              <w:t xml:space="preserve">The range statement relates to the unit of competency as a whole. It allows for different work environments and situations that may affect performance. Bold italicised wording in the performance criteria is detailed below. </w:t>
            </w:r>
          </w:p>
          <w:p w:rsidR="00000000" w:rsidRPr="000F0BF1" w:rsidP="000F0BF1">
            <w:pPr>
              <w:pStyle w:val="BodyText"/>
            </w:pPr>
          </w:p>
          <w:p w:rsidR="00000000" w:rsidRPr="000F0BF1" w:rsidP="000F0BF1">
            <w:pPr>
              <w:pStyle w:val="BodyText"/>
            </w:pPr>
            <w:r w:rsidRPr="000F0BF1">
              <w:t>The range statement provides de</w:t>
            </w:r>
            <w:r w:rsidRPr="000F0BF1">
              <w:t>tails of how this competency can be used in the workplaces of the racing industry to interpret wagering trends. Workplaces include greyhound, harness and thoroughbred racecourses, training tracks and administration buildings.</w:t>
            </w:r>
          </w:p>
          <w:p w:rsidR="00000000" w:rsidRPr="000F0BF1" w:rsidP="000F0BF1">
            <w:pPr>
              <w:pStyle w:val="BodyText"/>
            </w:pPr>
          </w:p>
          <w:p w:rsidR="00000000" w:rsidP="000F0BF1">
            <w:pPr>
              <w:pStyle w:val="BodyText"/>
              <w:rPr>
                <w:lang w:val="en-NZ"/>
              </w:rPr>
            </w:pPr>
            <w:r w:rsidRPr="000F0BF1">
              <w:t xml:space="preserve">Stewards oversee the conduct </w:t>
            </w:r>
            <w:r w:rsidRPr="000F0BF1">
              <w:t>of all racing-related activities within the responsibilities and powers described under the rules of racing. The conditions under which this unit is delivered and assessed must take into consideration these powers and responsibilities. These powers and res</w:t>
            </w:r>
            <w:r w:rsidRPr="000F0BF1">
              <w:t xml:space="preserve">ponsibilities are further described in the rules of racing for the relevant racing code. It is strongly recommended that training facilitators and learners refer to these powers and responsibilities as part of the range of conditions for all units covered </w:t>
            </w:r>
            <w:r w:rsidRPr="000F0BF1">
              <w:t>in the steward specialist area of the Training Package.</w:t>
            </w:r>
          </w:p>
        </w:tc>
      </w:tr>
      <w:tr w:rsidTr="00265F1B">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BoldandItalics"/>
              </w:rPr>
              <w:t>Industry jargon and abbreviations</w:t>
            </w:r>
            <w:r w:rsidRPr="000F0BF1">
              <w:t xml:space="preserve"> may include: </w:t>
            </w:r>
          </w:p>
        </w:tc>
        <w:tc>
          <w:tcPr>
            <w:tcW w:w="5049"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appeared to falter</w:t>
            </w:r>
          </w:p>
          <w:p w:rsidR="00000000" w:rsidRPr="000F0BF1" w:rsidP="000F0BF1">
            <w:pPr>
              <w:pStyle w:val="ListBullet"/>
            </w:pPr>
            <w:r w:rsidRPr="000F0BF1">
              <w:t>barrier or box draw</w:t>
            </w:r>
          </w:p>
          <w:p w:rsidR="00000000" w:rsidRPr="000F0BF1" w:rsidP="000F0BF1">
            <w:pPr>
              <w:pStyle w:val="ListBullet"/>
            </w:pPr>
            <w:r w:rsidRPr="000F0BF1">
              <w:t>came together in the run</w:t>
            </w:r>
          </w:p>
          <w:p w:rsidR="00000000" w:rsidRPr="000F0BF1" w:rsidP="000F0BF1">
            <w:pPr>
              <w:pStyle w:val="ListBullet"/>
            </w:pPr>
            <w:r w:rsidRPr="000F0BF1">
              <w:t>changing stride</w:t>
            </w:r>
          </w:p>
          <w:p w:rsidR="00000000" w:rsidRPr="000F0BF1" w:rsidP="000F0BF1">
            <w:pPr>
              <w:pStyle w:val="ListBullet"/>
            </w:pPr>
            <w:r w:rsidRPr="000F0BF1">
              <w:t>checking</w:t>
            </w:r>
          </w:p>
          <w:p w:rsidR="00000000" w:rsidRPr="000F0BF1" w:rsidP="000F0BF1">
            <w:pPr>
              <w:pStyle w:val="ListBullet"/>
            </w:pPr>
            <w:r w:rsidRPr="000F0BF1">
              <w:t>climbing</w:t>
            </w:r>
          </w:p>
          <w:p w:rsidR="00000000" w:rsidRPr="000F0BF1" w:rsidP="000F0BF1">
            <w:pPr>
              <w:pStyle w:val="ListBullet"/>
            </w:pPr>
            <w:r w:rsidRPr="000F0BF1">
              <w:t>crossing towards the rails</w:t>
            </w:r>
          </w:p>
          <w:p w:rsidR="00000000" w:rsidRPr="000F0BF1" w:rsidP="000F0BF1">
            <w:pPr>
              <w:pStyle w:val="ListBullet"/>
            </w:pPr>
            <w:r w:rsidRPr="000F0BF1">
              <w:t>crowding</w:t>
            </w:r>
          </w:p>
          <w:p w:rsidR="00000000" w:rsidRPr="000F0BF1" w:rsidP="000F0BF1">
            <w:pPr>
              <w:pStyle w:val="ListBullet"/>
            </w:pPr>
            <w:r w:rsidRPr="000F0BF1">
              <w:t>hanging</w:t>
            </w:r>
          </w:p>
          <w:p w:rsidR="00000000" w:rsidRPr="000F0BF1" w:rsidP="000F0BF1">
            <w:pPr>
              <w:pStyle w:val="ListBullet"/>
            </w:pPr>
            <w:r w:rsidRPr="000F0BF1">
              <w:t>jumped smartly</w:t>
            </w:r>
          </w:p>
          <w:p w:rsidR="00000000" w:rsidRPr="000F0BF1" w:rsidP="000F0BF1">
            <w:pPr>
              <w:pStyle w:val="ListBullet"/>
            </w:pPr>
            <w:r w:rsidRPr="000F0BF1">
              <w:t>laying in</w:t>
            </w:r>
          </w:p>
          <w:p w:rsidR="00000000" w:rsidRPr="000F0BF1" w:rsidP="000F0BF1">
            <w:pPr>
              <w:pStyle w:val="ListBullet"/>
            </w:pPr>
            <w:r w:rsidRPr="000F0BF1">
              <w:t>losing ground</w:t>
            </w:r>
          </w:p>
          <w:p w:rsidR="00000000" w:rsidRPr="000F0BF1" w:rsidP="000F0BF1">
            <w:pPr>
              <w:pStyle w:val="ListBullet"/>
            </w:pPr>
            <w:r w:rsidRPr="000F0BF1">
              <w:t>over racing</w:t>
            </w:r>
          </w:p>
          <w:p w:rsidR="00000000" w:rsidRPr="000F0BF1" w:rsidP="000F0BF1">
            <w:pPr>
              <w:pStyle w:val="ListBullet"/>
            </w:pPr>
            <w:r w:rsidRPr="000F0BF1">
              <w:t>race distance</w:t>
            </w:r>
          </w:p>
          <w:p w:rsidR="00000000" w:rsidRPr="000F0BF1" w:rsidP="000F0BF1">
            <w:pPr>
              <w:pStyle w:val="ListBullet"/>
            </w:pPr>
            <w:r w:rsidRPr="000F0BF1">
              <w:t>raced wide</w:t>
            </w:r>
          </w:p>
          <w:p w:rsidR="00000000" w:rsidRPr="000F0BF1" w:rsidP="000F0BF1">
            <w:pPr>
              <w:pStyle w:val="ListBullet"/>
            </w:pPr>
            <w:r w:rsidRPr="000F0BF1">
              <w:t>racing ungenerously</w:t>
            </w:r>
          </w:p>
          <w:p w:rsidR="00000000" w:rsidRPr="000F0BF1" w:rsidP="000F0BF1">
            <w:pPr>
              <w:pStyle w:val="ListBullet"/>
            </w:pPr>
            <w:r w:rsidRPr="000F0BF1">
              <w:t>sectional times</w:t>
            </w:r>
          </w:p>
          <w:p w:rsidR="00000000" w:rsidRPr="000F0BF1" w:rsidP="000F0BF1">
            <w:pPr>
              <w:pStyle w:val="ListBullet"/>
            </w:pPr>
            <w:r w:rsidRPr="000F0BF1">
              <w:t>steadying off the heels</w:t>
            </w:r>
          </w:p>
          <w:p w:rsidR="00000000" w:rsidRPr="000F0BF1" w:rsidP="000F0BF1">
            <w:pPr>
              <w:pStyle w:val="ListBullet"/>
            </w:pPr>
            <w:r w:rsidRPr="000F0BF1">
              <w:t>tailed off</w:t>
            </w:r>
          </w:p>
          <w:p w:rsidR="00000000" w:rsidP="000F0BF1">
            <w:pPr>
              <w:pStyle w:val="ListBullet"/>
              <w:rPr>
                <w:lang w:val="en-NZ"/>
              </w:rPr>
            </w:pPr>
            <w:r w:rsidRPr="000F0BF1">
              <w:t>track condition.</w:t>
            </w:r>
          </w:p>
        </w:tc>
      </w:tr>
      <w:tr w:rsidTr="00265F1B">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BoldandItalics"/>
              </w:rPr>
              <w:t>Types of bets</w:t>
            </w:r>
            <w:r w:rsidRPr="000F0BF1">
              <w:t xml:space="preserve"> may include: </w:t>
            </w:r>
          </w:p>
        </w:tc>
        <w:tc>
          <w:tcPr>
            <w:tcW w:w="5049"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bet-backs</w:t>
            </w:r>
          </w:p>
          <w:p w:rsidR="00000000" w:rsidRPr="000F0BF1" w:rsidP="000F0BF1">
            <w:pPr>
              <w:pStyle w:val="ListBullet"/>
            </w:pPr>
            <w:r w:rsidRPr="000F0BF1">
              <w:t>betting exchange transactions</w:t>
            </w:r>
          </w:p>
          <w:p w:rsidR="00000000" w:rsidRPr="000F0BF1" w:rsidP="000F0BF1">
            <w:pPr>
              <w:pStyle w:val="ListBullet"/>
            </w:pPr>
            <w:r w:rsidRPr="000F0BF1">
              <w:t>daily double</w:t>
            </w:r>
          </w:p>
          <w:p w:rsidR="00000000" w:rsidRPr="000F0BF1" w:rsidP="000F0BF1">
            <w:pPr>
              <w:pStyle w:val="ListBullet"/>
            </w:pPr>
            <w:r w:rsidRPr="000F0BF1">
              <w:t>dividend odds</w:t>
            </w:r>
          </w:p>
          <w:p w:rsidR="00000000" w:rsidRPr="000F0BF1" w:rsidP="000F0BF1">
            <w:pPr>
              <w:pStyle w:val="ListBullet"/>
            </w:pPr>
            <w:r w:rsidRPr="000F0BF1">
              <w:t>each way</w:t>
            </w:r>
          </w:p>
          <w:p w:rsidR="00000000" w:rsidRPr="000F0BF1" w:rsidP="000F0BF1">
            <w:pPr>
              <w:pStyle w:val="ListBullet"/>
            </w:pPr>
            <w:r w:rsidRPr="000F0BF1">
              <w:t>exacta</w:t>
            </w:r>
          </w:p>
          <w:p w:rsidR="00000000" w:rsidRPr="000F0BF1" w:rsidP="000F0BF1">
            <w:pPr>
              <w:pStyle w:val="ListBullet"/>
            </w:pPr>
            <w:r w:rsidRPr="000F0BF1">
              <w:t>electronic betting</w:t>
            </w:r>
          </w:p>
          <w:p w:rsidR="00000000" w:rsidRPr="000F0BF1" w:rsidP="000F0BF1">
            <w:pPr>
              <w:pStyle w:val="ListBullet"/>
            </w:pPr>
            <w:r w:rsidRPr="000F0BF1">
              <w:t>quadrella</w:t>
            </w:r>
          </w:p>
          <w:p w:rsidR="00000000" w:rsidRPr="000F0BF1" w:rsidP="000F0BF1">
            <w:pPr>
              <w:pStyle w:val="ListBullet"/>
            </w:pPr>
            <w:r w:rsidRPr="000F0BF1">
              <w:t>quinella</w:t>
            </w:r>
          </w:p>
          <w:p w:rsidR="00000000" w:rsidRPr="000F0BF1" w:rsidP="000F0BF1">
            <w:pPr>
              <w:pStyle w:val="ListBullet"/>
            </w:pPr>
            <w:r w:rsidRPr="000F0BF1">
              <w:t>sports betting</w:t>
            </w:r>
          </w:p>
          <w:p w:rsidR="00000000" w:rsidRPr="000F0BF1" w:rsidP="000F0BF1">
            <w:pPr>
              <w:pStyle w:val="ListBullet"/>
            </w:pPr>
            <w:r w:rsidRPr="000F0BF1">
              <w:t>telephone betting</w:t>
            </w:r>
          </w:p>
          <w:p w:rsidR="00000000" w:rsidRPr="000F0BF1" w:rsidP="000F0BF1">
            <w:pPr>
              <w:pStyle w:val="ListBullet"/>
            </w:pPr>
            <w:r w:rsidRPr="000F0BF1">
              <w:t>trifecta</w:t>
            </w:r>
          </w:p>
          <w:p w:rsidR="00000000" w:rsidRPr="000F0BF1" w:rsidP="000F0BF1">
            <w:pPr>
              <w:pStyle w:val="ListBullet"/>
            </w:pPr>
            <w:r w:rsidRPr="000F0BF1">
              <w:t>win and place</w:t>
            </w:r>
          </w:p>
          <w:p w:rsidR="00000000" w:rsidP="000F0BF1">
            <w:pPr>
              <w:pStyle w:val="ListBullet"/>
              <w:rPr>
                <w:lang w:val="en-NZ"/>
              </w:rPr>
            </w:pPr>
            <w:r w:rsidRPr="000F0BF1">
              <w:t>win only.</w:t>
            </w:r>
          </w:p>
        </w:tc>
      </w:tr>
      <w:tr w:rsidTr="00265F1B">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BoldandItalics"/>
              </w:rPr>
              <w:t>Speed maps</w:t>
            </w:r>
            <w:r w:rsidRPr="000F0BF1">
              <w:t xml:space="preserve"> may be prepared through use of: </w:t>
            </w:r>
          </w:p>
        </w:tc>
        <w:tc>
          <w:tcPr>
            <w:tcW w:w="5049"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form guides</w:t>
            </w:r>
          </w:p>
          <w:p w:rsidR="00000000" w:rsidRPr="000F0BF1" w:rsidP="000F0BF1">
            <w:pPr>
              <w:pStyle w:val="ListBullet"/>
            </w:pPr>
            <w:r w:rsidRPr="000F0BF1">
              <w:t>race books</w:t>
            </w:r>
          </w:p>
          <w:p w:rsidR="00000000" w:rsidRPr="000F0BF1" w:rsidP="000F0BF1">
            <w:pPr>
              <w:pStyle w:val="ListBullet"/>
            </w:pPr>
            <w:r w:rsidRPr="000F0BF1">
              <w:t>stewards' reports</w:t>
            </w:r>
          </w:p>
          <w:p w:rsidR="00000000" w:rsidP="000F0BF1">
            <w:pPr>
              <w:pStyle w:val="ListBullet"/>
              <w:rPr>
                <w:lang w:val="en-NZ"/>
              </w:rPr>
            </w:pPr>
            <w:r w:rsidRPr="000F0BF1">
              <w:t>other form reviews, including video replays of races, trials and trackwork.</w:t>
            </w:r>
          </w:p>
        </w:tc>
      </w:tr>
      <w:tr w:rsidTr="00265F1B">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BoldandItalics"/>
              </w:rPr>
              <w:t>Impact upon predicted form</w:t>
            </w:r>
            <w:r w:rsidRPr="000F0BF1">
              <w:t xml:space="preserve"> may include: </w:t>
            </w:r>
          </w:p>
        </w:tc>
        <w:tc>
          <w:tcPr>
            <w:tcW w:w="5049" w:type="dxa"/>
            <w:tcBorders>
              <w:top w:val="nil"/>
              <w:left w:val="nil"/>
              <w:bottom w:val="nil"/>
              <w:right w:val="nil"/>
            </w:tcBorders>
            <w:tcMar>
              <w:top w:w="0" w:type="dxa"/>
              <w:left w:w="62" w:type="dxa"/>
              <w:bottom w:w="0" w:type="dxa"/>
              <w:right w:w="62" w:type="dxa"/>
            </w:tcMar>
          </w:tcPr>
          <w:p w:rsidR="00000000" w:rsidRPr="000F0BF1" w:rsidP="000F0BF1">
            <w:pPr>
              <w:pStyle w:val="ListBullet"/>
            </w:pPr>
            <w:r w:rsidRPr="000F0BF1">
              <w:t>class or grading of race</w:t>
            </w:r>
          </w:p>
          <w:p w:rsidR="00000000" w:rsidRPr="000F0BF1" w:rsidP="000F0BF1">
            <w:pPr>
              <w:pStyle w:val="ListBullet"/>
            </w:pPr>
            <w:r w:rsidRPr="000F0BF1">
              <w:t>driver or rider error and experience</w:t>
            </w:r>
          </w:p>
          <w:p w:rsidR="00000000" w:rsidRPr="000F0BF1" w:rsidP="000F0BF1">
            <w:pPr>
              <w:pStyle w:val="ListBullet"/>
            </w:pPr>
            <w:r w:rsidRPr="000F0BF1">
              <w:t>horse's age and number of race or trial starts</w:t>
            </w:r>
          </w:p>
          <w:p w:rsidR="00000000" w:rsidRPr="000F0BF1" w:rsidP="000F0BF1">
            <w:pPr>
              <w:pStyle w:val="ListBullet"/>
            </w:pPr>
            <w:r w:rsidRPr="000F0BF1">
              <w:t>other incidents such as i</w:t>
            </w:r>
            <w:r w:rsidRPr="000F0BF1">
              <w:t>nterference, including:</w:t>
            </w:r>
          </w:p>
          <w:p w:rsidR="00000000" w:rsidRPr="000F0BF1" w:rsidP="000F0BF1">
            <w:pPr>
              <w:pStyle w:val="ListBullet2"/>
            </w:pPr>
            <w:r w:rsidRPr="000F0BF1">
              <w:t>careless driving or riding</w:t>
            </w:r>
          </w:p>
          <w:p w:rsidR="00000000" w:rsidRPr="000F0BF1" w:rsidP="000F0BF1">
            <w:pPr>
              <w:pStyle w:val="ListBullet2"/>
            </w:pPr>
            <w:r w:rsidRPr="000F0BF1">
              <w:t>changes in strategies</w:t>
            </w:r>
          </w:p>
          <w:p w:rsidR="00000000" w:rsidRPr="000F0BF1" w:rsidP="000F0BF1">
            <w:pPr>
              <w:pStyle w:val="ListBullet2"/>
            </w:pPr>
            <w:r w:rsidRPr="000F0BF1">
              <w:t>crossing another horse</w:t>
            </w:r>
          </w:p>
          <w:p w:rsidR="00000000" w:rsidRPr="000F0BF1" w:rsidP="000F0BF1">
            <w:pPr>
              <w:pStyle w:val="ListBullet2"/>
            </w:pPr>
            <w:r w:rsidRPr="000F0BF1">
              <w:t>crowding</w:t>
            </w:r>
          </w:p>
          <w:p w:rsidR="00000000" w:rsidRPr="000F0BF1" w:rsidP="000F0BF1">
            <w:pPr>
              <w:pStyle w:val="ListBullet2"/>
            </w:pPr>
            <w:r w:rsidRPr="000F0BF1">
              <w:t>gear usage</w:t>
            </w:r>
          </w:p>
          <w:p w:rsidR="00000000" w:rsidRPr="000F0BF1" w:rsidP="000F0BF1">
            <w:pPr>
              <w:pStyle w:val="ListBullet2"/>
            </w:pPr>
            <w:r w:rsidRPr="000F0BF1">
              <w:t>hampering</w:t>
            </w:r>
          </w:p>
          <w:p w:rsidR="00000000" w:rsidRPr="000F0BF1" w:rsidP="000F0BF1">
            <w:pPr>
              <w:pStyle w:val="ListBullet2"/>
            </w:pPr>
            <w:r w:rsidRPr="000F0BF1">
              <w:t>injury in running</w:t>
            </w:r>
          </w:p>
          <w:p w:rsidR="00000000" w:rsidRPr="000F0BF1" w:rsidP="000F0BF1">
            <w:pPr>
              <w:pStyle w:val="ListBullet2"/>
            </w:pPr>
            <w:r w:rsidRPr="000F0BF1">
              <w:t>jostling</w:t>
            </w:r>
          </w:p>
          <w:p w:rsidR="00000000" w:rsidRPr="000F0BF1" w:rsidP="000F0BF1">
            <w:pPr>
              <w:pStyle w:val="ListBullet2"/>
            </w:pPr>
            <w:r w:rsidRPr="000F0BF1">
              <w:t>lack of race fitness</w:t>
            </w:r>
          </w:p>
          <w:p w:rsidR="00000000" w:rsidRPr="000F0BF1" w:rsidP="000F0BF1">
            <w:pPr>
              <w:pStyle w:val="ListBullet2"/>
            </w:pPr>
            <w:r w:rsidRPr="000F0BF1">
              <w:t>missing the start</w:t>
            </w:r>
          </w:p>
          <w:p w:rsidR="00000000" w:rsidRPr="000F0BF1" w:rsidP="000F0BF1">
            <w:pPr>
              <w:pStyle w:val="ListBullet2"/>
            </w:pPr>
            <w:r w:rsidRPr="000F0BF1">
              <w:t>taking the running</w:t>
            </w:r>
          </w:p>
          <w:p w:rsidR="00000000" w:rsidRPr="000F0BF1" w:rsidP="000F0BF1">
            <w:pPr>
              <w:pStyle w:val="ListBullet"/>
            </w:pPr>
            <w:r w:rsidRPr="000F0BF1">
              <w:t>variety of tracks and track conditions.</w:t>
            </w:r>
          </w:p>
        </w:tc>
      </w:tr>
    </w:tbl>
    <w:p w:rsidR="00265F1B" w:rsidP="000F0BF1">
      <w:pPr>
        <w:pStyle w:val="BodyText"/>
      </w:pPr>
    </w:p>
    <w:p w:rsidR="00265F1B" w:rsidP="000F0BF1">
      <w:pPr>
        <w:pStyle w:val="BodyText"/>
      </w:pPr>
    </w:p>
    <w:p w:rsidR="00000000" w:rsidRPr="000F0BF1" w:rsidP="000F0BF1">
      <w:pPr>
        <w:pStyle w:val="Heading1"/>
      </w:pPr>
      <w:bookmarkStart w:id="12" w:name="O_217358"/>
      <w:bookmarkEnd w:id="12"/>
      <w:r w:rsidRPr="000F0BF1">
        <w:t>Unit Sector(s)</w:t>
      </w:r>
    </w:p>
    <w:tbl>
      <w:tblPr>
        <w:tblW w:w="0" w:type="auto"/>
        <w:tblLayout w:type="fixed"/>
        <w:tblCellMar>
          <w:left w:w="62" w:type="dxa"/>
          <w:right w:w="62" w:type="dxa"/>
        </w:tblCellMar>
        <w:tblLook w:val="0000"/>
      </w:tblPr>
      <w:tblGrid>
        <w:gridCol w:w="2603"/>
        <w:gridCol w:w="5919"/>
      </w:tblGrid>
      <w:tr w:rsidTr="00265F1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Greyhound, harness and thoroughbred racing codes</w:t>
            </w:r>
          </w:p>
        </w:tc>
      </w:tr>
    </w:tbl>
    <w:p w:rsidR="00265F1B" w:rsidP="000F0BF1">
      <w:pPr>
        <w:pStyle w:val="BodyText"/>
      </w:pPr>
    </w:p>
    <w:p w:rsidR="00265F1B" w:rsidP="000F0BF1">
      <w:pPr>
        <w:pStyle w:val="BodyText"/>
      </w:pPr>
    </w:p>
    <w:p w:rsidR="00000000" w:rsidRPr="000F0BF1" w:rsidP="000F0BF1">
      <w:pPr>
        <w:pStyle w:val="Heading1"/>
      </w:pPr>
      <w:bookmarkStart w:id="13" w:name="O_217355"/>
      <w:bookmarkEnd w:id="13"/>
      <w:r w:rsidRPr="000F0BF1">
        <w:t>Co-requisite units</w:t>
      </w:r>
    </w:p>
    <w:tbl>
      <w:tblPr>
        <w:tblW w:w="0" w:type="auto"/>
        <w:tblLayout w:type="fixed"/>
        <w:tblCellMar>
          <w:left w:w="62" w:type="dxa"/>
          <w:right w:w="62" w:type="dxa"/>
        </w:tblCellMar>
        <w:tblLook w:val="0000"/>
      </w:tblPr>
      <w:tblGrid>
        <w:gridCol w:w="2641"/>
        <w:gridCol w:w="1322"/>
        <w:gridCol w:w="4559"/>
      </w:tblGrid>
      <w:tr w:rsidTr="00265F1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0F0BF1">
            <w:pPr>
              <w:pStyle w:val="BodyText"/>
              <w:rPr>
                <w:lang w:val="en-NZ"/>
              </w:rPr>
            </w:pPr>
          </w:p>
        </w:tc>
      </w:tr>
      <w:tr w:rsidTr="00265F1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p>
        </w:tc>
      </w:tr>
      <w:tr w:rsidTr="00265F1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F0BF1" w:rsidP="000F0BF1">
            <w:pPr>
              <w:pStyle w:val="BodyText"/>
            </w:pPr>
          </w:p>
        </w:tc>
      </w:tr>
    </w:tbl>
    <w:p w:rsidR="00265F1B" w:rsidP="000F0BF1">
      <w:pPr>
        <w:pStyle w:val="BodyText"/>
      </w:pPr>
    </w:p>
    <w:p w:rsidR="00265F1B" w:rsidP="000F0BF1">
      <w:pPr>
        <w:pStyle w:val="BodyText"/>
      </w:pPr>
    </w:p>
    <w:p w:rsidR="00000000" w:rsidRPr="000F0BF1" w:rsidP="000F0BF1">
      <w:pPr>
        <w:pStyle w:val="Heading1"/>
      </w:pPr>
      <w:bookmarkStart w:id="14" w:name="O_217357"/>
      <w:bookmarkEnd w:id="14"/>
      <w:r w:rsidRPr="000F0BF1">
        <w:t>Functional Area</w:t>
      </w:r>
    </w:p>
    <w:tbl>
      <w:tblPr>
        <w:tblW w:w="0" w:type="auto"/>
        <w:tblLayout w:type="fixed"/>
        <w:tblCellMar>
          <w:left w:w="62" w:type="dxa"/>
          <w:right w:w="62" w:type="dxa"/>
        </w:tblCellMar>
        <w:tblLook w:val="0000"/>
      </w:tblPr>
      <w:tblGrid>
        <w:gridCol w:w="2736"/>
        <w:gridCol w:w="5786"/>
      </w:tblGrid>
      <w:tr w:rsidTr="00265F1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F0BF1">
            <w:pPr>
              <w:pStyle w:val="BodyText"/>
              <w:rPr>
                <w:lang w:val="en-NZ"/>
              </w:rPr>
            </w:pPr>
            <w:r w:rsidRPr="000F0BF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F0BF1" w:rsidP="000F0BF1">
            <w:pPr>
              <w:pStyle w:val="BodyText"/>
            </w:pPr>
            <w:r w:rsidRPr="000F0BF1">
              <w:t>Racing common</w:t>
            </w:r>
          </w:p>
        </w:tc>
      </w:tr>
    </w:tbl>
    <w:p w:rsidR="00265F1B" w:rsidP="000F0BF1">
      <w:pPr>
        <w:pStyle w:val="BodyText"/>
      </w:pPr>
    </w:p>
    <w:p w:rsidR="00265F1B" w:rsidP="000F0BF1">
      <w:pPr>
        <w:pStyle w:val="BodyText"/>
      </w:pPr>
    </w:p>
    <w:p w:rsidR="00000000" w:rsidRPr="000F0BF1" w:rsidP="000F0BF1"/>
    <w:sectPr w:rsidSect="000F0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F1B" w:rsidP="00265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1B" w:rsidP="000F0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5F1B" w:rsidP="000F0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5F1B" w:rsidP="000F0B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F1" w:rsidRPr="00265F1B" w:rsidP="00265F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1B" w:rsidP="000F0BF1">
    <w:pPr>
      <w:pStyle w:val="Header"/>
      <w:framePr w:wrap="around"/>
    </w:pPr>
    <w:r>
      <w:fldChar w:fldCharType="begin"/>
    </w:r>
    <w:r>
      <w:instrText xml:space="preserve"> TITLE   \* MERGEFORMAT </w:instrText>
    </w:r>
    <w:r>
      <w:fldChar w:fldCharType="separate"/>
    </w:r>
    <w:r>
      <w:t>RGRSTD302A Interpret wagering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5F1B" w:rsidP="000F0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8B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A5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E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B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0BF1"/>
    <w:pPr>
      <w:spacing w:before="360" w:after="60"/>
      <w:outlineLvl w:val="0"/>
    </w:pPr>
    <w:rPr>
      <w:sz w:val="32"/>
    </w:rPr>
  </w:style>
  <w:style w:type="paragraph" w:styleId="Heading2">
    <w:name w:val="heading 2"/>
    <w:basedOn w:val="HeadingBase"/>
    <w:next w:val="BodyText"/>
    <w:link w:val="Heading2Char"/>
    <w:qFormat/>
    <w:rsid w:val="000F0BF1"/>
    <w:pPr>
      <w:keepLines/>
      <w:spacing w:before="240" w:after="120"/>
      <w:outlineLvl w:val="1"/>
    </w:pPr>
    <w:rPr>
      <w:sz w:val="28"/>
      <w:szCs w:val="40"/>
    </w:rPr>
  </w:style>
  <w:style w:type="paragraph" w:styleId="Heading3">
    <w:name w:val="heading 3"/>
    <w:basedOn w:val="HeadingBase"/>
    <w:next w:val="BodyText"/>
    <w:link w:val="Heading3Char"/>
    <w:qFormat/>
    <w:rsid w:val="000F0BF1"/>
    <w:pPr>
      <w:spacing w:before="180" w:after="120"/>
      <w:outlineLvl w:val="2"/>
    </w:pPr>
    <w:rPr>
      <w:spacing w:val="-10"/>
      <w:kern w:val="32"/>
    </w:rPr>
  </w:style>
  <w:style w:type="paragraph" w:styleId="Heading4">
    <w:name w:val="heading 4"/>
    <w:basedOn w:val="HeadingBase"/>
    <w:next w:val="BodyText"/>
    <w:link w:val="Heading4Char"/>
    <w:qFormat/>
    <w:rsid w:val="000F0BF1"/>
    <w:pPr>
      <w:spacing w:before="160" w:after="120"/>
      <w:outlineLvl w:val="3"/>
    </w:pPr>
    <w:rPr>
      <w:sz w:val="22"/>
    </w:rPr>
  </w:style>
  <w:style w:type="paragraph" w:styleId="Heading5">
    <w:name w:val="heading 5"/>
    <w:basedOn w:val="HeadingBase"/>
    <w:next w:val="Normal"/>
    <w:link w:val="Heading5Char"/>
    <w:qFormat/>
    <w:rsid w:val="000F0BF1"/>
    <w:pPr>
      <w:spacing w:before="80"/>
      <w:outlineLvl w:val="4"/>
    </w:pPr>
    <w:rPr>
      <w:color w:val="918585"/>
      <w:sz w:val="20"/>
    </w:rPr>
  </w:style>
  <w:style w:type="paragraph" w:styleId="Heading6">
    <w:name w:val="heading 6"/>
    <w:basedOn w:val="HeadingBase"/>
    <w:next w:val="Normal"/>
    <w:link w:val="Heading6Char"/>
    <w:qFormat/>
    <w:rsid w:val="000F0BF1"/>
    <w:pPr>
      <w:spacing w:before="60"/>
      <w:outlineLvl w:val="5"/>
    </w:pPr>
    <w:rPr>
      <w:color w:val="918585"/>
      <w:sz w:val="20"/>
    </w:rPr>
  </w:style>
  <w:style w:type="paragraph" w:styleId="Heading7">
    <w:name w:val="heading 7"/>
    <w:basedOn w:val="Normal"/>
    <w:next w:val="Normal"/>
    <w:link w:val="Heading7Char"/>
    <w:qFormat/>
    <w:rsid w:val="000F0BF1"/>
    <w:pPr>
      <w:ind w:left="720"/>
      <w:outlineLvl w:val="6"/>
    </w:pPr>
    <w:rPr>
      <w:i/>
    </w:rPr>
  </w:style>
  <w:style w:type="paragraph" w:styleId="Heading8">
    <w:name w:val="heading 8"/>
    <w:basedOn w:val="Normal"/>
    <w:next w:val="Normal"/>
    <w:link w:val="Heading8Char"/>
    <w:qFormat/>
    <w:rsid w:val="000F0BF1"/>
    <w:pPr>
      <w:ind w:left="720"/>
      <w:outlineLvl w:val="7"/>
    </w:pPr>
    <w:rPr>
      <w:i/>
    </w:rPr>
  </w:style>
  <w:style w:type="paragraph" w:styleId="Heading9">
    <w:name w:val="heading 9"/>
    <w:basedOn w:val="Normal"/>
    <w:next w:val="Normal"/>
    <w:link w:val="Heading9Char"/>
    <w:qFormat/>
    <w:rsid w:val="000F0BF1"/>
    <w:pPr>
      <w:ind w:left="720"/>
      <w:outlineLvl w:val="8"/>
    </w:pPr>
    <w:rPr>
      <w:i/>
    </w:rPr>
  </w:style>
  <w:style w:type="character" w:default="1" w:styleId="DefaultParagraphFont">
    <w:name w:val="Default Paragraph Font"/>
    <w:uiPriority w:val="1"/>
    <w:unhideWhenUsed/>
    <w:rsid w:val="000F0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BF1"/>
  </w:style>
  <w:style w:type="character" w:customStyle="1" w:styleId="Heading1Char">
    <w:name w:val="Heading 1 Char"/>
    <w:link w:val="Heading1"/>
    <w:rsid w:val="000F0BF1"/>
    <w:rPr>
      <w:rFonts w:ascii="Times New Roman" w:eastAsia="Times New Roman" w:hAnsi="Times New Roman" w:cs="Times New Roman"/>
      <w:b/>
      <w:sz w:val="32"/>
      <w:szCs w:val="20"/>
      <w:lang w:eastAsia="en-US"/>
    </w:rPr>
  </w:style>
  <w:style w:type="paragraph" w:styleId="BodyText">
    <w:name w:val="Body Text"/>
    <w:basedOn w:val="Normal"/>
    <w:link w:val="BodyTextChar"/>
    <w:rsid w:val="000F0BF1"/>
    <w:pPr>
      <w:spacing w:before="120" w:after="120"/>
      <w:contextualSpacing/>
    </w:pPr>
    <w:rPr>
      <w:rFonts w:ascii="Times New Roman" w:hAnsi="Times New Roman"/>
      <w:sz w:val="24"/>
      <w:szCs w:val="22"/>
    </w:rPr>
  </w:style>
  <w:style w:type="character" w:customStyle="1" w:styleId="BodyTextChar">
    <w:name w:val="Body Text Char"/>
    <w:link w:val="BodyText"/>
    <w:rsid w:val="000F0BF1"/>
    <w:rPr>
      <w:rFonts w:ascii="Times New Roman" w:eastAsia="Times New Roman" w:hAnsi="Times New Roman" w:cs="Times New Roman"/>
      <w:sz w:val="24"/>
      <w:lang w:val="en-US" w:eastAsia="en-US"/>
    </w:rPr>
  </w:style>
  <w:style w:type="paragraph" w:styleId="Footer">
    <w:name w:val="footer"/>
    <w:basedOn w:val="Normal"/>
    <w:link w:val="FooterChar"/>
    <w:rsid w:val="000F0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0BF1"/>
    <w:rPr>
      <w:rFonts w:ascii="Times New Roman" w:eastAsia="Times New Roman" w:hAnsi="Times New Roman" w:cs="Times New Roman"/>
      <w:sz w:val="16"/>
      <w:lang w:val="en-US" w:eastAsia="en-US"/>
    </w:rPr>
  </w:style>
  <w:style w:type="paragraph" w:styleId="List">
    <w:name w:val="List"/>
    <w:basedOn w:val="BodyText"/>
    <w:next w:val="BodyText"/>
    <w:rsid w:val="000F0BF1"/>
    <w:pPr>
      <w:tabs>
        <w:tab w:val="left" w:pos="340"/>
      </w:tabs>
      <w:spacing w:before="60" w:after="60"/>
      <w:ind w:left="340" w:hanging="340"/>
    </w:pPr>
  </w:style>
  <w:style w:type="paragraph" w:styleId="ListBullet">
    <w:name w:val="List Bullet"/>
    <w:basedOn w:val="List"/>
    <w:rsid w:val="000F0BF1"/>
    <w:pPr>
      <w:numPr>
        <w:numId w:val="13"/>
      </w:numPr>
      <w:tabs>
        <w:tab w:val="clear" w:pos="340"/>
      </w:tabs>
      <w:spacing w:before="40" w:after="40"/>
    </w:pPr>
  </w:style>
  <w:style w:type="character" w:customStyle="1" w:styleId="SpecialBold">
    <w:name w:val="Special Bold"/>
    <w:rsid w:val="000F0BF1"/>
    <w:rPr>
      <w:b/>
      <w:spacing w:val="0"/>
    </w:rPr>
  </w:style>
  <w:style w:type="paragraph" w:styleId="ListBullet2">
    <w:name w:val="List Bullet 2"/>
    <w:basedOn w:val="List2"/>
    <w:rsid w:val="000F0BF1"/>
    <w:pPr>
      <w:numPr>
        <w:numId w:val="14"/>
      </w:numPr>
      <w:tabs>
        <w:tab w:val="clear" w:pos="680"/>
      </w:tabs>
    </w:pPr>
  </w:style>
  <w:style w:type="paragraph" w:customStyle="1" w:styleId="SuperHeading">
    <w:name w:val="SuperHeading"/>
    <w:basedOn w:val="Normal"/>
    <w:rsid w:val="000F0BF1"/>
    <w:pPr>
      <w:spacing w:before="240" w:after="120"/>
      <w:outlineLvl w:val="0"/>
    </w:pPr>
    <w:rPr>
      <w:rFonts w:ascii="Times New Roman" w:hAnsi="Times New Roman"/>
      <w:b/>
      <w:sz w:val="28"/>
    </w:rPr>
  </w:style>
  <w:style w:type="paragraph" w:customStyle="1" w:styleId="AllowPageBreak">
    <w:name w:val="AllowPageBreak"/>
    <w:rsid w:val="000F0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0BF1"/>
    <w:rPr>
      <w:b/>
      <w:i/>
      <w:u w:val="none"/>
    </w:rPr>
  </w:style>
  <w:style w:type="character" w:customStyle="1" w:styleId="Heading2Char">
    <w:name w:val="Heading 2 Char"/>
    <w:link w:val="Heading2"/>
    <w:rsid w:val="000F0BF1"/>
    <w:rPr>
      <w:rFonts w:ascii="Times New Roman" w:eastAsia="Times New Roman" w:hAnsi="Times New Roman" w:cs="Times New Roman"/>
      <w:b/>
      <w:sz w:val="28"/>
      <w:szCs w:val="40"/>
      <w:lang w:eastAsia="en-US"/>
    </w:rPr>
  </w:style>
  <w:style w:type="character" w:customStyle="1" w:styleId="Heading3Char">
    <w:name w:val="Heading 3 Char"/>
    <w:link w:val="Heading3"/>
    <w:rsid w:val="000F0BF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0BF1"/>
    <w:rPr>
      <w:rFonts w:ascii="Times New Roman" w:eastAsia="Times New Roman" w:hAnsi="Times New Roman" w:cs="Times New Roman"/>
      <w:b/>
      <w:szCs w:val="20"/>
      <w:lang w:eastAsia="en-US"/>
    </w:rPr>
  </w:style>
  <w:style w:type="character" w:customStyle="1" w:styleId="Heading5Char">
    <w:name w:val="Heading 5 Char"/>
    <w:link w:val="Heading5"/>
    <w:rsid w:val="000F0B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0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B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0B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0BF1"/>
    <w:rPr>
      <w:rFonts w:ascii="Courier New" w:eastAsia="Times New Roman" w:hAnsi="Courier New" w:cs="Times New Roman"/>
      <w:i/>
      <w:szCs w:val="20"/>
      <w:lang w:val="en-US" w:eastAsia="en-US"/>
    </w:rPr>
  </w:style>
  <w:style w:type="paragraph" w:customStyle="1" w:styleId="HeadingBase">
    <w:name w:val="Heading Base"/>
    <w:rsid w:val="000F0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BF1"/>
    <w:pPr>
      <w:tabs>
        <w:tab w:val="right" w:leader="dot" w:pos="9072"/>
      </w:tabs>
      <w:ind w:left="567"/>
    </w:pPr>
    <w:rPr>
      <w:szCs w:val="22"/>
    </w:rPr>
  </w:style>
  <w:style w:type="paragraph" w:customStyle="1" w:styleId="TOCBase">
    <w:name w:val="TOC Base"/>
    <w:rsid w:val="000F0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BF1"/>
    <w:pPr>
      <w:tabs>
        <w:tab w:val="right" w:leader="dot" w:pos="9072"/>
      </w:tabs>
      <w:spacing w:before="40" w:after="40"/>
      <w:ind w:left="284"/>
    </w:pPr>
    <w:rPr>
      <w:rFonts w:ascii="Times New Roman" w:hAnsi="Times New Roman"/>
    </w:rPr>
  </w:style>
  <w:style w:type="paragraph" w:styleId="TOC1">
    <w:name w:val="toc 1"/>
    <w:basedOn w:val="TOCBase"/>
    <w:next w:val="Normal"/>
    <w:rsid w:val="000F0B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BF1"/>
    <w:pPr>
      <w:spacing w:before="5040"/>
      <w:jc w:val="center"/>
    </w:pPr>
    <w:rPr>
      <w:sz w:val="48"/>
      <w:szCs w:val="72"/>
      <w:lang w:val="en-US"/>
    </w:rPr>
  </w:style>
  <w:style w:type="character" w:customStyle="1" w:styleId="TitleChar">
    <w:name w:val="Title Char"/>
    <w:link w:val="Title"/>
    <w:rsid w:val="000F0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BF1"/>
    <w:pPr>
      <w:tabs>
        <w:tab w:val="left" w:pos="3600"/>
        <w:tab w:val="left" w:pos="3958"/>
      </w:tabs>
    </w:pPr>
  </w:style>
  <w:style w:type="paragraph" w:customStyle="1" w:styleId="Note">
    <w:name w:val="Note"/>
    <w:basedOn w:val="BodyText"/>
    <w:rsid w:val="000F0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BF1"/>
    <w:pPr>
      <w:framePr w:wrap="auto" w:hAnchor="text" w:y="6049"/>
    </w:pPr>
    <w:rPr>
      <w:color w:val="000000"/>
      <w:sz w:val="40"/>
    </w:rPr>
  </w:style>
  <w:style w:type="paragraph" w:customStyle="1" w:styleId="TOCTitle">
    <w:name w:val="TOCTitle"/>
    <w:basedOn w:val="Heading1"/>
    <w:rsid w:val="000F0BF1"/>
    <w:pPr>
      <w:spacing w:after="240"/>
      <w:jc w:val="center"/>
      <w:outlineLvl w:val="9"/>
    </w:pPr>
    <w:rPr>
      <w:caps/>
    </w:rPr>
  </w:style>
  <w:style w:type="paragraph" w:customStyle="1" w:styleId="Version">
    <w:name w:val="Version"/>
    <w:rsid w:val="000F0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BF1"/>
    <w:pPr>
      <w:keepNext w:val="0"/>
      <w:tabs>
        <w:tab w:val="right" w:pos="4176"/>
      </w:tabs>
      <w:ind w:left="198" w:hanging="198"/>
    </w:pPr>
    <w:rPr>
      <w:rFonts w:ascii="Garamond" w:hAnsi="Garamond"/>
    </w:rPr>
  </w:style>
  <w:style w:type="paragraph" w:styleId="IndexHeading">
    <w:name w:val="index heading"/>
    <w:basedOn w:val="Normal"/>
    <w:next w:val="Index1"/>
    <w:semiHidden/>
    <w:rsid w:val="000F0BF1"/>
    <w:pPr>
      <w:spacing w:before="120" w:after="120"/>
    </w:pPr>
    <w:rPr>
      <w:rFonts w:ascii="Arial" w:hAnsi="Arial"/>
      <w:b/>
      <w:color w:val="918585"/>
      <w:sz w:val="24"/>
    </w:rPr>
  </w:style>
  <w:style w:type="paragraph" w:styleId="Header">
    <w:name w:val="header"/>
    <w:basedOn w:val="Normal"/>
    <w:link w:val="HeaderChar"/>
    <w:rsid w:val="000F0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0BF1"/>
    <w:rPr>
      <w:rFonts w:ascii="Times New Roman" w:eastAsia="Times New Roman" w:hAnsi="Times New Roman" w:cs="Times New Roman"/>
      <w:sz w:val="16"/>
      <w:szCs w:val="20"/>
      <w:lang w:val="en-GB" w:eastAsia="en-US"/>
    </w:rPr>
  </w:style>
  <w:style w:type="paragraph" w:customStyle="1" w:styleId="Chapter">
    <w:name w:val="Chapter"/>
    <w:basedOn w:val="Normal"/>
    <w:rsid w:val="000F0BF1"/>
    <w:pPr>
      <w:spacing w:before="240"/>
    </w:pPr>
    <w:rPr>
      <w:rFonts w:ascii="Times New Roman" w:hAnsi="Times New Roman"/>
      <w:smallCaps/>
      <w:spacing w:val="80"/>
      <w:sz w:val="28"/>
    </w:rPr>
  </w:style>
  <w:style w:type="paragraph" w:customStyle="1" w:styleId="InChapter">
    <w:name w:val="InChapter"/>
    <w:basedOn w:val="Heading3"/>
    <w:rsid w:val="000F0BF1"/>
    <w:pPr>
      <w:spacing w:after="240"/>
      <w:outlineLvl w:val="9"/>
    </w:pPr>
    <w:rPr>
      <w:noProof/>
    </w:rPr>
  </w:style>
  <w:style w:type="paragraph" w:styleId="Index2">
    <w:name w:val="index 2"/>
    <w:basedOn w:val="Normal"/>
    <w:next w:val="Normal"/>
    <w:semiHidden/>
    <w:rsid w:val="000F0BF1"/>
    <w:pPr>
      <w:tabs>
        <w:tab w:val="right" w:pos="4176"/>
      </w:tabs>
      <w:ind w:left="568" w:hanging="284"/>
    </w:pPr>
    <w:rPr>
      <w:rFonts w:ascii="Garamond" w:hAnsi="Garamond"/>
    </w:rPr>
  </w:style>
  <w:style w:type="paragraph" w:customStyle="1" w:styleId="Byline">
    <w:name w:val="Byline"/>
    <w:rsid w:val="000F0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BF1"/>
    <w:pPr>
      <w:tabs>
        <w:tab w:val="clear" w:pos="3600"/>
        <w:tab w:val="clear" w:pos="3958"/>
      </w:tabs>
      <w:jc w:val="right"/>
    </w:pPr>
  </w:style>
  <w:style w:type="character" w:styleId="Emphasis">
    <w:name w:val="Emphasis"/>
    <w:qFormat/>
    <w:rsid w:val="000F0BF1"/>
    <w:rPr>
      <w:i/>
    </w:rPr>
  </w:style>
  <w:style w:type="paragraph" w:styleId="Caption">
    <w:name w:val="caption"/>
    <w:basedOn w:val="BodyText"/>
    <w:next w:val="Normal"/>
    <w:qFormat/>
    <w:rsid w:val="000F0BF1"/>
    <w:pPr>
      <w:framePr w:w="2268" w:hSpace="181" w:vSpace="181" w:wrap="around" w:vAnchor="text" w:hAnchor="page" w:x="1135" w:y="285" w:anchorLock="1"/>
    </w:pPr>
    <w:rPr>
      <w:i/>
    </w:rPr>
  </w:style>
  <w:style w:type="paragraph" w:customStyle="1" w:styleId="MiniTOCTitle">
    <w:name w:val="MiniTOCTitle"/>
    <w:basedOn w:val="Heading4"/>
    <w:rsid w:val="000F0BF1"/>
    <w:pPr>
      <w:spacing w:before="240"/>
      <w:outlineLvl w:val="9"/>
    </w:pPr>
    <w:rPr>
      <w:noProof/>
      <w:sz w:val="24"/>
    </w:rPr>
  </w:style>
  <w:style w:type="paragraph" w:customStyle="1" w:styleId="MiniTOCItem">
    <w:name w:val="MiniTOCItem"/>
    <w:basedOn w:val="ListBullet"/>
    <w:rsid w:val="000F0BF1"/>
    <w:pPr>
      <w:numPr>
        <w:numId w:val="0"/>
      </w:numPr>
      <w:tabs>
        <w:tab w:val="right" w:leader="dot" w:pos="6521"/>
      </w:tabs>
      <w:spacing w:before="0" w:after="0"/>
    </w:pPr>
  </w:style>
  <w:style w:type="paragraph" w:customStyle="1" w:styleId="TOFTitle">
    <w:name w:val="TOFTitle"/>
    <w:basedOn w:val="TOCTitle"/>
    <w:rsid w:val="000F0BF1"/>
  </w:style>
  <w:style w:type="paragraph" w:styleId="TableofFigures">
    <w:name w:val="table of figures"/>
    <w:basedOn w:val="Normal"/>
    <w:next w:val="Normal"/>
    <w:semiHidden/>
    <w:rsid w:val="000F0BF1"/>
    <w:pPr>
      <w:tabs>
        <w:tab w:val="right" w:leader="dot" w:pos="9072"/>
      </w:tabs>
      <w:ind w:left="970" w:hanging="403"/>
    </w:pPr>
    <w:rPr>
      <w:rFonts w:ascii="Times New Roman" w:hAnsi="Times New Roman"/>
      <w:b/>
    </w:rPr>
  </w:style>
  <w:style w:type="paragraph" w:styleId="ListNumber">
    <w:name w:val="List Number"/>
    <w:basedOn w:val="List"/>
    <w:rsid w:val="000F0BF1"/>
    <w:pPr>
      <w:numPr>
        <w:numId w:val="11"/>
      </w:numPr>
    </w:pPr>
  </w:style>
  <w:style w:type="character" w:customStyle="1" w:styleId="WingdingSymbols">
    <w:name w:val="Wingding Symbols"/>
    <w:rsid w:val="000F0BF1"/>
    <w:rPr>
      <w:rFonts w:ascii="Wingdings" w:hAnsi="Wingdings"/>
    </w:rPr>
  </w:style>
  <w:style w:type="paragraph" w:customStyle="1" w:styleId="TableHeading">
    <w:name w:val="Table Heading"/>
    <w:basedOn w:val="HeadingBase"/>
    <w:rsid w:val="000F0BF1"/>
    <w:pPr>
      <w:keepLines/>
      <w:pBdr>
        <w:bottom w:val="single" w:sz="6" w:space="1" w:color="918585"/>
      </w:pBdr>
      <w:spacing w:before="240"/>
    </w:pPr>
  </w:style>
  <w:style w:type="character" w:customStyle="1" w:styleId="HotSpot">
    <w:name w:val="HotSpot"/>
    <w:rsid w:val="000F0BF1"/>
    <w:rPr>
      <w:color w:val="0033CC"/>
      <w:u w:val="none"/>
    </w:rPr>
  </w:style>
  <w:style w:type="paragraph" w:customStyle="1" w:styleId="BodyTextRight">
    <w:name w:val="Body Text Right"/>
    <w:basedOn w:val="BodyText"/>
    <w:rsid w:val="000F0BF1"/>
    <w:pPr>
      <w:spacing w:before="0" w:after="0"/>
      <w:jc w:val="right"/>
    </w:pPr>
  </w:style>
  <w:style w:type="paragraph" w:styleId="Index3">
    <w:name w:val="index 3"/>
    <w:basedOn w:val="ListNumber2"/>
    <w:next w:val="Normal"/>
    <w:semiHidden/>
    <w:rsid w:val="000F0BF1"/>
    <w:pPr>
      <w:numPr>
        <w:numId w:val="0"/>
      </w:numPr>
      <w:tabs>
        <w:tab w:val="right" w:leader="dot" w:pos="4176"/>
      </w:tabs>
    </w:pPr>
  </w:style>
  <w:style w:type="paragraph" w:styleId="ListNumber2">
    <w:name w:val="List Number 2"/>
    <w:basedOn w:val="List2"/>
    <w:rsid w:val="000F0BF1"/>
    <w:pPr>
      <w:numPr>
        <w:numId w:val="10"/>
      </w:numPr>
      <w:tabs>
        <w:tab w:val="clear" w:pos="1060"/>
      </w:tabs>
    </w:pPr>
  </w:style>
  <w:style w:type="paragraph" w:customStyle="1" w:styleId="MarginNote">
    <w:name w:val="Margin Note"/>
    <w:basedOn w:val="BodyText"/>
    <w:rsid w:val="000F0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0B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0BF1"/>
    <w:rPr>
      <w:sz w:val="32"/>
    </w:rPr>
  </w:style>
  <w:style w:type="paragraph" w:customStyle="1" w:styleId="HeadingProcedure">
    <w:name w:val="Heading Procedure"/>
    <w:basedOn w:val="HeadingBase"/>
    <w:next w:val="Normal"/>
    <w:rsid w:val="000F0BF1"/>
    <w:pPr>
      <w:tabs>
        <w:tab w:val="left" w:pos="0"/>
      </w:tabs>
      <w:spacing w:before="120" w:after="60"/>
    </w:pPr>
    <w:rPr>
      <w:i/>
      <w:color w:val="918585"/>
      <w:sz w:val="22"/>
    </w:rPr>
  </w:style>
  <w:style w:type="paragraph" w:customStyle="1" w:styleId="TableBodyText">
    <w:name w:val="Table Body Text"/>
    <w:basedOn w:val="BodyText"/>
    <w:rsid w:val="000F0BF1"/>
    <w:pPr>
      <w:spacing w:before="60" w:after="60"/>
    </w:pPr>
  </w:style>
  <w:style w:type="paragraph" w:styleId="ListContinue">
    <w:name w:val="List Continue"/>
    <w:basedOn w:val="List"/>
    <w:rsid w:val="000F0BF1"/>
    <w:pPr>
      <w:ind w:firstLine="0"/>
    </w:pPr>
  </w:style>
  <w:style w:type="paragraph" w:customStyle="1" w:styleId="ListNote">
    <w:name w:val="List Note"/>
    <w:basedOn w:val="List"/>
    <w:rsid w:val="000F0BF1"/>
    <w:pPr>
      <w:pBdr>
        <w:top w:val="single" w:sz="6" w:space="2" w:color="918585"/>
        <w:bottom w:val="single" w:sz="6" w:space="2" w:color="918585"/>
      </w:pBdr>
      <w:tabs>
        <w:tab w:val="left" w:pos="1021"/>
      </w:tabs>
      <w:ind w:firstLine="0"/>
    </w:pPr>
  </w:style>
  <w:style w:type="paragraph" w:customStyle="1" w:styleId="Warning">
    <w:name w:val="Warning"/>
    <w:basedOn w:val="BodyText"/>
    <w:rsid w:val="000F0BF1"/>
    <w:pPr>
      <w:shd w:val="clear" w:color="auto" w:fill="D9D9D9"/>
      <w:tabs>
        <w:tab w:val="left" w:pos="992"/>
      </w:tabs>
      <w:ind w:left="119" w:right="119"/>
    </w:pPr>
    <w:rPr>
      <w:sz w:val="20"/>
    </w:rPr>
  </w:style>
  <w:style w:type="paragraph" w:customStyle="1" w:styleId="MarginIcons">
    <w:name w:val="Margin Icons"/>
    <w:basedOn w:val="BodyText"/>
    <w:rsid w:val="000F0B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0BF1"/>
    <w:rPr>
      <w:rFonts w:ascii="Courier New" w:hAnsi="Courier New"/>
    </w:rPr>
  </w:style>
  <w:style w:type="paragraph" w:customStyle="1" w:styleId="NoteBullet">
    <w:name w:val="Note Bullet"/>
    <w:basedOn w:val="Note"/>
    <w:rsid w:val="000F0BF1"/>
    <w:pPr>
      <w:tabs>
        <w:tab w:val="clear" w:pos="680"/>
      </w:tabs>
      <w:spacing w:before="60" w:after="60"/>
    </w:pPr>
  </w:style>
  <w:style w:type="paragraph" w:customStyle="1" w:styleId="SubHeading2">
    <w:name w:val="SubHeading2"/>
    <w:basedOn w:val="HeadingBase"/>
    <w:rsid w:val="000F0BF1"/>
    <w:pPr>
      <w:spacing w:before="240" w:after="60"/>
    </w:pPr>
    <w:rPr>
      <w:sz w:val="20"/>
    </w:rPr>
  </w:style>
  <w:style w:type="paragraph" w:customStyle="1" w:styleId="SubHeading1">
    <w:name w:val="SubHeading1"/>
    <w:basedOn w:val="HeadingBase"/>
    <w:rsid w:val="000F0BF1"/>
    <w:pPr>
      <w:spacing w:before="240" w:after="60"/>
    </w:pPr>
    <w:rPr>
      <w:color w:val="918585"/>
      <w:sz w:val="22"/>
    </w:rPr>
  </w:style>
  <w:style w:type="paragraph" w:customStyle="1" w:styleId="SideHeading">
    <w:name w:val="Side Heading"/>
    <w:basedOn w:val="HeadingBase"/>
    <w:rsid w:val="000F0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BF1"/>
    <w:pPr>
      <w:numPr>
        <w:numId w:val="12"/>
      </w:numPr>
    </w:pPr>
  </w:style>
  <w:style w:type="paragraph" w:styleId="PlainText">
    <w:name w:val="Plain Text"/>
    <w:basedOn w:val="Normal"/>
    <w:link w:val="PlainTextChar"/>
    <w:rsid w:val="000F0BF1"/>
    <w:rPr>
      <w:sz w:val="20"/>
    </w:rPr>
  </w:style>
  <w:style w:type="character" w:customStyle="1" w:styleId="PlainTextChar">
    <w:name w:val="Plain Text Char"/>
    <w:basedOn w:val="DefaultParagraphFont"/>
    <w:link w:val="PlainText"/>
    <w:rsid w:val="000F0BF1"/>
    <w:rPr>
      <w:rFonts w:ascii="Courier New" w:eastAsia="Times New Roman" w:hAnsi="Courier New" w:cs="Times New Roman"/>
      <w:sz w:val="20"/>
      <w:szCs w:val="20"/>
      <w:lang w:val="en-US" w:eastAsia="en-US"/>
    </w:rPr>
  </w:style>
  <w:style w:type="character" w:customStyle="1" w:styleId="MenuOption">
    <w:name w:val="Menu Option"/>
    <w:rsid w:val="000F0BF1"/>
    <w:rPr>
      <w:b/>
      <w:smallCaps/>
    </w:rPr>
  </w:style>
  <w:style w:type="paragraph" w:customStyle="1" w:styleId="TableListNumber">
    <w:name w:val="Table List Number"/>
    <w:basedOn w:val="ListNumber"/>
    <w:rsid w:val="000F0BF1"/>
    <w:pPr>
      <w:numPr>
        <w:numId w:val="0"/>
      </w:numPr>
    </w:pPr>
  </w:style>
  <w:style w:type="paragraph" w:styleId="TOC4">
    <w:name w:val="toc 4"/>
    <w:basedOn w:val="TOCBase"/>
    <w:next w:val="Normal"/>
    <w:semiHidden/>
    <w:rsid w:val="000F0BF1"/>
    <w:pPr>
      <w:tabs>
        <w:tab w:val="right" w:leader="dot" w:pos="9071"/>
      </w:tabs>
      <w:ind w:left="1701"/>
    </w:pPr>
  </w:style>
  <w:style w:type="paragraph" w:customStyle="1" w:styleId="ListAlpha">
    <w:name w:val="List Alpha"/>
    <w:basedOn w:val="List"/>
    <w:rsid w:val="000F0BF1"/>
    <w:pPr>
      <w:numPr>
        <w:numId w:val="9"/>
      </w:numPr>
    </w:pPr>
  </w:style>
  <w:style w:type="paragraph" w:customStyle="1" w:styleId="ListAlpha2">
    <w:name w:val="List Alpha 2"/>
    <w:basedOn w:val="List2"/>
    <w:rsid w:val="000F0BF1"/>
    <w:pPr>
      <w:numPr>
        <w:numId w:val="8"/>
      </w:numPr>
    </w:pPr>
  </w:style>
  <w:style w:type="paragraph" w:styleId="List2">
    <w:name w:val="List 2"/>
    <w:basedOn w:val="BodyText"/>
    <w:rsid w:val="000F0BF1"/>
    <w:pPr>
      <w:tabs>
        <w:tab w:val="left" w:pos="680"/>
      </w:tabs>
      <w:spacing w:before="60" w:after="60"/>
      <w:ind w:left="680" w:hanging="340"/>
    </w:pPr>
  </w:style>
  <w:style w:type="paragraph" w:styleId="List3">
    <w:name w:val="List 3"/>
    <w:basedOn w:val="BodyText"/>
    <w:rsid w:val="000F0BF1"/>
    <w:pPr>
      <w:tabs>
        <w:tab w:val="left" w:pos="1021"/>
      </w:tabs>
      <w:spacing w:before="60" w:after="60"/>
      <w:ind w:left="1020" w:hanging="340"/>
    </w:pPr>
  </w:style>
  <w:style w:type="paragraph" w:styleId="List4">
    <w:name w:val="List 4"/>
    <w:basedOn w:val="BodyText"/>
    <w:rsid w:val="000F0BF1"/>
    <w:pPr>
      <w:tabs>
        <w:tab w:val="left" w:pos="1361"/>
      </w:tabs>
      <w:spacing w:before="60" w:after="60"/>
      <w:ind w:left="1361" w:hanging="340"/>
    </w:pPr>
  </w:style>
  <w:style w:type="paragraph" w:styleId="List5">
    <w:name w:val="List 5"/>
    <w:basedOn w:val="BodyText"/>
    <w:rsid w:val="000F0BF1"/>
    <w:pPr>
      <w:tabs>
        <w:tab w:val="left" w:pos="1701"/>
      </w:tabs>
      <w:spacing w:before="60" w:after="60"/>
      <w:ind w:left="1701" w:hanging="340"/>
    </w:pPr>
  </w:style>
  <w:style w:type="paragraph" w:styleId="ListBullet3">
    <w:name w:val="List Bullet 3"/>
    <w:basedOn w:val="List3"/>
    <w:rsid w:val="000F0BF1"/>
    <w:pPr>
      <w:numPr>
        <w:numId w:val="15"/>
      </w:numPr>
      <w:tabs>
        <w:tab w:val="clear" w:pos="1021"/>
      </w:tabs>
      <w:ind w:left="1037" w:hanging="357"/>
    </w:pPr>
  </w:style>
  <w:style w:type="paragraph" w:styleId="ListBullet4">
    <w:name w:val="List Bullet 4"/>
    <w:basedOn w:val="List4"/>
    <w:rsid w:val="000F0BF1"/>
    <w:pPr>
      <w:numPr>
        <w:numId w:val="3"/>
      </w:numPr>
    </w:pPr>
  </w:style>
  <w:style w:type="paragraph" w:styleId="ListBullet5">
    <w:name w:val="List Bullet 5"/>
    <w:basedOn w:val="List5"/>
    <w:rsid w:val="000F0BF1"/>
    <w:pPr>
      <w:numPr>
        <w:numId w:val="4"/>
      </w:numPr>
    </w:pPr>
  </w:style>
  <w:style w:type="paragraph" w:styleId="ListContinue2">
    <w:name w:val="List Continue 2"/>
    <w:basedOn w:val="List2"/>
    <w:rsid w:val="000F0BF1"/>
    <w:pPr>
      <w:ind w:firstLine="0"/>
    </w:pPr>
  </w:style>
  <w:style w:type="paragraph" w:styleId="ListContinue3">
    <w:name w:val="List Continue 3"/>
    <w:basedOn w:val="List3"/>
    <w:rsid w:val="000F0BF1"/>
    <w:pPr>
      <w:ind w:left="1021" w:firstLine="0"/>
    </w:pPr>
  </w:style>
  <w:style w:type="paragraph" w:styleId="ListContinue4">
    <w:name w:val="List Continue 4"/>
    <w:basedOn w:val="List4"/>
    <w:rsid w:val="000F0BF1"/>
    <w:pPr>
      <w:ind w:firstLine="0"/>
    </w:pPr>
  </w:style>
  <w:style w:type="paragraph" w:styleId="ListContinue5">
    <w:name w:val="List Continue 5"/>
    <w:basedOn w:val="List5"/>
    <w:rsid w:val="000F0BF1"/>
    <w:pPr>
      <w:ind w:firstLine="0"/>
    </w:pPr>
  </w:style>
  <w:style w:type="paragraph" w:styleId="ListNumber3">
    <w:name w:val="List Number 3"/>
    <w:basedOn w:val="List3"/>
    <w:rsid w:val="000F0BF1"/>
    <w:pPr>
      <w:numPr>
        <w:numId w:val="5"/>
      </w:numPr>
    </w:pPr>
  </w:style>
  <w:style w:type="paragraph" w:styleId="ListNumber4">
    <w:name w:val="List Number 4"/>
    <w:basedOn w:val="List4"/>
    <w:rsid w:val="000F0BF1"/>
    <w:pPr>
      <w:numPr>
        <w:numId w:val="6"/>
      </w:numPr>
    </w:pPr>
  </w:style>
  <w:style w:type="paragraph" w:styleId="ListNumber5">
    <w:name w:val="List Number 5"/>
    <w:basedOn w:val="List5"/>
    <w:rsid w:val="000F0BF1"/>
    <w:pPr>
      <w:numPr>
        <w:numId w:val="7"/>
      </w:numPr>
    </w:pPr>
  </w:style>
  <w:style w:type="paragraph" w:styleId="BlockText">
    <w:name w:val="Block Text"/>
    <w:basedOn w:val="Normal"/>
    <w:rsid w:val="000F0BF1"/>
    <w:pPr>
      <w:spacing w:after="120"/>
      <w:ind w:left="1440" w:right="1440"/>
    </w:pPr>
  </w:style>
  <w:style w:type="character" w:customStyle="1" w:styleId="Subscript">
    <w:name w:val="Subscript"/>
    <w:rsid w:val="000F0BF1"/>
    <w:rPr>
      <w:sz w:val="16"/>
      <w:vertAlign w:val="subscript"/>
    </w:rPr>
  </w:style>
  <w:style w:type="character" w:customStyle="1" w:styleId="Superscript">
    <w:name w:val="Superscript"/>
    <w:rsid w:val="000F0BF1"/>
    <w:rPr>
      <w:sz w:val="16"/>
      <w:vertAlign w:val="superscript"/>
    </w:rPr>
  </w:style>
  <w:style w:type="character" w:customStyle="1" w:styleId="Symbols">
    <w:name w:val="Symbols"/>
    <w:rsid w:val="000F0BF1"/>
    <w:rPr>
      <w:rFonts w:ascii="Symbol" w:hAnsi="Symbol"/>
    </w:rPr>
  </w:style>
  <w:style w:type="character" w:customStyle="1" w:styleId="MenuOptions">
    <w:name w:val="Menu Options"/>
    <w:rsid w:val="000F0BF1"/>
    <w:rPr>
      <w:rFonts w:ascii="Arial Narrow" w:hAnsi="Arial Narrow"/>
      <w:smallCaps/>
    </w:rPr>
  </w:style>
  <w:style w:type="character" w:customStyle="1" w:styleId="Buttons">
    <w:name w:val="Buttons"/>
    <w:rsid w:val="000F0BF1"/>
    <w:rPr>
      <w:b/>
    </w:rPr>
  </w:style>
  <w:style w:type="character" w:customStyle="1" w:styleId="Underlined">
    <w:name w:val="Underlined"/>
    <w:rsid w:val="000F0BF1"/>
    <w:rPr>
      <w:u w:val="single"/>
    </w:rPr>
  </w:style>
  <w:style w:type="paragraph" w:customStyle="1" w:styleId="TableBodyTextRight">
    <w:name w:val="Table Body Text Right"/>
    <w:basedOn w:val="TableBodyText"/>
    <w:rsid w:val="000F0BF1"/>
    <w:pPr>
      <w:widowControl w:val="0"/>
      <w:autoSpaceDE w:val="0"/>
      <w:autoSpaceDN w:val="0"/>
      <w:adjustRightInd w:val="0"/>
      <w:jc w:val="right"/>
    </w:pPr>
    <w:rPr>
      <w:rFonts w:cs="Arial"/>
      <w:szCs w:val="18"/>
    </w:rPr>
  </w:style>
  <w:style w:type="paragraph" w:customStyle="1" w:styleId="CopyrightText">
    <w:name w:val="Copyright Text"/>
    <w:basedOn w:val="BodyText"/>
    <w:rsid w:val="000F0BF1"/>
    <w:rPr>
      <w:sz w:val="18"/>
    </w:rPr>
  </w:style>
  <w:style w:type="paragraph" w:customStyle="1" w:styleId="BodySmallRight">
    <w:name w:val="Body Small Right"/>
    <w:basedOn w:val="BodyTextRight"/>
    <w:rsid w:val="000F0BF1"/>
    <w:rPr>
      <w:sz w:val="18"/>
      <w:szCs w:val="18"/>
    </w:rPr>
  </w:style>
  <w:style w:type="paragraph" w:customStyle="1" w:styleId="MarginEdition">
    <w:name w:val="Margin Edition"/>
    <w:basedOn w:val="MarginNote"/>
    <w:rsid w:val="000F0BF1"/>
    <w:pPr>
      <w:spacing w:before="0" w:after="0"/>
    </w:pPr>
    <w:rPr>
      <w:rFonts w:ascii="Times New Roman" w:hAnsi="Times New Roman"/>
      <w:color w:val="999999"/>
    </w:rPr>
  </w:style>
  <w:style w:type="paragraph" w:customStyle="1" w:styleId="Spacer">
    <w:name w:val="Spacer"/>
    <w:basedOn w:val="Normal"/>
    <w:rsid w:val="000F0BF1"/>
    <w:rPr>
      <w:sz w:val="2"/>
      <w:szCs w:val="2"/>
    </w:rPr>
  </w:style>
  <w:style w:type="character" w:customStyle="1" w:styleId="Small">
    <w:name w:val="Small"/>
    <w:rsid w:val="000F0BF1"/>
    <w:rPr>
      <w:sz w:val="16"/>
    </w:rPr>
  </w:style>
  <w:style w:type="paragraph" w:customStyle="1" w:styleId="WideTable">
    <w:name w:val="Wide Table"/>
    <w:basedOn w:val="Normal"/>
    <w:rsid w:val="000F0BF1"/>
    <w:pPr>
      <w:ind w:left="-1418"/>
    </w:pPr>
    <w:rPr>
      <w:sz w:val="2"/>
      <w:szCs w:val="2"/>
    </w:rPr>
  </w:style>
  <w:style w:type="character" w:styleId="PageNumber">
    <w:name w:val="page number"/>
    <w:rsid w:val="000F0BF1"/>
  </w:style>
  <w:style w:type="paragraph" w:styleId="Quote">
    <w:name w:val="Quote"/>
    <w:basedOn w:val="Heading1"/>
    <w:link w:val="QuoteChar"/>
    <w:qFormat/>
    <w:rsid w:val="000F0BF1"/>
    <w:rPr>
      <w:b w:val="0"/>
      <w:sz w:val="72"/>
      <w:szCs w:val="72"/>
      <w:lang w:val="en-NZ"/>
    </w:rPr>
  </w:style>
  <w:style w:type="character" w:customStyle="1" w:styleId="QuoteChar">
    <w:name w:val="Quote Char"/>
    <w:link w:val="Quote"/>
    <w:rsid w:val="000F0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BF1"/>
    <w:pPr>
      <w:pageBreakBefore/>
    </w:pPr>
  </w:style>
  <w:style w:type="paragraph" w:customStyle="1" w:styleId="Border">
    <w:name w:val="Border"/>
    <w:basedOn w:val="Normal"/>
    <w:qFormat/>
    <w:rsid w:val="000F0BF1"/>
    <w:pPr>
      <w:pBdr>
        <w:top w:val="single" w:sz="18" w:space="1" w:color="auto"/>
      </w:pBdr>
    </w:pPr>
    <w:rPr>
      <w:rFonts w:ascii="Times New Roman" w:hAnsi="Times New Roman"/>
      <w:color w:val="FFFFFF"/>
      <w:sz w:val="2"/>
    </w:rPr>
  </w:style>
  <w:style w:type="character" w:styleId="IntenseEmphasis">
    <w:name w:val="Intense Emphasis"/>
    <w:uiPriority w:val="21"/>
    <w:qFormat/>
    <w:rsid w:val="000F0BF1"/>
    <w:rPr>
      <w:b/>
      <w:bCs/>
      <w:i/>
      <w:iCs/>
      <w:color w:val="auto"/>
    </w:rPr>
  </w:style>
  <w:style w:type="paragraph" w:styleId="IntenseQuote">
    <w:name w:val="Intense Quote"/>
    <w:basedOn w:val="Normal"/>
    <w:next w:val="Normal"/>
    <w:link w:val="IntenseQuoteChar"/>
    <w:uiPriority w:val="30"/>
    <w:qFormat/>
    <w:rsid w:val="000F0B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0BF1"/>
    <w:rPr>
      <w:rFonts w:ascii="Courier New" w:eastAsia="Times New Roman" w:hAnsi="Courier New" w:cs="Times New Roman"/>
      <w:b/>
      <w:bCs/>
      <w:i/>
      <w:iCs/>
      <w:szCs w:val="20"/>
      <w:lang w:val="en-US" w:eastAsia="en-US"/>
    </w:rPr>
  </w:style>
  <w:style w:type="character" w:styleId="SubtleReference">
    <w:name w:val="Subtle Reference"/>
    <w:uiPriority w:val="31"/>
    <w:qFormat/>
    <w:rsid w:val="000F0BF1"/>
    <w:rPr>
      <w:smallCaps/>
      <w:color w:val="auto"/>
      <w:u w:val="single"/>
    </w:rPr>
  </w:style>
  <w:style w:type="character" w:styleId="IntenseReference">
    <w:name w:val="Intense Reference"/>
    <w:uiPriority w:val="32"/>
    <w:qFormat/>
    <w:rsid w:val="000F0BF1"/>
    <w:rPr>
      <w:b/>
      <w:bCs/>
      <w:smallCaps/>
      <w:color w:val="auto"/>
      <w:spacing w:val="5"/>
      <w:u w:val="single"/>
    </w:rPr>
  </w:style>
  <w:style w:type="paragraph" w:customStyle="1" w:styleId="2ColumnHeading">
    <w:name w:val="2Column Heading"/>
    <w:basedOn w:val="BodyText"/>
    <w:qFormat/>
    <w:rsid w:val="000F0BF1"/>
    <w:pPr>
      <w:spacing w:after="60"/>
      <w:ind w:left="-2268"/>
    </w:pPr>
    <w:rPr>
      <w:b/>
    </w:rPr>
  </w:style>
  <w:style w:type="paragraph" w:customStyle="1" w:styleId="Heading1TOC">
    <w:name w:val="Heading1 TOC"/>
    <w:basedOn w:val="Normal"/>
    <w:qFormat/>
    <w:rsid w:val="000F0BF1"/>
    <w:pPr>
      <w:spacing w:before="240" w:after="120"/>
    </w:pPr>
    <w:rPr>
      <w:rFonts w:ascii="Times New Roman" w:hAnsi="Times New Roman"/>
      <w:b/>
      <w:sz w:val="32"/>
    </w:rPr>
  </w:style>
  <w:style w:type="paragraph" w:customStyle="1" w:styleId="Heading2TOC">
    <w:name w:val="Heading2 TOC"/>
    <w:basedOn w:val="Normal"/>
    <w:qFormat/>
    <w:rsid w:val="000F0BF1"/>
    <w:pPr>
      <w:spacing w:before="240" w:after="60"/>
    </w:pPr>
    <w:rPr>
      <w:rFonts w:ascii="Times New Roman" w:hAnsi="Times New Roman"/>
      <w:b/>
      <w:sz w:val="28"/>
    </w:rPr>
  </w:style>
  <w:style w:type="character" w:customStyle="1" w:styleId="Underline">
    <w:name w:val="Underline"/>
    <w:qFormat/>
    <w:rsid w:val="000F0BF1"/>
    <w:rPr>
      <w:u w:val="single"/>
    </w:rPr>
  </w:style>
  <w:style w:type="paragraph" w:styleId="BalloonText">
    <w:name w:val="Balloon Text"/>
    <w:basedOn w:val="Normal"/>
    <w:link w:val="BalloonTextChar"/>
    <w:rsid w:val="000F0BF1"/>
    <w:rPr>
      <w:rFonts w:ascii="Tahoma" w:hAnsi="Tahoma" w:cs="Tahoma"/>
      <w:sz w:val="16"/>
      <w:szCs w:val="16"/>
    </w:rPr>
  </w:style>
  <w:style w:type="character" w:customStyle="1" w:styleId="BalloonTextChar">
    <w:name w:val="Balloon Text Char"/>
    <w:link w:val="BalloonText"/>
    <w:rsid w:val="000F0B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0B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0B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1531</Words>
  <Characters>9452</Characters>
  <Application>Microsoft Office Word</Application>
  <DocSecurity>0</DocSecurity>
  <Lines>325</Lines>
  <Paragraphs>174</Paragraphs>
  <ScaleCrop>false</ScaleCrop>
  <Company>Author-it Software Corporation Ltd.</Company>
  <LinksUpToDate>false</LinksUpToDate>
  <CharactersWithSpaces>10917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RGRSTD302A Interpret wagering trends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