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131" w:rsidP="00F93131">
      <w:pPr>
        <w:pStyle w:val="Title"/>
      </w:pPr>
      <w:r>
        <w:fldChar w:fldCharType="begin"/>
      </w:r>
      <w:r>
        <w:instrText xml:space="preserve"> TITLE   \* MERGEFORMAT </w:instrText>
      </w:r>
      <w:r>
        <w:fldChar w:fldCharType="separate"/>
      </w:r>
      <w:r>
        <w:t>RGRROP301A Perform ear branding and marking up of greyhounds</w:t>
      </w:r>
      <w:r>
        <w:fldChar w:fldCharType="end"/>
      </w:r>
    </w:p>
    <w:p w:rsidR="00F93131" w:rsidP="00F93131">
      <w:pPr>
        <w:pStyle w:val="Version"/>
        <w:sectPr w:rsidSect="00B25C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CA6" w:rsidP="00B25CA6">
      <w:pPr>
        <w:pStyle w:val="SuperHeading"/>
      </w:pPr>
      <w:r w:rsidRPr="00B25CA6">
        <w:t>RGRROP301A Perform ear branding and marking up of greyhounds</w:t>
      </w:r>
    </w:p>
    <w:p w:rsidR="00000000" w:rsidRPr="00B25CA6" w:rsidP="00B25CA6">
      <w:pPr>
        <w:pStyle w:val="Heading1"/>
      </w:pPr>
      <w:bookmarkStart w:id="1" w:name="O_273094"/>
      <w:bookmarkEnd w:id="1"/>
      <w:r w:rsidRPr="00B25CA6">
        <w:t>Modification History</w:t>
      </w:r>
    </w:p>
    <w:p w:rsidR="00000000" w:rsidRPr="00B25CA6" w:rsidP="00B25CA6">
      <w:pPr>
        <w:pStyle w:val="BodyText"/>
      </w:pPr>
      <w:r w:rsidRPr="00B25CA6">
        <w:t>Not Applicable</w:t>
      </w:r>
    </w:p>
    <w:p w:rsidR="00000000" w:rsidRPr="00B25CA6" w:rsidP="00B25CA6">
      <w:pPr>
        <w:pStyle w:val="AllowPageBreak"/>
      </w:pPr>
    </w:p>
    <w:p w:rsidR="00000000" w:rsidRPr="00B25CA6" w:rsidP="00B25CA6">
      <w:pPr>
        <w:pStyle w:val="Heading1"/>
      </w:pPr>
      <w:bookmarkStart w:id="2" w:name="O_217149"/>
      <w:bookmarkEnd w:id="2"/>
      <w:r w:rsidRPr="00B25CA6">
        <w:t>Unit Descriptor</w:t>
      </w:r>
    </w:p>
    <w:tbl>
      <w:tblPr>
        <w:tblW w:w="0" w:type="auto"/>
        <w:tblLayout w:type="fixed"/>
        <w:tblCellMar>
          <w:left w:w="62" w:type="dxa"/>
          <w:right w:w="62" w:type="dxa"/>
        </w:tblCellMar>
        <w:tblLook w:val="0000"/>
      </w:tblPr>
      <w:tblGrid>
        <w:gridCol w:w="2657"/>
        <w:gridCol w:w="5865"/>
      </w:tblGrid>
      <w:tr w:rsidTr="00F93131">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B25CA6" w:rsidP="00B25CA6">
            <w:pPr>
              <w:pStyle w:val="BodyText"/>
            </w:pPr>
            <w:r w:rsidRPr="00B25CA6">
              <w:t>This unit of competency specifies the outcomes required to perform industry-</w:t>
            </w:r>
            <w:r w:rsidRPr="00B25CA6">
              <w:t>regulated procedures for the recording of permanent identification and registration of individual racing greyhounds. It requires knowledge of greyhound features and greyhound behaviour traits, effective interpretation and completion of written documentatio</w:t>
            </w:r>
            <w:r w:rsidRPr="00B25CA6">
              <w:t>n, and compliance with animal welfare legislation and rules of racing.</w:t>
            </w:r>
          </w:p>
          <w:p w:rsidR="00000000" w:rsidRPr="00B25CA6" w:rsidP="00B25CA6">
            <w:pPr>
              <w:pStyle w:val="BodyText"/>
            </w:pPr>
            <w:r w:rsidRPr="00B25CA6">
              <w:t>To undertake this unit the candidate will be able to apply safe greyhound handling skills and follow workplace OHS standards.</w:t>
            </w:r>
          </w:p>
          <w:p w:rsidR="00000000" w:rsidRPr="00B25CA6" w:rsidP="00B25CA6">
            <w:pPr>
              <w:pStyle w:val="BodyText"/>
            </w:pPr>
            <w:r w:rsidRPr="00B25CA6">
              <w:t>This unit of competency operates in work environments of ra</w:t>
            </w:r>
            <w:r w:rsidRPr="00B25CA6">
              <w:t>cing kennels, racecourses and public areas.</w:t>
            </w:r>
          </w:p>
          <w:p w:rsidR="00000000" w:rsidRPr="00B25CA6" w:rsidP="00B25CA6">
            <w:pPr>
              <w:pStyle w:val="BodyText"/>
            </w:pPr>
            <w:r w:rsidRPr="00B25CA6">
              <w:t>Licensing, legislative, regulatory or certification requirements may apply to this unit. Check with your State Principal Racing Authority for current license or registration requirements.</w:t>
            </w:r>
          </w:p>
        </w:tc>
      </w:tr>
    </w:tbl>
    <w:p w:rsidR="00F93131" w:rsidP="00B25CA6">
      <w:pPr>
        <w:pStyle w:val="BodyText"/>
      </w:pPr>
    </w:p>
    <w:p w:rsidR="00F93131" w:rsidP="00B25CA6">
      <w:pPr>
        <w:pStyle w:val="BodyText"/>
      </w:pPr>
    </w:p>
    <w:p w:rsidR="00000000" w:rsidRPr="00B25CA6" w:rsidP="00B25CA6">
      <w:pPr>
        <w:pStyle w:val="Heading1"/>
      </w:pPr>
      <w:bookmarkStart w:id="3" w:name="O_217153"/>
      <w:bookmarkEnd w:id="3"/>
      <w:r w:rsidRPr="00B25CA6">
        <w:t>Application of the Unit</w:t>
      </w:r>
    </w:p>
    <w:tbl>
      <w:tblPr>
        <w:tblW w:w="0" w:type="auto"/>
        <w:tblLayout w:type="fixed"/>
        <w:tblCellMar>
          <w:left w:w="62" w:type="dxa"/>
          <w:right w:w="62" w:type="dxa"/>
        </w:tblCellMar>
        <w:tblLook w:val="0000"/>
      </w:tblPr>
      <w:tblGrid>
        <w:gridCol w:w="2751"/>
        <w:gridCol w:w="5771"/>
      </w:tblGrid>
      <w:tr w:rsidTr="00F93131">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B25CA6" w:rsidP="00B25CA6">
            <w:pPr>
              <w:pStyle w:val="BodyText"/>
            </w:pPr>
            <w:r w:rsidRPr="00B25CA6">
              <w:t>This unit of competency supports stipendiary stewards or State Principal Racing Authority delegated officers in performing industry-regulated identification and branding of racing greyhounds.</w:t>
            </w:r>
          </w:p>
          <w:p w:rsidR="00000000" w:rsidRPr="00B25CA6" w:rsidP="00B25CA6">
            <w:pPr>
              <w:pStyle w:val="BodyText"/>
            </w:pPr>
            <w:r w:rsidRPr="00B25CA6">
              <w:t>This unit can be</w:t>
            </w:r>
            <w:r w:rsidRPr="00B25CA6">
              <w:t xml:space="preserve"> contextualised for other industries while also maintaining the integrity of the unit. </w:t>
            </w:r>
          </w:p>
        </w:tc>
      </w:tr>
    </w:tbl>
    <w:p w:rsidR="00F93131" w:rsidP="00B25CA6">
      <w:pPr>
        <w:pStyle w:val="BodyText"/>
      </w:pPr>
    </w:p>
    <w:p w:rsidR="00F93131" w:rsidP="00B25CA6">
      <w:pPr>
        <w:pStyle w:val="BodyText"/>
      </w:pPr>
    </w:p>
    <w:p w:rsidR="00000000" w:rsidRPr="00B25CA6" w:rsidP="00B25CA6">
      <w:pPr>
        <w:pStyle w:val="Heading1"/>
      </w:pPr>
      <w:bookmarkStart w:id="4" w:name="O_281354"/>
      <w:bookmarkEnd w:id="4"/>
      <w:r w:rsidRPr="00B25CA6">
        <w:t>Licensing/Regulatory Information</w:t>
      </w:r>
    </w:p>
    <w:p w:rsidR="00000000" w:rsidRPr="00B25CA6" w:rsidP="00B25CA6">
      <w:pPr>
        <w:pStyle w:val="BodyText"/>
      </w:pPr>
      <w:r w:rsidRPr="00B25CA6">
        <w:t>Refer to Unit Descriptor</w:t>
      </w:r>
    </w:p>
    <w:p w:rsidR="00000000" w:rsidRPr="00B25CA6" w:rsidP="00B25CA6">
      <w:pPr>
        <w:pStyle w:val="AllowPageBreak"/>
      </w:pPr>
    </w:p>
    <w:p w:rsidR="00000000" w:rsidRPr="00B25CA6" w:rsidP="00B25CA6">
      <w:pPr>
        <w:pStyle w:val="Heading1"/>
      </w:pPr>
      <w:bookmarkStart w:id="5" w:name="O_217151"/>
      <w:bookmarkEnd w:id="5"/>
      <w:r w:rsidRPr="00B25CA6">
        <w:t>Pre-Requisites</w:t>
      </w:r>
    </w:p>
    <w:tbl>
      <w:tblPr>
        <w:tblW w:w="0" w:type="auto"/>
        <w:tblLayout w:type="fixed"/>
        <w:tblCellMar>
          <w:left w:w="62" w:type="dxa"/>
          <w:right w:w="62" w:type="dxa"/>
        </w:tblCellMar>
        <w:tblLook w:val="0000"/>
      </w:tblPr>
      <w:tblGrid>
        <w:gridCol w:w="2775"/>
        <w:gridCol w:w="1295"/>
        <w:gridCol w:w="4452"/>
      </w:tblGrid>
      <w:tr w:rsidTr="00F93131">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B25CA6">
            <w:pPr>
              <w:pStyle w:val="BodyText"/>
              <w:rPr>
                <w:lang w:val="en-NZ"/>
              </w:rPr>
            </w:pPr>
          </w:p>
        </w:tc>
      </w:tr>
      <w:tr w:rsidTr="00F93131">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p>
        </w:tc>
      </w:tr>
      <w:tr w:rsidTr="00F93131">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B25CA6" w:rsidP="00B25CA6">
            <w:pPr>
              <w:pStyle w:val="BodyText"/>
            </w:pPr>
          </w:p>
        </w:tc>
      </w:tr>
    </w:tbl>
    <w:p w:rsidR="00F93131" w:rsidP="00B25CA6">
      <w:pPr>
        <w:pStyle w:val="BodyText"/>
      </w:pPr>
    </w:p>
    <w:p w:rsidR="00F93131" w:rsidP="00B25CA6">
      <w:pPr>
        <w:pStyle w:val="BodyText"/>
      </w:pPr>
    </w:p>
    <w:p w:rsidR="00000000" w:rsidRPr="00B25CA6" w:rsidP="00B25CA6">
      <w:pPr>
        <w:pStyle w:val="Heading1"/>
      </w:pPr>
      <w:bookmarkStart w:id="6" w:name="O_217150"/>
      <w:bookmarkEnd w:id="6"/>
      <w:r w:rsidRPr="00B25CA6">
        <w:t>Employability Skills Information</w:t>
      </w:r>
    </w:p>
    <w:tbl>
      <w:tblPr>
        <w:tblW w:w="0" w:type="auto"/>
        <w:tblLayout w:type="fixed"/>
        <w:tblCellMar>
          <w:left w:w="62" w:type="dxa"/>
          <w:right w:w="62" w:type="dxa"/>
        </w:tblCellMar>
        <w:tblLook w:val="0000"/>
      </w:tblPr>
      <w:tblGrid>
        <w:gridCol w:w="2802"/>
        <w:gridCol w:w="5720"/>
      </w:tblGrid>
      <w:tr w:rsidTr="00F9313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25CA6" w:rsidP="00B25CA6">
            <w:pPr>
              <w:pStyle w:val="BodyText"/>
            </w:pPr>
            <w:r w:rsidRPr="00B25CA6">
              <w:t>This unit contains employability skills.</w:t>
            </w:r>
          </w:p>
        </w:tc>
      </w:tr>
    </w:tbl>
    <w:p w:rsidR="00F93131" w:rsidP="00B25CA6">
      <w:pPr>
        <w:pStyle w:val="BodyText"/>
      </w:pPr>
    </w:p>
    <w:p w:rsidR="00F93131" w:rsidP="00B25CA6">
      <w:pPr>
        <w:pStyle w:val="BodyText"/>
      </w:pPr>
    </w:p>
    <w:p w:rsidR="00000000" w:rsidRPr="00B25CA6" w:rsidP="00B25CA6">
      <w:pPr>
        <w:pStyle w:val="Heading1"/>
      </w:pPr>
      <w:bookmarkStart w:id="7" w:name="O_291140"/>
      <w:bookmarkEnd w:id="7"/>
      <w:r w:rsidRPr="00B25CA6">
        <w:t>Elements and Performance Criteria Pre-Content</w:t>
      </w:r>
    </w:p>
    <w:tbl>
      <w:tblPr>
        <w:tblW w:w="0" w:type="auto"/>
        <w:tblLayout w:type="fixed"/>
        <w:tblCellMar>
          <w:left w:w="62" w:type="dxa"/>
          <w:right w:w="62" w:type="dxa"/>
        </w:tblCellMar>
        <w:tblLook w:val="0000"/>
      </w:tblPr>
      <w:tblGrid>
        <w:gridCol w:w="2586"/>
        <w:gridCol w:w="5936"/>
      </w:tblGrid>
      <w:tr w:rsidTr="00F93131">
        <w:tblPrEx>
          <w:tblW w:w="0" w:type="auto"/>
          <w:tblLayout w:type="fixed"/>
          <w:tblCellMar>
            <w:left w:w="62" w:type="dxa"/>
            <w:right w:w="62" w:type="dxa"/>
          </w:tblCellMar>
          <w:tblLook w:val="0000"/>
        </w:tblPrEx>
        <w:tc>
          <w:tcPr>
            <w:tcW w:w="2586" w:type="dxa"/>
            <w:tcBorders>
              <w:top w:val="single" w:sz="6" w:space="0" w:color="auto"/>
              <w:left w:val="nil"/>
              <w:bottom w:val="nil"/>
              <w:right w:val="nil"/>
            </w:tcBorders>
            <w:tcMar>
              <w:top w:w="0" w:type="dxa"/>
              <w:left w:w="62" w:type="dxa"/>
              <w:bottom w:w="0" w:type="dxa"/>
              <w:right w:w="62" w:type="dxa"/>
            </w:tcMar>
          </w:tcPr>
          <w:p w:rsidR="00000000" w:rsidP="00B25CA6">
            <w:pPr>
              <w:pStyle w:val="BodyText"/>
              <w:rPr>
                <w:lang w:val="en-NZ"/>
              </w:rPr>
            </w:pPr>
            <w:r w:rsidRPr="00B25CA6">
              <w:t>Elements describe the essential outcomes of a unit of competency.</w:t>
            </w:r>
          </w:p>
        </w:tc>
        <w:tc>
          <w:tcPr>
            <w:tcW w:w="5936" w:type="dxa"/>
            <w:tcBorders>
              <w:top w:val="single" w:sz="6" w:space="0" w:color="auto"/>
              <w:left w:val="nil"/>
              <w:bottom w:val="nil"/>
              <w:right w:val="nil"/>
            </w:tcBorders>
            <w:tcMar>
              <w:top w:w="0" w:type="dxa"/>
              <w:left w:w="62" w:type="dxa"/>
              <w:bottom w:w="0" w:type="dxa"/>
              <w:right w:w="62" w:type="dxa"/>
            </w:tcMar>
          </w:tcPr>
          <w:p w:rsidR="00000000" w:rsidRPr="00B25CA6" w:rsidP="00B25CA6">
            <w:pPr>
              <w:pStyle w:val="BodyText"/>
            </w:pPr>
            <w:r w:rsidRPr="00B25CA6">
              <w:t>Performance criteria describe</w:t>
            </w:r>
            <w:r w:rsidRPr="00B25CA6">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B25CA6">
              <w:t>the evidence guide.</w:t>
            </w:r>
          </w:p>
        </w:tc>
      </w:tr>
    </w:tbl>
    <w:p w:rsidR="00000000" w:rsidRPr="00B25CA6" w:rsidP="00B25CA6">
      <w:pPr>
        <w:pStyle w:val="BodyText"/>
      </w:pPr>
    </w:p>
    <w:p w:rsidR="00000000" w:rsidRPr="00B25CA6" w:rsidP="00B25CA6">
      <w:pPr>
        <w:pStyle w:val="AllowPageBreak"/>
      </w:pPr>
    </w:p>
    <w:p w:rsidR="00000000" w:rsidRPr="00B25CA6" w:rsidP="00B25CA6">
      <w:pPr>
        <w:pStyle w:val="Heading1"/>
      </w:pPr>
      <w:bookmarkStart w:id="8" w:name="O_237808"/>
      <w:bookmarkEnd w:id="8"/>
      <w:r w:rsidRPr="00B25CA6">
        <w:t>Elements and Performance Criteria</w:t>
      </w:r>
    </w:p>
    <w:tbl>
      <w:tblPr>
        <w:tblW w:w="0" w:type="auto"/>
        <w:tblLayout w:type="fixed"/>
        <w:tblCellMar>
          <w:left w:w="62" w:type="dxa"/>
          <w:right w:w="62" w:type="dxa"/>
        </w:tblCellMar>
        <w:tblLook w:val="0000"/>
      </w:tblPr>
      <w:tblGrid>
        <w:gridCol w:w="2586"/>
        <w:gridCol w:w="5936"/>
      </w:tblGrid>
      <w:tr w:rsidTr="00F93131">
        <w:tblPrEx>
          <w:tblW w:w="0" w:type="auto"/>
          <w:tblLayout w:type="fixed"/>
          <w:tblCellMar>
            <w:left w:w="62" w:type="dxa"/>
            <w:right w:w="62" w:type="dxa"/>
          </w:tblCellMar>
          <w:tblLook w:val="0000"/>
        </w:tblPrEx>
        <w:trPr>
          <w:tblHeader/>
        </w:trPr>
        <w:tc>
          <w:tcPr>
            <w:tcW w:w="2586" w:type="dxa"/>
            <w:tcBorders>
              <w:top w:val="nil"/>
              <w:left w:val="nil"/>
              <w:bottom w:val="single" w:sz="6" w:space="0" w:color="auto"/>
              <w:right w:val="nil"/>
            </w:tcBorders>
            <w:tcMar>
              <w:top w:w="0" w:type="dxa"/>
              <w:left w:w="62" w:type="dxa"/>
              <w:bottom w:w="0" w:type="dxa"/>
              <w:right w:w="62" w:type="dxa"/>
            </w:tcMar>
          </w:tcPr>
          <w:p w:rsidR="00000000" w:rsidRPr="00B25CA6" w:rsidP="00B25CA6">
            <w:pPr>
              <w:pStyle w:val="BodyText"/>
            </w:pPr>
            <w:r w:rsidRPr="00B25CA6">
              <w:rPr>
                <w:rStyle w:val="SpecialBold"/>
              </w:rPr>
              <w:t>ELEMENT</w:t>
            </w:r>
          </w:p>
        </w:tc>
        <w:tc>
          <w:tcPr>
            <w:tcW w:w="5936" w:type="dxa"/>
            <w:tcBorders>
              <w:top w:val="nil"/>
              <w:left w:val="nil"/>
              <w:bottom w:val="single" w:sz="6" w:space="0" w:color="auto"/>
              <w:right w:val="nil"/>
            </w:tcBorders>
            <w:tcMar>
              <w:top w:w="0" w:type="dxa"/>
              <w:left w:w="62" w:type="dxa"/>
              <w:bottom w:w="0" w:type="dxa"/>
              <w:right w:w="62" w:type="dxa"/>
            </w:tcMar>
          </w:tcPr>
          <w:p w:rsidR="00000000" w:rsidP="00B25CA6">
            <w:pPr>
              <w:pStyle w:val="BodyText"/>
              <w:rPr>
                <w:lang w:val="en-NZ"/>
              </w:rPr>
            </w:pPr>
            <w:r w:rsidRPr="00B25CA6">
              <w:rPr>
                <w:rStyle w:val="SpecialBold"/>
              </w:rPr>
              <w:t>PERFORMANCE CRITERIA</w:t>
            </w:r>
          </w:p>
        </w:tc>
      </w:tr>
      <w:tr w:rsidTr="00F9313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t>Verify identification.</w:t>
            </w:r>
          </w:p>
        </w:tc>
        <w:tc>
          <w:tcPr>
            <w:tcW w:w="5936" w:type="dxa"/>
            <w:tcBorders>
              <w:top w:val="nil"/>
              <w:left w:val="nil"/>
              <w:bottom w:val="nil"/>
              <w:right w:val="nil"/>
            </w:tcBorders>
            <w:tcMar>
              <w:top w:w="0" w:type="dxa"/>
              <w:left w:w="62" w:type="dxa"/>
              <w:bottom w:w="0" w:type="dxa"/>
              <w:right w:w="62" w:type="dxa"/>
            </w:tcMar>
          </w:tcPr>
          <w:p w:rsidR="00000000" w:rsidRPr="00B25CA6" w:rsidP="00B25CA6">
            <w:pPr>
              <w:pStyle w:val="List"/>
            </w:pPr>
            <w:r w:rsidRPr="00B25CA6">
              <w:t>1.</w:t>
            </w:r>
            <w:r w:rsidRPr="00B25CA6">
              <w:tab/>
            </w:r>
            <w:r w:rsidRPr="00B25CA6">
              <w:rPr>
                <w:rStyle w:val="BoldandItalics"/>
              </w:rPr>
              <w:t>Industry identification features</w:t>
            </w:r>
            <w:r w:rsidRPr="00B25CA6">
              <w:t xml:space="preserve"> are used to identify greyhounds. </w:t>
            </w:r>
          </w:p>
          <w:p w:rsidR="00000000" w:rsidRPr="00B25CA6" w:rsidP="00B25CA6">
            <w:pPr>
              <w:pStyle w:val="List"/>
            </w:pPr>
            <w:r w:rsidRPr="00B25CA6">
              <w:t>2.</w:t>
            </w:r>
            <w:r w:rsidRPr="00B25CA6">
              <w:tab/>
              <w:t xml:space="preserve">Whelping certificates and other </w:t>
            </w:r>
            <w:r w:rsidRPr="00B25CA6">
              <w:rPr>
                <w:rStyle w:val="BoldandItalics"/>
              </w:rPr>
              <w:t>industry documentation</w:t>
            </w:r>
            <w:r w:rsidRPr="00B25CA6">
              <w:t xml:space="preserve"> are used to verify relationship of greyhound to declared parents. </w:t>
            </w:r>
          </w:p>
          <w:p w:rsidR="00000000" w:rsidP="00B25CA6">
            <w:pPr>
              <w:pStyle w:val="List"/>
              <w:rPr>
                <w:lang w:val="en-NZ"/>
              </w:rPr>
            </w:pPr>
            <w:r w:rsidRPr="00B25CA6">
              <w:t>3.</w:t>
            </w:r>
            <w:r w:rsidRPr="00B25CA6">
              <w:tab/>
              <w:t>Age of greyhound is estimated and compared with breeding and industry documentation.</w:t>
            </w:r>
          </w:p>
        </w:tc>
      </w:tr>
      <w:tr w:rsidTr="00F9313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t>Apply ear brand.</w:t>
            </w:r>
          </w:p>
        </w:tc>
        <w:tc>
          <w:tcPr>
            <w:tcW w:w="5936" w:type="dxa"/>
            <w:tcBorders>
              <w:top w:val="nil"/>
              <w:left w:val="nil"/>
              <w:bottom w:val="nil"/>
              <w:right w:val="nil"/>
            </w:tcBorders>
            <w:tcMar>
              <w:top w:w="0" w:type="dxa"/>
              <w:left w:w="62" w:type="dxa"/>
              <w:bottom w:w="0" w:type="dxa"/>
              <w:right w:w="62" w:type="dxa"/>
            </w:tcMar>
          </w:tcPr>
          <w:p w:rsidR="00000000" w:rsidRPr="00B25CA6" w:rsidP="00B25CA6">
            <w:pPr>
              <w:pStyle w:val="List"/>
            </w:pPr>
            <w:r w:rsidRPr="00B25CA6">
              <w:t>4.</w:t>
            </w:r>
            <w:r w:rsidRPr="00B25CA6">
              <w:tab/>
              <w:t>Animals are restrained for safety of greyhound and handler or operator.</w:t>
            </w:r>
          </w:p>
          <w:p w:rsidR="00000000" w:rsidRPr="00B25CA6" w:rsidP="00B25CA6">
            <w:pPr>
              <w:pStyle w:val="List"/>
            </w:pPr>
            <w:r w:rsidRPr="00B25CA6">
              <w:t>5.</w:t>
            </w:r>
            <w:r w:rsidRPr="00B25CA6">
              <w:tab/>
            </w:r>
            <w:r w:rsidRPr="00B25CA6">
              <w:t xml:space="preserve">Ear branding equipment is prepared. </w:t>
            </w:r>
          </w:p>
          <w:p w:rsidR="00000000" w:rsidRPr="00B25CA6" w:rsidP="00B25CA6">
            <w:pPr>
              <w:pStyle w:val="List"/>
            </w:pPr>
            <w:r w:rsidRPr="00B25CA6">
              <w:t>6.</w:t>
            </w:r>
            <w:r w:rsidRPr="00B25CA6">
              <w:tab/>
              <w:t xml:space="preserve">Ear brand is applied using </w:t>
            </w:r>
            <w:r w:rsidRPr="00B25CA6">
              <w:rPr>
                <w:rStyle w:val="BoldandItalics"/>
              </w:rPr>
              <w:t>humane techniques</w:t>
            </w:r>
            <w:r w:rsidRPr="00B25CA6">
              <w:t xml:space="preserve"> . </w:t>
            </w:r>
          </w:p>
          <w:p w:rsidR="00000000" w:rsidRPr="00B25CA6" w:rsidP="00B25CA6">
            <w:pPr>
              <w:pStyle w:val="List"/>
            </w:pPr>
            <w:r w:rsidRPr="00B25CA6">
              <w:t>7.</w:t>
            </w:r>
            <w:r w:rsidRPr="00B25CA6">
              <w:tab/>
              <w:t>Documentation is completed.</w:t>
            </w:r>
          </w:p>
        </w:tc>
      </w:tr>
    </w:tbl>
    <w:p w:rsidR="00F93131" w:rsidP="00B25CA6">
      <w:pPr>
        <w:pStyle w:val="BodyText"/>
      </w:pPr>
    </w:p>
    <w:p w:rsidR="00F93131" w:rsidP="00B25CA6">
      <w:pPr>
        <w:pStyle w:val="BodyText"/>
      </w:pPr>
    </w:p>
    <w:p w:rsidR="00000000" w:rsidRPr="00B25CA6" w:rsidP="00B25CA6">
      <w:pPr>
        <w:pStyle w:val="Heading1"/>
      </w:pPr>
      <w:bookmarkStart w:id="9" w:name="O_261599"/>
      <w:bookmarkEnd w:id="9"/>
      <w:r w:rsidRPr="00B25CA6">
        <w:t>Required Skills and Knowledge</w:t>
      </w:r>
    </w:p>
    <w:tbl>
      <w:tblPr>
        <w:tblW w:w="0" w:type="auto"/>
        <w:tblLayout w:type="fixed"/>
        <w:tblCellMar>
          <w:left w:w="62" w:type="dxa"/>
          <w:right w:w="62" w:type="dxa"/>
        </w:tblCellMar>
        <w:tblLook w:val="0000"/>
      </w:tblPr>
      <w:tblGrid>
        <w:gridCol w:w="8522"/>
      </w:tblGrid>
      <w:tr w:rsidTr="00F9313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rPr>
                <w:rStyle w:val="SpecialBold"/>
              </w:rPr>
              <w:t>REQUIRED SKILLS AND KNOWLEDGE</w:t>
            </w:r>
          </w:p>
        </w:tc>
      </w:tr>
      <w:tr w:rsidTr="00F931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t>This section describes the skills and knowledge required for this unit.</w:t>
            </w:r>
          </w:p>
        </w:tc>
      </w:tr>
      <w:tr w:rsidTr="00F931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rPr>
                <w:rStyle w:val="SpecialBold"/>
              </w:rPr>
              <w:t>Required skills</w:t>
            </w:r>
          </w:p>
        </w:tc>
      </w:tr>
      <w:tr w:rsidTr="00F931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25CA6" w:rsidP="00B25CA6">
            <w:pPr>
              <w:pStyle w:val="ListBullet"/>
            </w:pPr>
            <w:r w:rsidRPr="00B25CA6">
              <w:t>applying safe handling and work practices when dealing with greyhounds</w:t>
            </w:r>
          </w:p>
          <w:p w:rsidR="00000000" w:rsidRPr="00B25CA6" w:rsidP="00B25CA6">
            <w:pPr>
              <w:pStyle w:val="ListBullet"/>
            </w:pPr>
            <w:r w:rsidRPr="00B25CA6">
              <w:t>communicating with licensed or registered industry personnel and others using assertive communication techniques to gather, interpret and relay information related to performing ear branding and marking up procedures</w:t>
            </w:r>
          </w:p>
          <w:p w:rsidR="00000000" w:rsidRPr="00B25CA6" w:rsidP="00B25CA6">
            <w:pPr>
              <w:pStyle w:val="ListBullet"/>
            </w:pPr>
            <w:r w:rsidRPr="00B25CA6">
              <w:t>completing duties in accordance with sa</w:t>
            </w:r>
            <w:r w:rsidRPr="00B25CA6">
              <w:t>fe operating procedures and nominated time frame</w:t>
            </w:r>
          </w:p>
          <w:p w:rsidR="00000000" w:rsidRPr="00B25CA6" w:rsidP="00B25CA6">
            <w:pPr>
              <w:pStyle w:val="ListBullet"/>
            </w:pPr>
            <w:r w:rsidRPr="00B25CA6">
              <w:t>complying with animal welfare legislation</w:t>
            </w:r>
          </w:p>
          <w:p w:rsidR="00000000" w:rsidRPr="00B25CA6" w:rsidP="00B25CA6">
            <w:pPr>
              <w:pStyle w:val="ListBullet"/>
            </w:pPr>
            <w:r w:rsidRPr="00B25CA6">
              <w:t>identifying individual greyhounds using industry-approved terminology, records and signalment</w:t>
            </w:r>
          </w:p>
          <w:p w:rsidR="00000000" w:rsidRPr="00B25CA6" w:rsidP="00B25CA6">
            <w:pPr>
              <w:pStyle w:val="ListBullet"/>
            </w:pPr>
            <w:r w:rsidRPr="00B25CA6">
              <w:t>operating ear branding equipment</w:t>
            </w:r>
          </w:p>
          <w:p w:rsidR="00000000" w:rsidRPr="00B25CA6" w:rsidP="00B25CA6">
            <w:pPr>
              <w:pStyle w:val="ListBullet"/>
            </w:pPr>
            <w:r w:rsidRPr="00B25CA6">
              <w:t>reading and interpreting workplace doc</w:t>
            </w:r>
            <w:r w:rsidRPr="00B25CA6">
              <w:t>umentation, including rules of racing</w:t>
            </w:r>
          </w:p>
          <w:p w:rsidR="00000000" w:rsidRPr="00B25CA6" w:rsidP="00B25CA6">
            <w:pPr>
              <w:pStyle w:val="ListBullet"/>
            </w:pPr>
            <w:r w:rsidRPr="00B25CA6">
              <w:t>relating to people from a range of social, cultural and ethnic backgrounds and with varying physical and mental abilities</w:t>
            </w:r>
          </w:p>
          <w:p w:rsidR="00000000" w:rsidP="00B25CA6">
            <w:pPr>
              <w:pStyle w:val="ListBullet"/>
              <w:rPr>
                <w:lang w:val="en-NZ"/>
              </w:rPr>
            </w:pPr>
            <w:r w:rsidRPr="00B25CA6">
              <w:t>written communication skills to complete workplace documentation and reports.</w:t>
            </w:r>
          </w:p>
        </w:tc>
      </w:tr>
      <w:tr w:rsidTr="00F931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rPr>
                <w:rStyle w:val="SpecialBold"/>
              </w:rPr>
              <w:t>Required knowledg</w:t>
            </w:r>
            <w:r w:rsidRPr="00B25CA6">
              <w:rPr>
                <w:rStyle w:val="SpecialBold"/>
              </w:rPr>
              <w:t>e</w:t>
            </w:r>
          </w:p>
        </w:tc>
      </w:tr>
      <w:tr w:rsidTr="00F931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25CA6" w:rsidP="00B25CA6">
            <w:pPr>
              <w:pStyle w:val="ListBullet"/>
            </w:pPr>
            <w:r w:rsidRPr="00B25CA6">
              <w:t>common greyhound behaviour traits</w:t>
            </w:r>
          </w:p>
          <w:p w:rsidR="00000000" w:rsidRPr="00B25CA6" w:rsidP="00B25CA6">
            <w:pPr>
              <w:pStyle w:val="ListBullet"/>
            </w:pPr>
            <w:r w:rsidRPr="00B25CA6">
              <w:t>communication procedures within the kennel and wider racing industry</w:t>
            </w:r>
          </w:p>
          <w:p w:rsidR="00000000" w:rsidRPr="00B25CA6" w:rsidP="00B25CA6">
            <w:pPr>
              <w:pStyle w:val="ListBullet"/>
            </w:pPr>
            <w:r w:rsidRPr="00B25CA6">
              <w:t>first aid procedures for humans and greyhounds</w:t>
            </w:r>
          </w:p>
          <w:p w:rsidR="00000000" w:rsidRPr="00B25CA6" w:rsidP="00B25CA6">
            <w:pPr>
              <w:pStyle w:val="ListBullet"/>
            </w:pPr>
            <w:r w:rsidRPr="00B25CA6">
              <w:t>operating procedures for ear branding equipment</w:t>
            </w:r>
          </w:p>
          <w:p w:rsidR="00000000" w:rsidRPr="00B25CA6" w:rsidP="00B25CA6">
            <w:pPr>
              <w:pStyle w:val="ListBullet"/>
            </w:pPr>
            <w:r w:rsidRPr="00B25CA6">
              <w:t>procedures for completing workplace documentation related to greyhound identification and registration</w:t>
            </w:r>
          </w:p>
          <w:p w:rsidR="00000000" w:rsidRPr="00B25CA6" w:rsidP="00B25CA6">
            <w:pPr>
              <w:pStyle w:val="ListBullet"/>
            </w:pPr>
            <w:r w:rsidRPr="00B25CA6">
              <w:t>racing industry animal welfare requirements</w:t>
            </w:r>
          </w:p>
          <w:p w:rsidR="00000000" w:rsidRPr="00B25CA6" w:rsidP="00B25CA6">
            <w:pPr>
              <w:pStyle w:val="ListBullet"/>
            </w:pPr>
            <w:r w:rsidRPr="00B25CA6">
              <w:t>racing industry safety requirements, including safe operating procedures</w:t>
            </w:r>
          </w:p>
          <w:p w:rsidR="00000000" w:rsidRPr="00B25CA6" w:rsidP="00B25CA6">
            <w:pPr>
              <w:pStyle w:val="ListBullet"/>
            </w:pPr>
            <w:r w:rsidRPr="00B25CA6">
              <w:t>relevant rules of racing.</w:t>
            </w:r>
          </w:p>
        </w:tc>
      </w:tr>
    </w:tbl>
    <w:p w:rsidR="00F93131" w:rsidP="00B25CA6">
      <w:pPr>
        <w:pStyle w:val="BodyText"/>
      </w:pPr>
    </w:p>
    <w:p w:rsidR="00F93131" w:rsidP="00B25CA6">
      <w:pPr>
        <w:pStyle w:val="BodyText"/>
      </w:pPr>
    </w:p>
    <w:p w:rsidR="00000000" w:rsidRPr="00B25CA6" w:rsidP="00B25CA6">
      <w:pPr>
        <w:pStyle w:val="AllowPageBreak"/>
      </w:pPr>
    </w:p>
    <w:p w:rsidR="00000000" w:rsidRPr="00B25CA6" w:rsidP="00B25CA6">
      <w:pPr>
        <w:pStyle w:val="Heading1"/>
      </w:pPr>
      <w:bookmarkStart w:id="10" w:name="O_245792"/>
      <w:bookmarkEnd w:id="10"/>
      <w:r w:rsidRPr="00B25CA6">
        <w:t>Evidence Guide</w:t>
      </w:r>
    </w:p>
    <w:tbl>
      <w:tblPr>
        <w:tblW w:w="9570" w:type="dxa"/>
        <w:tblLayout w:type="fixed"/>
        <w:tblCellMar>
          <w:left w:w="62" w:type="dxa"/>
          <w:right w:w="62" w:type="dxa"/>
        </w:tblCellMar>
        <w:tblLook w:val="0000"/>
      </w:tblPr>
      <w:tblGrid>
        <w:gridCol w:w="3908"/>
        <w:gridCol w:w="5662"/>
      </w:tblGrid>
      <w:tr w:rsidTr="00F93131">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B25CA6">
            <w:pPr>
              <w:pStyle w:val="BodyText"/>
              <w:rPr>
                <w:lang w:val="en-NZ"/>
              </w:rPr>
            </w:pPr>
            <w:r w:rsidRPr="00B25CA6">
              <w:rPr>
                <w:rStyle w:val="SpecialBold"/>
              </w:rPr>
              <w:t>EVIDENCE GUIDE</w:t>
            </w:r>
          </w:p>
        </w:tc>
      </w:tr>
      <w:tr w:rsidTr="00F93131">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B25CA6">
            <w:pPr>
              <w:pStyle w:val="BodyText"/>
              <w:rPr>
                <w:lang w:val="en-NZ"/>
              </w:rPr>
            </w:pPr>
            <w:r w:rsidRPr="00B25CA6">
              <w:t xml:space="preserve">The evidence guide provides advice on assessment and must be read in conjunction with the performance criteria, required skills and knowledge, </w:t>
            </w:r>
            <w:r w:rsidRPr="00B25CA6">
              <w:t>range statement and the Assessment Guidelines for the Training Package.</w:t>
            </w:r>
          </w:p>
        </w:tc>
      </w:tr>
      <w:tr w:rsidTr="00F9313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25CA6" w:rsidP="00B25CA6">
            <w:pPr>
              <w:pStyle w:val="BodyText"/>
            </w:pPr>
            <w:r w:rsidRPr="00B25CA6">
              <w:t>The evidence required to demonstrate competency in this unit must be relevant to workplace operations and satisfy all of the requirements of the performance criteria, required skills and knowledge and the range statement of this unit and include evidence o</w:t>
            </w:r>
            <w:r w:rsidRPr="00B25CA6">
              <w:t>f the following:</w:t>
            </w:r>
          </w:p>
          <w:p w:rsidR="00000000" w:rsidRPr="00B25CA6" w:rsidP="00B25CA6">
            <w:pPr>
              <w:pStyle w:val="ListBullet"/>
            </w:pPr>
            <w:r w:rsidRPr="00B25CA6">
              <w:t>knowledge of the requirements, procedures and instructions that are to apply when performing ear branding and marking up of greyhounds</w:t>
            </w:r>
          </w:p>
          <w:p w:rsidR="00000000" w:rsidRPr="00B25CA6" w:rsidP="00B25CA6">
            <w:pPr>
              <w:pStyle w:val="ListBullet"/>
            </w:pPr>
            <w:r w:rsidRPr="00B25CA6">
              <w:t>implementation of procedures and timely techniques for safe, effective and efficient ear branding appli</w:t>
            </w:r>
            <w:r w:rsidRPr="00B25CA6">
              <w:t>cation</w:t>
            </w:r>
          </w:p>
          <w:p w:rsidR="00000000" w:rsidRPr="00B25CA6" w:rsidP="00B25CA6">
            <w:pPr>
              <w:pStyle w:val="ListBullet"/>
            </w:pPr>
            <w:r w:rsidRPr="00B25CA6">
              <w:t>working with others to undertake and complete the required procedures that meet required outcomes.</w:t>
            </w:r>
          </w:p>
          <w:p w:rsidR="00000000" w:rsidP="00B25CA6">
            <w:pPr>
              <w:pStyle w:val="BodyText"/>
              <w:rPr>
                <w:lang w:val="en-NZ"/>
              </w:rPr>
            </w:pPr>
            <w:r w:rsidRPr="00B25CA6">
              <w:t>Evidence should be collected over a period of time in a range of workplace-relevant contexts and include dealings with an appropriate range of situati</w:t>
            </w:r>
            <w:r w:rsidRPr="00B25CA6">
              <w:t xml:space="preserve">ons. </w:t>
            </w:r>
          </w:p>
        </w:tc>
      </w:tr>
      <w:tr w:rsidTr="00F9313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25CA6" w:rsidP="00B25CA6">
            <w:pPr>
              <w:pStyle w:val="BodyText"/>
            </w:pPr>
            <w:r w:rsidRPr="00B25CA6">
              <w:t xml:space="preserve">Competency must be assessed in a racing workplace that provides access to the required resources or simulated environment approved by the relevant </w:t>
            </w:r>
            <w:r w:rsidRPr="00B25CA6">
              <w:t>State Principal Racing Authority. Assessment is to occur under standard and authorised work practices, safety requirements and environmental constraints. It is to comply with relevant regulatory requirements or Australian Standards requirements.</w:t>
            </w:r>
          </w:p>
          <w:p w:rsidR="00000000" w:rsidRPr="00B25CA6" w:rsidP="00B25CA6">
            <w:pPr>
              <w:pStyle w:val="BodyText"/>
            </w:pPr>
            <w:r w:rsidRPr="00B25CA6">
              <w:t>Assessment</w:t>
            </w:r>
            <w:r w:rsidRPr="00B25CA6">
              <w:t xml:space="preserve"> of the practical components of this unit will be by observation of relevant skills.</w:t>
            </w:r>
          </w:p>
          <w:p w:rsidR="00000000" w:rsidRPr="00B25CA6" w:rsidP="00B25CA6">
            <w:pPr>
              <w:pStyle w:val="BodyText"/>
            </w:pPr>
            <w:r w:rsidRPr="00B25CA6">
              <w:t>The following resources must be available:</w:t>
            </w:r>
          </w:p>
          <w:p w:rsidR="00000000" w:rsidRPr="00B25CA6" w:rsidP="00B25CA6">
            <w:pPr>
              <w:pStyle w:val="ListBullet"/>
            </w:pPr>
            <w:r w:rsidRPr="00B25CA6">
              <w:t>a variety of greyhounds</w:t>
            </w:r>
          </w:p>
          <w:p w:rsidR="00000000" w:rsidRPr="00B25CA6" w:rsidP="00B25CA6">
            <w:pPr>
              <w:pStyle w:val="ListBullet"/>
            </w:pPr>
            <w:r w:rsidRPr="00B25CA6">
              <w:t>materials and equipment relevant to assessing candidate's ability to perform ear branding and marking u</w:t>
            </w:r>
            <w:r w:rsidRPr="00B25CA6">
              <w:t>p procedures</w:t>
            </w:r>
          </w:p>
          <w:p w:rsidR="00000000" w:rsidRPr="00B25CA6" w:rsidP="00B25CA6">
            <w:pPr>
              <w:pStyle w:val="ListBullet"/>
            </w:pPr>
            <w:r w:rsidRPr="00B25CA6">
              <w:t>safe handling areas, such as commercial kennels, training and racetracks</w:t>
            </w:r>
          </w:p>
          <w:p w:rsidR="00000000" w:rsidP="00B25CA6">
            <w:pPr>
              <w:pStyle w:val="ListBullet"/>
              <w:rPr>
                <w:lang w:val="en-NZ"/>
              </w:rPr>
            </w:pPr>
            <w:r w:rsidRPr="00B25CA6">
              <w:t>work instructions and related documentation.</w:t>
            </w:r>
          </w:p>
        </w:tc>
      </w:tr>
      <w:tr w:rsidTr="00F9313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25CA6" w:rsidP="00B25CA6">
            <w:pPr>
              <w:pStyle w:val="BodyText"/>
            </w:pPr>
            <w:r w:rsidRPr="00B25CA6">
              <w:t>Assessment methods must satisfy the endorsed Assessment Guidelines of the Racing Training Package.</w:t>
            </w:r>
          </w:p>
          <w:p w:rsidR="00000000" w:rsidRPr="00B25CA6" w:rsidP="00B25CA6">
            <w:pPr>
              <w:pStyle w:val="BodyText"/>
            </w:pPr>
            <w:r w:rsidRPr="00B25CA6">
              <w:t xml:space="preserve">The </w:t>
            </w:r>
            <w:r w:rsidRPr="00B25CA6">
              <w:t>suggested strategies for the assessment of this unit are:</w:t>
            </w:r>
          </w:p>
          <w:p w:rsidR="00000000" w:rsidRPr="00B25CA6" w:rsidP="00B25CA6">
            <w:pPr>
              <w:pStyle w:val="ListBullet"/>
            </w:pPr>
            <w:r w:rsidRPr="00B25CA6">
              <w:t>written and/or oral assessment of candidate's required knowledge</w:t>
            </w:r>
          </w:p>
          <w:p w:rsidR="00000000" w:rsidRPr="00B25CA6" w:rsidP="00B25CA6">
            <w:pPr>
              <w:pStyle w:val="ListBullet"/>
            </w:pPr>
            <w:r w:rsidRPr="00B25CA6">
              <w:t>observed, documented and firsthand testimonial evidence of candidate's application of practical tasks</w:t>
            </w:r>
          </w:p>
          <w:p w:rsidR="00000000" w:rsidRPr="00B25CA6" w:rsidP="00B25CA6">
            <w:pPr>
              <w:pStyle w:val="ListBullet"/>
            </w:pPr>
            <w:r w:rsidRPr="00B25CA6">
              <w:t>simulation exercises conducted</w:t>
            </w:r>
            <w:r w:rsidRPr="00B25CA6">
              <w:t xml:space="preserve"> in a State Principal Racing Authority approved simulated environment.</w:t>
            </w:r>
          </w:p>
          <w:p w:rsidR="00000000" w:rsidRPr="00B25CA6" w:rsidP="00B25CA6">
            <w:pPr>
              <w:pStyle w:val="BodyText"/>
            </w:pPr>
            <w:r w:rsidRPr="00B25CA6">
              <w:t>Evidence is required to be demonstrated over a period of time, therefore where performance is not directly observed any evidence should be authenticated by supervisors or other appropri</w:t>
            </w:r>
            <w:r w:rsidRPr="00B25CA6">
              <w:t>ate persons.</w:t>
            </w:r>
          </w:p>
          <w:p w:rsidR="00000000" w:rsidRPr="00B25CA6" w:rsidP="00B25CA6">
            <w:pPr>
              <w:pStyle w:val="BodyText"/>
            </w:pPr>
            <w:r w:rsidRPr="00B25CA6">
              <w:t>This unit may be assessed in a holistic way with other units of competency relevant to the industry sector, workplace and job role, for example:</w:t>
            </w:r>
          </w:p>
          <w:p w:rsidR="00000000" w:rsidRPr="00B25CA6" w:rsidP="00B25CA6">
            <w:pPr>
              <w:pStyle w:val="ListBullet"/>
            </w:pPr>
            <w:r w:rsidRPr="00B25CA6">
              <w:t>RGRCMN001A Comply with the rules of racing and related protocols</w:t>
            </w:r>
          </w:p>
          <w:p w:rsidR="00000000" w:rsidP="00B25CA6">
            <w:pPr>
              <w:pStyle w:val="ListBullet"/>
              <w:rPr>
                <w:lang w:val="en-NZ"/>
              </w:rPr>
            </w:pPr>
            <w:r w:rsidRPr="00B25CA6">
              <w:t>RGRPSG201A Handle greyhounds.</w:t>
            </w:r>
          </w:p>
        </w:tc>
      </w:tr>
      <w:tr w:rsidTr="00F9313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B25CA6" w:rsidP="00B25CA6">
            <w:pPr>
              <w:pStyle w:val="BodyText"/>
            </w:pPr>
            <w:r w:rsidRPr="00B25CA6">
              <w:t>Assessment methods should reflect workplace demands (e.g. literacy and numeracy demands) and the needs of particular target groups (e.g. people with disabilities, Aboriginal and Torres Strait Islander people, women, peop</w:t>
            </w:r>
            <w:r w:rsidRPr="00B25CA6">
              <w:t xml:space="preserve">le with a language background other than English, youth and people from low socioeconomic backgrounds). </w:t>
            </w:r>
          </w:p>
        </w:tc>
      </w:tr>
    </w:tbl>
    <w:p w:rsidR="00F93131" w:rsidP="00B25CA6">
      <w:pPr>
        <w:pStyle w:val="BodyText"/>
      </w:pPr>
    </w:p>
    <w:p w:rsidR="00F93131" w:rsidP="00B25CA6">
      <w:pPr>
        <w:pStyle w:val="BodyText"/>
      </w:pPr>
    </w:p>
    <w:p w:rsidR="00000000" w:rsidRPr="00B25CA6" w:rsidP="00B25CA6">
      <w:pPr>
        <w:pStyle w:val="Heading1"/>
      </w:pPr>
      <w:bookmarkStart w:id="11" w:name="O_253775"/>
      <w:bookmarkEnd w:id="11"/>
      <w:r w:rsidRPr="00B25CA6">
        <w:t>Range Statement</w:t>
      </w:r>
    </w:p>
    <w:tbl>
      <w:tblPr>
        <w:tblW w:w="0" w:type="auto"/>
        <w:tblLayout w:type="fixed"/>
        <w:tblCellMar>
          <w:left w:w="62" w:type="dxa"/>
          <w:right w:w="62" w:type="dxa"/>
        </w:tblCellMar>
        <w:tblLook w:val="0000"/>
      </w:tblPr>
      <w:tblGrid>
        <w:gridCol w:w="3533"/>
        <w:gridCol w:w="4989"/>
      </w:tblGrid>
      <w:tr w:rsidTr="00F9313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25CA6">
            <w:pPr>
              <w:pStyle w:val="BodyText"/>
              <w:rPr>
                <w:lang w:val="en-NZ"/>
              </w:rPr>
            </w:pPr>
            <w:r w:rsidRPr="00B25CA6">
              <w:rPr>
                <w:rStyle w:val="SpecialBold"/>
              </w:rPr>
              <w:t>RANGE STATEMENT</w:t>
            </w:r>
          </w:p>
        </w:tc>
      </w:tr>
      <w:tr w:rsidTr="00F9313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B25CA6" w:rsidP="00B25CA6">
            <w:pPr>
              <w:pStyle w:val="BodyText"/>
            </w:pPr>
            <w:r w:rsidRPr="00B25CA6">
              <w:t xml:space="preserve">The range statement relates to the unit of competency as a whole. It allows for different work environments and situations that may affect performance. Bold italicised wording in the performance criteria is detailed below. </w:t>
            </w:r>
          </w:p>
          <w:p w:rsidR="00000000" w:rsidRPr="00B25CA6" w:rsidP="00B25CA6">
            <w:pPr>
              <w:pStyle w:val="BodyText"/>
            </w:pPr>
          </w:p>
          <w:p w:rsidR="00000000" w:rsidRPr="00B25CA6" w:rsidP="00B25CA6">
            <w:pPr>
              <w:pStyle w:val="BodyText"/>
            </w:pPr>
            <w:r w:rsidRPr="00B25CA6">
              <w:t>The range statement provides de</w:t>
            </w:r>
            <w:r w:rsidRPr="00B25CA6">
              <w:t>tails of how this competency can be used in the workplaces of the racing industry to perform ear branding and marking up of greyhounds. Workplaces include greyhound racecourses, training tracks and administration buildings.</w:t>
            </w:r>
          </w:p>
          <w:p w:rsidR="00000000" w:rsidRPr="00B25CA6" w:rsidP="00B25CA6">
            <w:pPr>
              <w:pStyle w:val="BodyText"/>
            </w:pPr>
          </w:p>
          <w:p w:rsidR="00000000" w:rsidP="00B25CA6">
            <w:pPr>
              <w:pStyle w:val="BodyText"/>
              <w:rPr>
                <w:lang w:val="en-NZ"/>
              </w:rPr>
            </w:pPr>
            <w:r w:rsidRPr="00B25CA6">
              <w:t>Stewards oversee the conduct of</w:t>
            </w:r>
            <w:r w:rsidRPr="00B25CA6">
              <w:t xml:space="preserve"> all racing-related activities within the responsibilities and powers described under the rules of racing. The conditions under which this unit is delivered and assessed must take into consideration these powers and responsibilities. These powers and respo</w:t>
            </w:r>
            <w:r w:rsidRPr="00B25CA6">
              <w:t>nsibilities are further described in the rules of racing for the relevant racing code. It is strongly recommended that training facilitators and learners refer to these powers and responsibilities as part of the range of conditions for all units covered in</w:t>
            </w:r>
            <w:r w:rsidRPr="00B25CA6">
              <w:t xml:space="preserve"> the steward specialist area of the Training Package.</w:t>
            </w:r>
          </w:p>
        </w:tc>
      </w:tr>
      <w:tr w:rsidTr="00F9313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rPr>
                <w:rStyle w:val="BoldandItalics"/>
              </w:rPr>
              <w:t>Industry identification features</w:t>
            </w:r>
            <w:r w:rsidRPr="00B25CA6">
              <w:t xml:space="preserve"> will include: </w:t>
            </w:r>
          </w:p>
        </w:tc>
        <w:tc>
          <w:tcPr>
            <w:tcW w:w="4989" w:type="dxa"/>
            <w:tcBorders>
              <w:top w:val="nil"/>
              <w:left w:val="nil"/>
              <w:bottom w:val="nil"/>
              <w:right w:val="nil"/>
            </w:tcBorders>
            <w:tcMar>
              <w:top w:w="0" w:type="dxa"/>
              <w:left w:w="62" w:type="dxa"/>
              <w:bottom w:w="0" w:type="dxa"/>
              <w:right w:w="62" w:type="dxa"/>
            </w:tcMar>
          </w:tcPr>
          <w:p w:rsidR="00000000" w:rsidRPr="00B25CA6" w:rsidP="00B25CA6">
            <w:pPr>
              <w:pStyle w:val="ListBullet"/>
            </w:pPr>
            <w:r w:rsidRPr="00B25CA6">
              <w:t>breeding</w:t>
            </w:r>
          </w:p>
          <w:p w:rsidR="00000000" w:rsidRPr="00B25CA6" w:rsidP="00B25CA6">
            <w:pPr>
              <w:pStyle w:val="ListBullet"/>
            </w:pPr>
            <w:r w:rsidRPr="00B25CA6">
              <w:t>colour</w:t>
            </w:r>
          </w:p>
          <w:p w:rsidR="00000000" w:rsidRPr="00B25CA6" w:rsidP="00B25CA6">
            <w:pPr>
              <w:pStyle w:val="ListBullet"/>
            </w:pPr>
            <w:r w:rsidRPr="00B25CA6">
              <w:t>date of whelping</w:t>
            </w:r>
          </w:p>
          <w:p w:rsidR="00000000" w:rsidRPr="00B25CA6" w:rsidP="00B25CA6">
            <w:pPr>
              <w:pStyle w:val="ListBullet"/>
            </w:pPr>
            <w:r w:rsidRPr="00B25CA6">
              <w:t>ear brands</w:t>
            </w:r>
          </w:p>
          <w:p w:rsidR="00000000" w:rsidRPr="00B25CA6" w:rsidP="00B25CA6">
            <w:pPr>
              <w:pStyle w:val="ListBullet"/>
            </w:pPr>
            <w:r w:rsidRPr="00B25CA6">
              <w:t>markings</w:t>
            </w:r>
          </w:p>
          <w:p w:rsidR="00000000" w:rsidRPr="00B25CA6" w:rsidP="00B25CA6">
            <w:pPr>
              <w:pStyle w:val="ListBullet"/>
            </w:pPr>
            <w:r w:rsidRPr="00B25CA6">
              <w:t>owner</w:t>
            </w:r>
          </w:p>
          <w:p w:rsidR="00000000" w:rsidRPr="00B25CA6" w:rsidP="00B25CA6">
            <w:pPr>
              <w:pStyle w:val="ListBullet"/>
            </w:pPr>
            <w:r w:rsidRPr="00B25CA6">
              <w:t>racing name</w:t>
            </w:r>
          </w:p>
          <w:p w:rsidR="00000000" w:rsidRPr="00B25CA6" w:rsidP="00B25CA6">
            <w:pPr>
              <w:pStyle w:val="ListBullet"/>
            </w:pPr>
            <w:r w:rsidRPr="00B25CA6">
              <w:t>registration number</w:t>
            </w:r>
          </w:p>
          <w:p w:rsidR="00000000" w:rsidP="00B25CA6">
            <w:pPr>
              <w:pStyle w:val="ListBullet"/>
              <w:rPr>
                <w:lang w:val="en-NZ"/>
              </w:rPr>
            </w:pPr>
            <w:r w:rsidRPr="00B25CA6">
              <w:t>sex.</w:t>
            </w:r>
          </w:p>
        </w:tc>
      </w:tr>
      <w:tr w:rsidTr="00F9313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rPr>
                <w:rStyle w:val="BoldandItalics"/>
              </w:rPr>
              <w:t>Other industry documentation</w:t>
            </w:r>
            <w:r w:rsidRPr="00B25CA6">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B25CA6" w:rsidP="00B25CA6">
            <w:pPr>
              <w:pStyle w:val="ListBullet"/>
            </w:pPr>
            <w:r w:rsidRPr="00B25CA6">
              <w:t>naming and registration certificate</w:t>
            </w:r>
          </w:p>
          <w:p w:rsidR="00000000" w:rsidP="00B25CA6">
            <w:pPr>
              <w:pStyle w:val="ListBullet"/>
              <w:rPr>
                <w:lang w:val="en-NZ"/>
              </w:rPr>
            </w:pPr>
            <w:r w:rsidRPr="00B25CA6">
              <w:t>kennel return.</w:t>
            </w:r>
          </w:p>
        </w:tc>
      </w:tr>
      <w:tr w:rsidTr="00F9313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rPr>
                <w:rStyle w:val="BoldandItalics"/>
              </w:rPr>
              <w:t>Ear branding equipment required</w:t>
            </w:r>
            <w:r w:rsidRPr="00B25CA6">
              <w:t xml:space="preserve"> includes: </w:t>
            </w:r>
          </w:p>
        </w:tc>
        <w:tc>
          <w:tcPr>
            <w:tcW w:w="4989" w:type="dxa"/>
            <w:tcBorders>
              <w:top w:val="nil"/>
              <w:left w:val="nil"/>
              <w:bottom w:val="nil"/>
              <w:right w:val="nil"/>
            </w:tcBorders>
            <w:tcMar>
              <w:top w:w="0" w:type="dxa"/>
              <w:left w:w="62" w:type="dxa"/>
              <w:bottom w:w="0" w:type="dxa"/>
              <w:right w:w="62" w:type="dxa"/>
            </w:tcMar>
          </w:tcPr>
          <w:p w:rsidR="00000000" w:rsidRPr="00B25CA6" w:rsidP="00B25CA6">
            <w:pPr>
              <w:pStyle w:val="ListBullet"/>
            </w:pPr>
            <w:r w:rsidRPr="00B25CA6">
              <w:t>collar</w:t>
            </w:r>
          </w:p>
          <w:p w:rsidR="00000000" w:rsidRPr="00B25CA6" w:rsidP="00B25CA6">
            <w:pPr>
              <w:pStyle w:val="ListBullet"/>
            </w:pPr>
            <w:r w:rsidRPr="00B25CA6">
              <w:t>lead</w:t>
            </w:r>
          </w:p>
          <w:p w:rsidR="00000000" w:rsidRPr="00B25CA6" w:rsidP="00B25CA6">
            <w:pPr>
              <w:pStyle w:val="ListBullet"/>
            </w:pPr>
            <w:r w:rsidRPr="00B25CA6">
              <w:t>muzzle</w:t>
            </w:r>
          </w:p>
          <w:p w:rsidR="00000000" w:rsidP="00B25CA6">
            <w:pPr>
              <w:pStyle w:val="ListBullet"/>
              <w:rPr>
                <w:lang w:val="en-NZ"/>
              </w:rPr>
            </w:pPr>
            <w:r w:rsidRPr="00B25CA6">
              <w:t>tattoo.</w:t>
            </w:r>
          </w:p>
        </w:tc>
      </w:tr>
      <w:tr w:rsidTr="00F93131">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rPr>
                <w:rStyle w:val="BoldandItalics"/>
              </w:rPr>
              <w:t>Humane techniques</w:t>
            </w:r>
            <w:r w:rsidRPr="00B25CA6">
              <w:t xml:space="preserve"> ensure: </w:t>
            </w:r>
          </w:p>
        </w:tc>
        <w:tc>
          <w:tcPr>
            <w:tcW w:w="4989" w:type="dxa"/>
            <w:tcBorders>
              <w:top w:val="nil"/>
              <w:left w:val="nil"/>
              <w:bottom w:val="nil"/>
              <w:right w:val="nil"/>
            </w:tcBorders>
            <w:tcMar>
              <w:top w:w="0" w:type="dxa"/>
              <w:left w:w="62" w:type="dxa"/>
              <w:bottom w:w="0" w:type="dxa"/>
              <w:right w:w="62" w:type="dxa"/>
            </w:tcMar>
          </w:tcPr>
          <w:p w:rsidR="00000000" w:rsidRPr="00B25CA6" w:rsidP="00B25CA6">
            <w:pPr>
              <w:pStyle w:val="ListBullet"/>
            </w:pPr>
            <w:r w:rsidRPr="00B25CA6">
              <w:t>compliance with animal welfare legislation</w:t>
            </w:r>
          </w:p>
          <w:p w:rsidR="00000000" w:rsidRPr="00B25CA6" w:rsidP="00B25CA6">
            <w:pPr>
              <w:pStyle w:val="ListBullet"/>
            </w:pPr>
            <w:r w:rsidRPr="00B25CA6">
              <w:t>compliance with rules of racing</w:t>
            </w:r>
          </w:p>
          <w:p w:rsidR="00000000" w:rsidRPr="00B25CA6" w:rsidP="00B25CA6">
            <w:pPr>
              <w:pStyle w:val="ListBullet"/>
            </w:pPr>
            <w:r w:rsidRPr="00B25CA6">
              <w:t>safety of handler and operator</w:t>
            </w:r>
          </w:p>
          <w:p w:rsidR="00000000" w:rsidRPr="00B25CA6" w:rsidP="00B25CA6">
            <w:pPr>
              <w:pStyle w:val="ListBullet"/>
            </w:pPr>
            <w:r w:rsidRPr="00B25CA6">
              <w:t>safety of greyhound.</w:t>
            </w:r>
          </w:p>
        </w:tc>
      </w:tr>
    </w:tbl>
    <w:p w:rsidR="00F93131" w:rsidP="00B25CA6">
      <w:pPr>
        <w:pStyle w:val="BodyText"/>
      </w:pPr>
    </w:p>
    <w:p w:rsidR="00F93131" w:rsidP="00B25CA6">
      <w:pPr>
        <w:pStyle w:val="BodyText"/>
      </w:pPr>
    </w:p>
    <w:p w:rsidR="00000000" w:rsidRPr="00B25CA6" w:rsidP="00B25CA6">
      <w:pPr>
        <w:pStyle w:val="Heading1"/>
      </w:pPr>
      <w:bookmarkStart w:id="12" w:name="O_217155"/>
      <w:bookmarkEnd w:id="12"/>
      <w:r w:rsidRPr="00B25CA6">
        <w:t>Unit Sector(s)</w:t>
      </w:r>
    </w:p>
    <w:tbl>
      <w:tblPr>
        <w:tblW w:w="0" w:type="auto"/>
        <w:tblLayout w:type="fixed"/>
        <w:tblCellMar>
          <w:left w:w="62" w:type="dxa"/>
          <w:right w:w="62" w:type="dxa"/>
        </w:tblCellMar>
        <w:tblLook w:val="0000"/>
      </w:tblPr>
      <w:tblGrid>
        <w:gridCol w:w="2605"/>
        <w:gridCol w:w="5917"/>
      </w:tblGrid>
      <w:tr w:rsidTr="00F93131">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B25CA6" w:rsidP="00B25CA6">
            <w:pPr>
              <w:pStyle w:val="BodyText"/>
            </w:pPr>
            <w:r w:rsidRPr="00B25CA6">
              <w:t>Greyhound racing code</w:t>
            </w:r>
          </w:p>
        </w:tc>
      </w:tr>
    </w:tbl>
    <w:p w:rsidR="00F93131" w:rsidP="00B25CA6">
      <w:pPr>
        <w:pStyle w:val="BodyText"/>
      </w:pPr>
    </w:p>
    <w:p w:rsidR="00F93131" w:rsidP="00B25CA6">
      <w:pPr>
        <w:pStyle w:val="BodyText"/>
      </w:pPr>
    </w:p>
    <w:p w:rsidR="00000000" w:rsidRPr="00B25CA6" w:rsidP="00B25CA6">
      <w:pPr>
        <w:pStyle w:val="Heading1"/>
      </w:pPr>
      <w:bookmarkStart w:id="13" w:name="O_217152"/>
      <w:bookmarkEnd w:id="13"/>
      <w:r w:rsidRPr="00B25CA6">
        <w:t>Co-requisite units</w:t>
      </w:r>
    </w:p>
    <w:tbl>
      <w:tblPr>
        <w:tblW w:w="0" w:type="auto"/>
        <w:tblLayout w:type="fixed"/>
        <w:tblCellMar>
          <w:left w:w="62" w:type="dxa"/>
          <w:right w:w="62" w:type="dxa"/>
        </w:tblCellMar>
        <w:tblLook w:val="0000"/>
      </w:tblPr>
      <w:tblGrid>
        <w:gridCol w:w="2641"/>
        <w:gridCol w:w="1322"/>
        <w:gridCol w:w="4559"/>
      </w:tblGrid>
      <w:tr w:rsidTr="00F93131">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B25CA6">
            <w:pPr>
              <w:pStyle w:val="BodyText"/>
              <w:rPr>
                <w:lang w:val="en-NZ"/>
              </w:rPr>
            </w:pPr>
          </w:p>
        </w:tc>
      </w:tr>
      <w:tr w:rsidTr="00F9313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p>
        </w:tc>
      </w:tr>
      <w:tr w:rsidTr="00F93131">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B25CA6" w:rsidP="00B25CA6">
            <w:pPr>
              <w:pStyle w:val="BodyText"/>
            </w:pPr>
          </w:p>
        </w:tc>
      </w:tr>
    </w:tbl>
    <w:p w:rsidR="00F93131" w:rsidP="00B25CA6">
      <w:pPr>
        <w:pStyle w:val="BodyText"/>
      </w:pPr>
    </w:p>
    <w:p w:rsidR="00F93131" w:rsidP="00B25CA6">
      <w:pPr>
        <w:pStyle w:val="BodyText"/>
      </w:pPr>
    </w:p>
    <w:p w:rsidR="00000000" w:rsidRPr="00B25CA6" w:rsidP="00B25CA6">
      <w:pPr>
        <w:pStyle w:val="Heading1"/>
      </w:pPr>
      <w:bookmarkStart w:id="14" w:name="O_217154"/>
      <w:bookmarkEnd w:id="14"/>
      <w:r w:rsidRPr="00B25CA6">
        <w:t>Functional Area</w:t>
      </w:r>
    </w:p>
    <w:tbl>
      <w:tblPr>
        <w:tblW w:w="0" w:type="auto"/>
        <w:tblLayout w:type="fixed"/>
        <w:tblCellMar>
          <w:left w:w="62" w:type="dxa"/>
          <w:right w:w="62" w:type="dxa"/>
        </w:tblCellMar>
        <w:tblLook w:val="0000"/>
      </w:tblPr>
      <w:tblGrid>
        <w:gridCol w:w="2736"/>
        <w:gridCol w:w="5786"/>
      </w:tblGrid>
      <w:tr w:rsidTr="00F93131">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B25CA6">
            <w:pPr>
              <w:pStyle w:val="BodyText"/>
              <w:rPr>
                <w:lang w:val="en-NZ"/>
              </w:rPr>
            </w:pPr>
            <w:r w:rsidRPr="00B25CA6">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B25CA6" w:rsidP="00B25CA6">
            <w:pPr>
              <w:pStyle w:val="BodyText"/>
            </w:pPr>
            <w:r w:rsidRPr="00B25CA6">
              <w:t>Racing performance services</w:t>
            </w:r>
          </w:p>
        </w:tc>
      </w:tr>
    </w:tbl>
    <w:p w:rsidR="00F93131" w:rsidP="00B25CA6">
      <w:pPr>
        <w:pStyle w:val="BodyText"/>
      </w:pPr>
    </w:p>
    <w:p w:rsidR="00F93131" w:rsidP="00B25CA6">
      <w:pPr>
        <w:pStyle w:val="BodyText"/>
      </w:pPr>
    </w:p>
    <w:p w:rsidR="00000000" w:rsidRPr="00B25CA6" w:rsidP="00B25CA6"/>
    <w:sectPr w:rsidSect="00B25C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131" w:rsidP="00F931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131" w:rsidP="00B25C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3131" w:rsidP="00B25C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93131" w:rsidP="00B25C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131" w:rsidP="00F931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131" w:rsidP="00B25CA6">
    <w:pPr>
      <w:pStyle w:val="Header"/>
      <w:framePr w:wrap="around"/>
    </w:pPr>
    <w:r>
      <w:fldChar w:fldCharType="begin"/>
    </w:r>
    <w:r>
      <w:instrText xml:space="preserve"> TITLE   \* MERGEFORMAT </w:instrText>
    </w:r>
    <w:r>
      <w:fldChar w:fldCharType="separate"/>
    </w:r>
    <w:r>
      <w:t>RGRROP301A Perform ear branding and marking up of greyhounds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3131" w:rsidP="00B25C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F82E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2C74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C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5CA6"/>
    <w:pPr>
      <w:spacing w:before="360" w:after="60"/>
      <w:outlineLvl w:val="0"/>
    </w:pPr>
    <w:rPr>
      <w:sz w:val="32"/>
    </w:rPr>
  </w:style>
  <w:style w:type="paragraph" w:styleId="Heading2">
    <w:name w:val="heading 2"/>
    <w:basedOn w:val="HeadingBase"/>
    <w:next w:val="BodyText"/>
    <w:link w:val="Heading2Char"/>
    <w:qFormat/>
    <w:rsid w:val="00B25CA6"/>
    <w:pPr>
      <w:keepLines/>
      <w:spacing w:before="240" w:after="120"/>
      <w:outlineLvl w:val="1"/>
    </w:pPr>
    <w:rPr>
      <w:sz w:val="28"/>
      <w:szCs w:val="40"/>
    </w:rPr>
  </w:style>
  <w:style w:type="paragraph" w:styleId="Heading3">
    <w:name w:val="heading 3"/>
    <w:basedOn w:val="HeadingBase"/>
    <w:next w:val="BodyText"/>
    <w:link w:val="Heading3Char"/>
    <w:qFormat/>
    <w:rsid w:val="00B25CA6"/>
    <w:pPr>
      <w:spacing w:before="180" w:after="120"/>
      <w:outlineLvl w:val="2"/>
    </w:pPr>
    <w:rPr>
      <w:spacing w:val="-10"/>
      <w:kern w:val="32"/>
    </w:rPr>
  </w:style>
  <w:style w:type="paragraph" w:styleId="Heading4">
    <w:name w:val="heading 4"/>
    <w:basedOn w:val="HeadingBase"/>
    <w:next w:val="BodyText"/>
    <w:link w:val="Heading4Char"/>
    <w:qFormat/>
    <w:rsid w:val="00B25CA6"/>
    <w:pPr>
      <w:spacing w:before="160" w:after="120"/>
      <w:outlineLvl w:val="3"/>
    </w:pPr>
    <w:rPr>
      <w:sz w:val="22"/>
    </w:rPr>
  </w:style>
  <w:style w:type="paragraph" w:styleId="Heading5">
    <w:name w:val="heading 5"/>
    <w:basedOn w:val="HeadingBase"/>
    <w:next w:val="Normal"/>
    <w:link w:val="Heading5Char"/>
    <w:qFormat/>
    <w:rsid w:val="00B25CA6"/>
    <w:pPr>
      <w:spacing w:before="80"/>
      <w:outlineLvl w:val="4"/>
    </w:pPr>
    <w:rPr>
      <w:color w:val="918585"/>
      <w:sz w:val="20"/>
    </w:rPr>
  </w:style>
  <w:style w:type="paragraph" w:styleId="Heading6">
    <w:name w:val="heading 6"/>
    <w:basedOn w:val="HeadingBase"/>
    <w:next w:val="Normal"/>
    <w:link w:val="Heading6Char"/>
    <w:qFormat/>
    <w:rsid w:val="00B25CA6"/>
    <w:pPr>
      <w:spacing w:before="60"/>
      <w:outlineLvl w:val="5"/>
    </w:pPr>
    <w:rPr>
      <w:color w:val="918585"/>
      <w:sz w:val="20"/>
    </w:rPr>
  </w:style>
  <w:style w:type="paragraph" w:styleId="Heading7">
    <w:name w:val="heading 7"/>
    <w:basedOn w:val="Normal"/>
    <w:next w:val="Normal"/>
    <w:link w:val="Heading7Char"/>
    <w:qFormat/>
    <w:rsid w:val="00B25CA6"/>
    <w:pPr>
      <w:ind w:left="720"/>
      <w:outlineLvl w:val="6"/>
    </w:pPr>
    <w:rPr>
      <w:i/>
    </w:rPr>
  </w:style>
  <w:style w:type="paragraph" w:styleId="Heading8">
    <w:name w:val="heading 8"/>
    <w:basedOn w:val="Normal"/>
    <w:next w:val="Normal"/>
    <w:link w:val="Heading8Char"/>
    <w:qFormat/>
    <w:rsid w:val="00B25CA6"/>
    <w:pPr>
      <w:ind w:left="720"/>
      <w:outlineLvl w:val="7"/>
    </w:pPr>
    <w:rPr>
      <w:i/>
    </w:rPr>
  </w:style>
  <w:style w:type="paragraph" w:styleId="Heading9">
    <w:name w:val="heading 9"/>
    <w:basedOn w:val="Normal"/>
    <w:next w:val="Normal"/>
    <w:link w:val="Heading9Char"/>
    <w:qFormat/>
    <w:rsid w:val="00B25CA6"/>
    <w:pPr>
      <w:ind w:left="720"/>
      <w:outlineLvl w:val="8"/>
    </w:pPr>
    <w:rPr>
      <w:i/>
    </w:rPr>
  </w:style>
  <w:style w:type="character" w:default="1" w:styleId="DefaultParagraphFont">
    <w:name w:val="Default Paragraph Font"/>
    <w:uiPriority w:val="1"/>
    <w:unhideWhenUsed/>
    <w:rsid w:val="00B25C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CA6"/>
  </w:style>
  <w:style w:type="character" w:customStyle="1" w:styleId="Heading1Char">
    <w:name w:val="Heading 1 Char"/>
    <w:basedOn w:val="DefaultParagraphFont"/>
    <w:link w:val="Heading1"/>
    <w:rsid w:val="00B25CA6"/>
    <w:rPr>
      <w:rFonts w:ascii="Times New Roman" w:eastAsia="Times New Roman" w:hAnsi="Times New Roman" w:cs="Times New Roman"/>
      <w:b/>
      <w:sz w:val="32"/>
      <w:szCs w:val="20"/>
      <w:lang w:eastAsia="en-US"/>
    </w:rPr>
  </w:style>
  <w:style w:type="paragraph" w:styleId="BodyText">
    <w:name w:val="Body Text"/>
    <w:basedOn w:val="Normal"/>
    <w:link w:val="BodyTextChar"/>
    <w:rsid w:val="00B25C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5CA6"/>
    <w:rPr>
      <w:rFonts w:ascii="Times New Roman" w:eastAsia="Times New Roman" w:hAnsi="Times New Roman" w:cs="Times New Roman"/>
      <w:sz w:val="24"/>
      <w:lang w:val="en-US" w:eastAsia="en-US"/>
    </w:rPr>
  </w:style>
  <w:style w:type="paragraph" w:styleId="Footer">
    <w:name w:val="footer"/>
    <w:basedOn w:val="Normal"/>
    <w:link w:val="FooterChar"/>
    <w:rsid w:val="00B25C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CA6"/>
    <w:rPr>
      <w:rFonts w:ascii="Times New Roman" w:eastAsia="Times New Roman" w:hAnsi="Times New Roman" w:cs="Times New Roman"/>
      <w:sz w:val="16"/>
      <w:lang w:val="en-US" w:eastAsia="en-US"/>
    </w:rPr>
  </w:style>
  <w:style w:type="paragraph" w:styleId="List">
    <w:name w:val="List"/>
    <w:basedOn w:val="BodyText"/>
    <w:next w:val="BodyText"/>
    <w:rsid w:val="00B25CA6"/>
    <w:pPr>
      <w:tabs>
        <w:tab w:val="left" w:pos="340"/>
      </w:tabs>
      <w:spacing w:before="60" w:after="60"/>
      <w:ind w:left="340" w:hanging="340"/>
    </w:pPr>
  </w:style>
  <w:style w:type="paragraph" w:styleId="ListBullet">
    <w:name w:val="List Bullet"/>
    <w:basedOn w:val="List"/>
    <w:rsid w:val="00B25CA6"/>
    <w:pPr>
      <w:numPr>
        <w:numId w:val="12"/>
      </w:numPr>
      <w:tabs>
        <w:tab w:val="clear" w:pos="340"/>
      </w:tabs>
      <w:spacing w:before="40" w:after="40"/>
    </w:pPr>
  </w:style>
  <w:style w:type="character" w:customStyle="1" w:styleId="SpecialBold">
    <w:name w:val="Special Bold"/>
    <w:basedOn w:val="DefaultParagraphFont"/>
    <w:rsid w:val="00B25CA6"/>
    <w:rPr>
      <w:b/>
      <w:spacing w:val="0"/>
    </w:rPr>
  </w:style>
  <w:style w:type="paragraph" w:styleId="Header">
    <w:name w:val="header"/>
    <w:basedOn w:val="Normal"/>
    <w:link w:val="HeaderChar"/>
    <w:rsid w:val="00B25C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C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5CA6"/>
    <w:pPr>
      <w:spacing w:before="240" w:after="120"/>
      <w:outlineLvl w:val="0"/>
    </w:pPr>
    <w:rPr>
      <w:rFonts w:ascii="Times New Roman" w:hAnsi="Times New Roman"/>
      <w:b/>
      <w:sz w:val="28"/>
    </w:rPr>
  </w:style>
  <w:style w:type="paragraph" w:customStyle="1" w:styleId="AllowPageBreak">
    <w:name w:val="AllowPageBreak"/>
    <w:rsid w:val="00B25C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5CA6"/>
    <w:rPr>
      <w:b/>
      <w:i/>
      <w:u w:val="none"/>
    </w:rPr>
  </w:style>
  <w:style w:type="character" w:customStyle="1" w:styleId="Heading2Char">
    <w:name w:val="Heading 2 Char"/>
    <w:basedOn w:val="DefaultParagraphFont"/>
    <w:link w:val="Heading2"/>
    <w:rsid w:val="00B25C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C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C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C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C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C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5C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5CA6"/>
    <w:rPr>
      <w:rFonts w:ascii="Courier New" w:eastAsia="Times New Roman" w:hAnsi="Courier New" w:cs="Times New Roman"/>
      <w:i/>
      <w:szCs w:val="20"/>
      <w:lang w:val="en-US" w:eastAsia="en-US"/>
    </w:rPr>
  </w:style>
  <w:style w:type="paragraph" w:customStyle="1" w:styleId="HeadingBase">
    <w:name w:val="Heading Base"/>
    <w:rsid w:val="00B25C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CA6"/>
    <w:pPr>
      <w:tabs>
        <w:tab w:val="right" w:leader="dot" w:pos="9072"/>
      </w:tabs>
      <w:ind w:left="567"/>
    </w:pPr>
    <w:rPr>
      <w:szCs w:val="22"/>
    </w:rPr>
  </w:style>
  <w:style w:type="paragraph" w:customStyle="1" w:styleId="TOCBase">
    <w:name w:val="TOC Base"/>
    <w:rsid w:val="00B25C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CA6"/>
    <w:pPr>
      <w:tabs>
        <w:tab w:val="right" w:leader="dot" w:pos="9072"/>
      </w:tabs>
      <w:spacing w:before="40" w:after="40"/>
      <w:ind w:left="284"/>
    </w:pPr>
    <w:rPr>
      <w:rFonts w:ascii="Times New Roman" w:hAnsi="Times New Roman"/>
    </w:rPr>
  </w:style>
  <w:style w:type="paragraph" w:styleId="TOC1">
    <w:name w:val="toc 1"/>
    <w:basedOn w:val="TOCBase"/>
    <w:next w:val="Normal"/>
    <w:rsid w:val="00B25C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5CA6"/>
    <w:pPr>
      <w:spacing w:before="5040"/>
      <w:jc w:val="center"/>
    </w:pPr>
    <w:rPr>
      <w:sz w:val="48"/>
      <w:szCs w:val="72"/>
      <w:lang w:val="en-US"/>
    </w:rPr>
  </w:style>
  <w:style w:type="character" w:customStyle="1" w:styleId="TitleChar">
    <w:name w:val="Title Char"/>
    <w:basedOn w:val="DefaultParagraphFont"/>
    <w:link w:val="Title"/>
    <w:rsid w:val="00B25C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CA6"/>
    <w:pPr>
      <w:tabs>
        <w:tab w:val="left" w:pos="3600"/>
        <w:tab w:val="left" w:pos="3958"/>
      </w:tabs>
    </w:pPr>
  </w:style>
  <w:style w:type="paragraph" w:customStyle="1" w:styleId="Note">
    <w:name w:val="Note"/>
    <w:basedOn w:val="BodyText"/>
    <w:rsid w:val="00B25C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CA6"/>
    <w:pPr>
      <w:framePr w:wrap="auto" w:hAnchor="text" w:y="6049"/>
    </w:pPr>
    <w:rPr>
      <w:color w:val="000000"/>
      <w:sz w:val="40"/>
    </w:rPr>
  </w:style>
  <w:style w:type="paragraph" w:customStyle="1" w:styleId="TOCTitle">
    <w:name w:val="TOCTitle"/>
    <w:basedOn w:val="Heading1"/>
    <w:rsid w:val="00B25CA6"/>
    <w:pPr>
      <w:spacing w:after="240"/>
      <w:jc w:val="center"/>
      <w:outlineLvl w:val="9"/>
    </w:pPr>
    <w:rPr>
      <w:caps/>
    </w:rPr>
  </w:style>
  <w:style w:type="paragraph" w:customStyle="1" w:styleId="Version">
    <w:name w:val="Version"/>
    <w:rsid w:val="00B25C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5CA6"/>
    <w:pPr>
      <w:numPr>
        <w:numId w:val="13"/>
      </w:numPr>
      <w:tabs>
        <w:tab w:val="clear" w:pos="680"/>
      </w:tabs>
    </w:pPr>
  </w:style>
  <w:style w:type="paragraph" w:styleId="Index1">
    <w:name w:val="index 1"/>
    <w:basedOn w:val="Normal"/>
    <w:next w:val="Normal"/>
    <w:semiHidden/>
    <w:rsid w:val="00B25CA6"/>
    <w:pPr>
      <w:keepNext w:val="0"/>
      <w:tabs>
        <w:tab w:val="right" w:pos="4176"/>
      </w:tabs>
      <w:ind w:left="198" w:hanging="198"/>
    </w:pPr>
    <w:rPr>
      <w:rFonts w:ascii="Garamond" w:hAnsi="Garamond"/>
    </w:rPr>
  </w:style>
  <w:style w:type="paragraph" w:styleId="IndexHeading">
    <w:name w:val="index heading"/>
    <w:basedOn w:val="Normal"/>
    <w:next w:val="Index1"/>
    <w:semiHidden/>
    <w:rsid w:val="00B25CA6"/>
    <w:pPr>
      <w:spacing w:before="120" w:after="120"/>
    </w:pPr>
    <w:rPr>
      <w:rFonts w:ascii="Arial" w:hAnsi="Arial"/>
      <w:b/>
      <w:color w:val="918585"/>
      <w:sz w:val="24"/>
    </w:rPr>
  </w:style>
  <w:style w:type="paragraph" w:customStyle="1" w:styleId="Chapter">
    <w:name w:val="Chapter"/>
    <w:basedOn w:val="Normal"/>
    <w:rsid w:val="00B25CA6"/>
    <w:pPr>
      <w:spacing w:before="240"/>
    </w:pPr>
    <w:rPr>
      <w:rFonts w:ascii="Times New Roman" w:hAnsi="Times New Roman"/>
      <w:smallCaps/>
      <w:spacing w:val="80"/>
      <w:sz w:val="28"/>
    </w:rPr>
  </w:style>
  <w:style w:type="paragraph" w:customStyle="1" w:styleId="InChapter">
    <w:name w:val="InChapter"/>
    <w:basedOn w:val="Heading3"/>
    <w:rsid w:val="00B25CA6"/>
    <w:pPr>
      <w:spacing w:after="240"/>
      <w:outlineLvl w:val="9"/>
    </w:pPr>
    <w:rPr>
      <w:noProof/>
    </w:rPr>
  </w:style>
  <w:style w:type="paragraph" w:styleId="Index2">
    <w:name w:val="index 2"/>
    <w:basedOn w:val="Normal"/>
    <w:next w:val="Normal"/>
    <w:semiHidden/>
    <w:rsid w:val="00B25CA6"/>
    <w:pPr>
      <w:tabs>
        <w:tab w:val="right" w:pos="4176"/>
      </w:tabs>
      <w:ind w:left="568" w:hanging="284"/>
    </w:pPr>
    <w:rPr>
      <w:rFonts w:ascii="Garamond" w:hAnsi="Garamond"/>
    </w:rPr>
  </w:style>
  <w:style w:type="paragraph" w:customStyle="1" w:styleId="Byline">
    <w:name w:val="Byline"/>
    <w:rsid w:val="00B25C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CA6"/>
    <w:pPr>
      <w:tabs>
        <w:tab w:val="clear" w:pos="3600"/>
        <w:tab w:val="clear" w:pos="3958"/>
      </w:tabs>
      <w:jc w:val="right"/>
    </w:pPr>
  </w:style>
  <w:style w:type="character" w:styleId="Emphasis">
    <w:name w:val="Emphasis"/>
    <w:basedOn w:val="DefaultParagraphFont"/>
    <w:qFormat/>
    <w:rsid w:val="00B25CA6"/>
    <w:rPr>
      <w:i/>
    </w:rPr>
  </w:style>
  <w:style w:type="paragraph" w:styleId="Caption">
    <w:name w:val="caption"/>
    <w:basedOn w:val="BodyText"/>
    <w:next w:val="Normal"/>
    <w:qFormat/>
    <w:rsid w:val="00B25CA6"/>
    <w:pPr>
      <w:framePr w:w="2268" w:hSpace="181" w:vSpace="181" w:wrap="around" w:vAnchor="text" w:hAnchor="page" w:x="1135" w:y="285" w:anchorLock="1"/>
    </w:pPr>
    <w:rPr>
      <w:i/>
    </w:rPr>
  </w:style>
  <w:style w:type="paragraph" w:customStyle="1" w:styleId="MiniTOCTitle">
    <w:name w:val="MiniTOCTitle"/>
    <w:basedOn w:val="Heading4"/>
    <w:rsid w:val="00B25CA6"/>
    <w:pPr>
      <w:spacing w:before="240"/>
      <w:outlineLvl w:val="9"/>
    </w:pPr>
    <w:rPr>
      <w:noProof/>
      <w:sz w:val="24"/>
    </w:rPr>
  </w:style>
  <w:style w:type="paragraph" w:customStyle="1" w:styleId="MiniTOCItem">
    <w:name w:val="MiniTOCItem"/>
    <w:basedOn w:val="ListBullet"/>
    <w:rsid w:val="00B25CA6"/>
    <w:pPr>
      <w:numPr>
        <w:numId w:val="0"/>
      </w:numPr>
      <w:tabs>
        <w:tab w:val="right" w:leader="dot" w:pos="6521"/>
      </w:tabs>
      <w:spacing w:before="0" w:after="0"/>
    </w:pPr>
  </w:style>
  <w:style w:type="paragraph" w:customStyle="1" w:styleId="TOFTitle">
    <w:name w:val="TOFTitle"/>
    <w:basedOn w:val="TOCTitle"/>
    <w:rsid w:val="00B25CA6"/>
  </w:style>
  <w:style w:type="paragraph" w:styleId="TableofFigures">
    <w:name w:val="table of figures"/>
    <w:basedOn w:val="Normal"/>
    <w:next w:val="Normal"/>
    <w:semiHidden/>
    <w:rsid w:val="00B25CA6"/>
    <w:pPr>
      <w:tabs>
        <w:tab w:val="right" w:leader="dot" w:pos="9072"/>
      </w:tabs>
      <w:ind w:left="970" w:hanging="403"/>
    </w:pPr>
    <w:rPr>
      <w:rFonts w:ascii="Times New Roman" w:hAnsi="Times New Roman"/>
      <w:b/>
    </w:rPr>
  </w:style>
  <w:style w:type="paragraph" w:styleId="ListNumber">
    <w:name w:val="List Number"/>
    <w:basedOn w:val="List"/>
    <w:rsid w:val="00B25CA6"/>
    <w:pPr>
      <w:numPr>
        <w:numId w:val="10"/>
      </w:numPr>
    </w:pPr>
  </w:style>
  <w:style w:type="character" w:customStyle="1" w:styleId="WingdingSymbols">
    <w:name w:val="Wingding Symbols"/>
    <w:rsid w:val="00B25CA6"/>
    <w:rPr>
      <w:rFonts w:ascii="Wingdings" w:hAnsi="Wingdings"/>
    </w:rPr>
  </w:style>
  <w:style w:type="paragraph" w:customStyle="1" w:styleId="TableHeading">
    <w:name w:val="Table Heading"/>
    <w:basedOn w:val="HeadingBase"/>
    <w:rsid w:val="00B25CA6"/>
    <w:pPr>
      <w:keepLines/>
      <w:pBdr>
        <w:bottom w:val="single" w:sz="6" w:space="1" w:color="918585"/>
      </w:pBdr>
      <w:spacing w:before="240"/>
    </w:pPr>
  </w:style>
  <w:style w:type="character" w:customStyle="1" w:styleId="HotSpot">
    <w:name w:val="HotSpot"/>
    <w:rsid w:val="00B25CA6"/>
    <w:rPr>
      <w:color w:val="0033CC"/>
      <w:u w:val="none"/>
    </w:rPr>
  </w:style>
  <w:style w:type="paragraph" w:customStyle="1" w:styleId="BodyTextRight">
    <w:name w:val="Body Text Right"/>
    <w:basedOn w:val="BodyText"/>
    <w:rsid w:val="00B25CA6"/>
    <w:pPr>
      <w:spacing w:before="0" w:after="0"/>
      <w:jc w:val="right"/>
    </w:pPr>
  </w:style>
  <w:style w:type="paragraph" w:styleId="Index3">
    <w:name w:val="index 3"/>
    <w:basedOn w:val="ListNumber2"/>
    <w:next w:val="Normal"/>
    <w:semiHidden/>
    <w:rsid w:val="00B25CA6"/>
    <w:pPr>
      <w:numPr>
        <w:numId w:val="0"/>
      </w:numPr>
      <w:tabs>
        <w:tab w:val="right" w:leader="dot" w:pos="4176"/>
      </w:tabs>
    </w:pPr>
  </w:style>
  <w:style w:type="paragraph" w:styleId="ListNumber2">
    <w:name w:val="List Number 2"/>
    <w:basedOn w:val="List2"/>
    <w:rsid w:val="00B25CA6"/>
    <w:pPr>
      <w:numPr>
        <w:numId w:val="9"/>
      </w:numPr>
      <w:tabs>
        <w:tab w:val="clear" w:pos="1060"/>
      </w:tabs>
    </w:pPr>
  </w:style>
  <w:style w:type="paragraph" w:customStyle="1" w:styleId="MarginNote">
    <w:name w:val="Margin Note"/>
    <w:basedOn w:val="BodyText"/>
    <w:rsid w:val="00B25C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C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C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5CA6"/>
    <w:rPr>
      <w:sz w:val="32"/>
    </w:rPr>
  </w:style>
  <w:style w:type="paragraph" w:customStyle="1" w:styleId="HeadingProcedure">
    <w:name w:val="Heading Procedure"/>
    <w:basedOn w:val="HeadingBase"/>
    <w:next w:val="Normal"/>
    <w:rsid w:val="00B25CA6"/>
    <w:pPr>
      <w:tabs>
        <w:tab w:val="left" w:pos="0"/>
      </w:tabs>
      <w:spacing w:before="120" w:after="60"/>
    </w:pPr>
    <w:rPr>
      <w:i/>
      <w:color w:val="918585"/>
      <w:sz w:val="22"/>
    </w:rPr>
  </w:style>
  <w:style w:type="paragraph" w:customStyle="1" w:styleId="TableBodyText">
    <w:name w:val="Table Body Text"/>
    <w:basedOn w:val="BodyText"/>
    <w:rsid w:val="00B25CA6"/>
    <w:pPr>
      <w:spacing w:before="60" w:after="60"/>
    </w:pPr>
  </w:style>
  <w:style w:type="paragraph" w:styleId="ListContinue">
    <w:name w:val="List Continue"/>
    <w:basedOn w:val="List"/>
    <w:rsid w:val="00B25CA6"/>
    <w:pPr>
      <w:ind w:firstLine="0"/>
    </w:pPr>
  </w:style>
  <w:style w:type="paragraph" w:customStyle="1" w:styleId="ListNote">
    <w:name w:val="List Note"/>
    <w:basedOn w:val="List"/>
    <w:rsid w:val="00B25CA6"/>
    <w:pPr>
      <w:pBdr>
        <w:top w:val="single" w:sz="6" w:space="2" w:color="918585"/>
        <w:bottom w:val="single" w:sz="6" w:space="2" w:color="918585"/>
      </w:pBdr>
      <w:tabs>
        <w:tab w:val="left" w:pos="1021"/>
      </w:tabs>
      <w:ind w:firstLine="0"/>
    </w:pPr>
  </w:style>
  <w:style w:type="paragraph" w:customStyle="1" w:styleId="Warning">
    <w:name w:val="Warning"/>
    <w:basedOn w:val="BodyText"/>
    <w:rsid w:val="00B25CA6"/>
    <w:pPr>
      <w:shd w:val="clear" w:color="auto" w:fill="D9D9D9"/>
      <w:tabs>
        <w:tab w:val="left" w:pos="992"/>
      </w:tabs>
      <w:ind w:left="119" w:right="119"/>
    </w:pPr>
    <w:rPr>
      <w:sz w:val="20"/>
    </w:rPr>
  </w:style>
  <w:style w:type="paragraph" w:customStyle="1" w:styleId="MarginIcons">
    <w:name w:val="Margin Icons"/>
    <w:basedOn w:val="BodyText"/>
    <w:rsid w:val="00B25C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CA6"/>
    <w:rPr>
      <w:rFonts w:ascii="Courier New" w:hAnsi="Courier New"/>
    </w:rPr>
  </w:style>
  <w:style w:type="paragraph" w:customStyle="1" w:styleId="NoteBullet">
    <w:name w:val="Note Bullet"/>
    <w:basedOn w:val="Note"/>
    <w:rsid w:val="00B25CA6"/>
    <w:pPr>
      <w:tabs>
        <w:tab w:val="clear" w:pos="680"/>
      </w:tabs>
      <w:spacing w:before="60" w:after="60"/>
    </w:pPr>
  </w:style>
  <w:style w:type="paragraph" w:customStyle="1" w:styleId="SubHeading2">
    <w:name w:val="SubHeading2"/>
    <w:basedOn w:val="HeadingBase"/>
    <w:rsid w:val="00B25CA6"/>
    <w:pPr>
      <w:spacing w:before="240" w:after="60"/>
    </w:pPr>
    <w:rPr>
      <w:sz w:val="20"/>
    </w:rPr>
  </w:style>
  <w:style w:type="paragraph" w:customStyle="1" w:styleId="SubHeading1">
    <w:name w:val="SubHeading1"/>
    <w:basedOn w:val="HeadingBase"/>
    <w:rsid w:val="00B25CA6"/>
    <w:pPr>
      <w:spacing w:before="240" w:after="60"/>
    </w:pPr>
    <w:rPr>
      <w:color w:val="918585"/>
      <w:sz w:val="22"/>
    </w:rPr>
  </w:style>
  <w:style w:type="paragraph" w:customStyle="1" w:styleId="SideHeading">
    <w:name w:val="Side Heading"/>
    <w:basedOn w:val="HeadingBase"/>
    <w:rsid w:val="00B25C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CA6"/>
    <w:pPr>
      <w:tabs>
        <w:tab w:val="num" w:pos="360"/>
      </w:tabs>
    </w:pPr>
  </w:style>
  <w:style w:type="paragraph" w:styleId="PlainText">
    <w:name w:val="Plain Text"/>
    <w:basedOn w:val="Normal"/>
    <w:link w:val="PlainTextChar"/>
    <w:rsid w:val="00B25CA6"/>
    <w:rPr>
      <w:sz w:val="20"/>
    </w:rPr>
  </w:style>
  <w:style w:type="character" w:customStyle="1" w:styleId="PlainTextChar">
    <w:name w:val="Plain Text Char"/>
    <w:basedOn w:val="DefaultParagraphFont"/>
    <w:link w:val="PlainText"/>
    <w:rsid w:val="00B25C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5CA6"/>
    <w:rPr>
      <w:b/>
      <w:smallCaps/>
    </w:rPr>
  </w:style>
  <w:style w:type="paragraph" w:customStyle="1" w:styleId="TableListNumber">
    <w:name w:val="Table List Number"/>
    <w:basedOn w:val="ListNumber"/>
    <w:rsid w:val="00B25CA6"/>
    <w:pPr>
      <w:numPr>
        <w:numId w:val="0"/>
      </w:numPr>
    </w:pPr>
  </w:style>
  <w:style w:type="paragraph" w:styleId="TOC4">
    <w:name w:val="toc 4"/>
    <w:basedOn w:val="TOCBase"/>
    <w:next w:val="Normal"/>
    <w:semiHidden/>
    <w:rsid w:val="00B25CA6"/>
    <w:pPr>
      <w:tabs>
        <w:tab w:val="right" w:leader="dot" w:pos="9071"/>
      </w:tabs>
      <w:ind w:left="1701"/>
    </w:pPr>
  </w:style>
  <w:style w:type="paragraph" w:customStyle="1" w:styleId="ListAlpha">
    <w:name w:val="List Alpha"/>
    <w:basedOn w:val="List"/>
    <w:rsid w:val="00B25CA6"/>
    <w:pPr>
      <w:numPr>
        <w:numId w:val="8"/>
      </w:numPr>
    </w:pPr>
  </w:style>
  <w:style w:type="paragraph" w:customStyle="1" w:styleId="ListAlpha2">
    <w:name w:val="List Alpha 2"/>
    <w:basedOn w:val="List2"/>
    <w:rsid w:val="00B25CA6"/>
    <w:pPr>
      <w:numPr>
        <w:numId w:val="7"/>
      </w:numPr>
    </w:pPr>
  </w:style>
  <w:style w:type="paragraph" w:styleId="List2">
    <w:name w:val="List 2"/>
    <w:basedOn w:val="BodyText"/>
    <w:rsid w:val="00B25CA6"/>
    <w:pPr>
      <w:tabs>
        <w:tab w:val="left" w:pos="680"/>
      </w:tabs>
      <w:spacing w:before="60" w:after="60"/>
      <w:ind w:left="680" w:hanging="340"/>
    </w:pPr>
  </w:style>
  <w:style w:type="paragraph" w:styleId="List3">
    <w:name w:val="List 3"/>
    <w:basedOn w:val="BodyText"/>
    <w:rsid w:val="00B25CA6"/>
    <w:pPr>
      <w:tabs>
        <w:tab w:val="left" w:pos="1021"/>
      </w:tabs>
      <w:spacing w:before="60" w:after="60"/>
      <w:ind w:left="1020" w:hanging="340"/>
    </w:pPr>
  </w:style>
  <w:style w:type="paragraph" w:styleId="List4">
    <w:name w:val="List 4"/>
    <w:basedOn w:val="BodyText"/>
    <w:rsid w:val="00B25CA6"/>
    <w:pPr>
      <w:tabs>
        <w:tab w:val="left" w:pos="1361"/>
      </w:tabs>
      <w:spacing w:before="60" w:after="60"/>
      <w:ind w:left="1361" w:hanging="340"/>
    </w:pPr>
  </w:style>
  <w:style w:type="paragraph" w:styleId="List5">
    <w:name w:val="List 5"/>
    <w:basedOn w:val="BodyText"/>
    <w:rsid w:val="00B25CA6"/>
    <w:pPr>
      <w:tabs>
        <w:tab w:val="left" w:pos="1701"/>
      </w:tabs>
      <w:spacing w:before="60" w:after="60"/>
      <w:ind w:left="1701" w:hanging="340"/>
    </w:pPr>
  </w:style>
  <w:style w:type="paragraph" w:styleId="ListBullet3">
    <w:name w:val="List Bullet 3"/>
    <w:basedOn w:val="List3"/>
    <w:rsid w:val="00B25CA6"/>
    <w:pPr>
      <w:numPr>
        <w:numId w:val="14"/>
      </w:numPr>
      <w:tabs>
        <w:tab w:val="clear" w:pos="1021"/>
      </w:tabs>
      <w:ind w:left="1037" w:hanging="357"/>
    </w:pPr>
  </w:style>
  <w:style w:type="paragraph" w:styleId="ListBullet4">
    <w:name w:val="List Bullet 4"/>
    <w:basedOn w:val="List4"/>
    <w:rsid w:val="00B25CA6"/>
    <w:pPr>
      <w:numPr>
        <w:numId w:val="2"/>
      </w:numPr>
    </w:pPr>
  </w:style>
  <w:style w:type="paragraph" w:styleId="ListBullet5">
    <w:name w:val="List Bullet 5"/>
    <w:basedOn w:val="List5"/>
    <w:rsid w:val="00B25CA6"/>
    <w:pPr>
      <w:numPr>
        <w:numId w:val="3"/>
      </w:numPr>
    </w:pPr>
  </w:style>
  <w:style w:type="paragraph" w:styleId="ListContinue2">
    <w:name w:val="List Continue 2"/>
    <w:basedOn w:val="List2"/>
    <w:rsid w:val="00B25CA6"/>
    <w:pPr>
      <w:ind w:firstLine="0"/>
    </w:pPr>
  </w:style>
  <w:style w:type="paragraph" w:styleId="ListContinue3">
    <w:name w:val="List Continue 3"/>
    <w:basedOn w:val="List3"/>
    <w:rsid w:val="00B25CA6"/>
    <w:pPr>
      <w:ind w:left="1021" w:firstLine="0"/>
    </w:pPr>
  </w:style>
  <w:style w:type="paragraph" w:styleId="ListContinue4">
    <w:name w:val="List Continue 4"/>
    <w:basedOn w:val="List4"/>
    <w:rsid w:val="00B25CA6"/>
    <w:pPr>
      <w:ind w:firstLine="0"/>
    </w:pPr>
  </w:style>
  <w:style w:type="paragraph" w:styleId="ListContinue5">
    <w:name w:val="List Continue 5"/>
    <w:basedOn w:val="List5"/>
    <w:rsid w:val="00B25CA6"/>
    <w:pPr>
      <w:ind w:firstLine="0"/>
    </w:pPr>
  </w:style>
  <w:style w:type="paragraph" w:styleId="ListNumber3">
    <w:name w:val="List Number 3"/>
    <w:basedOn w:val="List3"/>
    <w:rsid w:val="00B25CA6"/>
    <w:pPr>
      <w:numPr>
        <w:numId w:val="4"/>
      </w:numPr>
    </w:pPr>
  </w:style>
  <w:style w:type="paragraph" w:styleId="ListNumber4">
    <w:name w:val="List Number 4"/>
    <w:basedOn w:val="List4"/>
    <w:rsid w:val="00B25CA6"/>
    <w:pPr>
      <w:numPr>
        <w:numId w:val="5"/>
      </w:numPr>
    </w:pPr>
  </w:style>
  <w:style w:type="paragraph" w:styleId="ListNumber5">
    <w:name w:val="List Number 5"/>
    <w:basedOn w:val="List5"/>
    <w:rsid w:val="00B25CA6"/>
    <w:pPr>
      <w:numPr>
        <w:numId w:val="6"/>
      </w:numPr>
    </w:pPr>
  </w:style>
  <w:style w:type="paragraph" w:styleId="BlockText">
    <w:name w:val="Block Text"/>
    <w:basedOn w:val="Normal"/>
    <w:rsid w:val="00B25CA6"/>
    <w:pPr>
      <w:spacing w:after="120"/>
      <w:ind w:left="1440" w:right="1440"/>
    </w:pPr>
  </w:style>
  <w:style w:type="character" w:customStyle="1" w:styleId="Subscript">
    <w:name w:val="Subscript"/>
    <w:basedOn w:val="DefaultParagraphFont"/>
    <w:rsid w:val="00B25CA6"/>
    <w:rPr>
      <w:sz w:val="16"/>
      <w:vertAlign w:val="subscript"/>
    </w:rPr>
  </w:style>
  <w:style w:type="character" w:customStyle="1" w:styleId="Superscript">
    <w:name w:val="Superscript"/>
    <w:basedOn w:val="DefaultParagraphFont"/>
    <w:rsid w:val="00B25CA6"/>
    <w:rPr>
      <w:sz w:val="16"/>
      <w:vertAlign w:val="superscript"/>
    </w:rPr>
  </w:style>
  <w:style w:type="character" w:customStyle="1" w:styleId="Symbols">
    <w:name w:val="Symbols"/>
    <w:basedOn w:val="DefaultParagraphFont"/>
    <w:rsid w:val="00B25CA6"/>
    <w:rPr>
      <w:rFonts w:ascii="Symbol" w:hAnsi="Symbol"/>
    </w:rPr>
  </w:style>
  <w:style w:type="character" w:customStyle="1" w:styleId="MenuOptions">
    <w:name w:val="Menu Options"/>
    <w:basedOn w:val="DefaultParagraphFont"/>
    <w:rsid w:val="00B25CA6"/>
    <w:rPr>
      <w:rFonts w:ascii="Arial Narrow" w:hAnsi="Arial Narrow"/>
      <w:smallCaps/>
    </w:rPr>
  </w:style>
  <w:style w:type="character" w:customStyle="1" w:styleId="Buttons">
    <w:name w:val="Buttons"/>
    <w:basedOn w:val="DefaultParagraphFont"/>
    <w:rsid w:val="00B25CA6"/>
    <w:rPr>
      <w:b/>
    </w:rPr>
  </w:style>
  <w:style w:type="character" w:customStyle="1" w:styleId="Underlined">
    <w:name w:val="Underlined"/>
    <w:basedOn w:val="DefaultParagraphFont"/>
    <w:rsid w:val="00B25CA6"/>
    <w:rPr>
      <w:u w:val="single"/>
    </w:rPr>
  </w:style>
  <w:style w:type="paragraph" w:customStyle="1" w:styleId="TableBodyTextRight">
    <w:name w:val="Table Body Text Right"/>
    <w:basedOn w:val="TableBodyText"/>
    <w:rsid w:val="00B25CA6"/>
    <w:pPr>
      <w:widowControl w:val="0"/>
      <w:autoSpaceDE w:val="0"/>
      <w:autoSpaceDN w:val="0"/>
      <w:adjustRightInd w:val="0"/>
      <w:jc w:val="right"/>
    </w:pPr>
    <w:rPr>
      <w:rFonts w:cs="Arial"/>
      <w:szCs w:val="18"/>
    </w:rPr>
  </w:style>
  <w:style w:type="paragraph" w:customStyle="1" w:styleId="CopyrightText">
    <w:name w:val="Copyright Text"/>
    <w:basedOn w:val="BodyText"/>
    <w:rsid w:val="00B25CA6"/>
    <w:rPr>
      <w:sz w:val="18"/>
    </w:rPr>
  </w:style>
  <w:style w:type="paragraph" w:customStyle="1" w:styleId="BodySmallRight">
    <w:name w:val="Body Small Right"/>
    <w:basedOn w:val="BodyTextRight"/>
    <w:rsid w:val="00B25CA6"/>
    <w:rPr>
      <w:sz w:val="18"/>
      <w:szCs w:val="18"/>
    </w:rPr>
  </w:style>
  <w:style w:type="paragraph" w:customStyle="1" w:styleId="MarginEdition">
    <w:name w:val="Margin Edition"/>
    <w:basedOn w:val="MarginNote"/>
    <w:rsid w:val="00B25CA6"/>
    <w:pPr>
      <w:spacing w:before="0" w:after="0"/>
    </w:pPr>
    <w:rPr>
      <w:rFonts w:ascii="Times New Roman" w:hAnsi="Times New Roman"/>
      <w:color w:val="999999"/>
    </w:rPr>
  </w:style>
  <w:style w:type="paragraph" w:customStyle="1" w:styleId="Spacer">
    <w:name w:val="Spacer"/>
    <w:basedOn w:val="Normal"/>
    <w:rsid w:val="00B25CA6"/>
    <w:rPr>
      <w:sz w:val="2"/>
      <w:szCs w:val="2"/>
    </w:rPr>
  </w:style>
  <w:style w:type="character" w:customStyle="1" w:styleId="Small">
    <w:name w:val="Small"/>
    <w:basedOn w:val="DefaultParagraphFont"/>
    <w:rsid w:val="00B25CA6"/>
    <w:rPr>
      <w:sz w:val="16"/>
    </w:rPr>
  </w:style>
  <w:style w:type="paragraph" w:customStyle="1" w:styleId="WideTable">
    <w:name w:val="Wide Table"/>
    <w:basedOn w:val="Normal"/>
    <w:rsid w:val="00B25CA6"/>
    <w:pPr>
      <w:ind w:left="-1418"/>
    </w:pPr>
    <w:rPr>
      <w:sz w:val="2"/>
      <w:szCs w:val="2"/>
    </w:rPr>
  </w:style>
  <w:style w:type="character" w:styleId="PageNumber">
    <w:name w:val="page number"/>
    <w:basedOn w:val="DefaultParagraphFont"/>
    <w:rsid w:val="00B25CA6"/>
  </w:style>
  <w:style w:type="paragraph" w:styleId="Quote">
    <w:name w:val="Quote"/>
    <w:basedOn w:val="Heading1"/>
    <w:link w:val="QuoteChar"/>
    <w:qFormat/>
    <w:rsid w:val="00B25CA6"/>
    <w:rPr>
      <w:b w:val="0"/>
      <w:sz w:val="72"/>
      <w:szCs w:val="72"/>
      <w:lang w:val="en-NZ"/>
    </w:rPr>
  </w:style>
  <w:style w:type="character" w:customStyle="1" w:styleId="QuoteChar">
    <w:name w:val="Quote Char"/>
    <w:basedOn w:val="DefaultParagraphFont"/>
    <w:link w:val="Quote"/>
    <w:rsid w:val="00B25C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CA6"/>
    <w:pPr>
      <w:pageBreakBefore/>
    </w:pPr>
  </w:style>
  <w:style w:type="paragraph" w:customStyle="1" w:styleId="Border">
    <w:name w:val="Border"/>
    <w:basedOn w:val="Normal"/>
    <w:qFormat/>
    <w:rsid w:val="00B25C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CA6"/>
    <w:rPr>
      <w:b/>
      <w:bCs/>
      <w:i/>
      <w:iCs/>
      <w:color w:val="auto"/>
    </w:rPr>
  </w:style>
  <w:style w:type="paragraph" w:styleId="IntenseQuote">
    <w:name w:val="Intense Quote"/>
    <w:basedOn w:val="Normal"/>
    <w:next w:val="Normal"/>
    <w:link w:val="IntenseQuoteChar"/>
    <w:uiPriority w:val="30"/>
    <w:qFormat/>
    <w:rsid w:val="00B25C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C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5CA6"/>
    <w:rPr>
      <w:smallCaps/>
      <w:color w:val="auto"/>
      <w:u w:val="single"/>
    </w:rPr>
  </w:style>
  <w:style w:type="character" w:styleId="IntenseReference">
    <w:name w:val="Intense Reference"/>
    <w:basedOn w:val="DefaultParagraphFont"/>
    <w:uiPriority w:val="32"/>
    <w:qFormat/>
    <w:rsid w:val="00B25CA6"/>
    <w:rPr>
      <w:b/>
      <w:bCs/>
      <w:smallCaps/>
      <w:color w:val="auto"/>
      <w:spacing w:val="5"/>
      <w:u w:val="single"/>
    </w:rPr>
  </w:style>
  <w:style w:type="paragraph" w:customStyle="1" w:styleId="2ColumnHeading">
    <w:name w:val="2Column Heading"/>
    <w:basedOn w:val="BodyText"/>
    <w:qFormat/>
    <w:rsid w:val="00B25CA6"/>
    <w:pPr>
      <w:spacing w:after="60"/>
      <w:ind w:left="-2268"/>
    </w:pPr>
    <w:rPr>
      <w:b/>
    </w:rPr>
  </w:style>
  <w:style w:type="paragraph" w:customStyle="1" w:styleId="Heading1TOC">
    <w:name w:val="Heading1 TOC"/>
    <w:basedOn w:val="Normal"/>
    <w:qFormat/>
    <w:rsid w:val="00B25CA6"/>
    <w:pPr>
      <w:spacing w:before="240" w:after="120"/>
    </w:pPr>
    <w:rPr>
      <w:rFonts w:ascii="Times New Roman" w:hAnsi="Times New Roman"/>
      <w:b/>
      <w:sz w:val="32"/>
    </w:rPr>
  </w:style>
  <w:style w:type="paragraph" w:customStyle="1" w:styleId="Heading2TOC">
    <w:name w:val="Heading2 TOC"/>
    <w:basedOn w:val="Normal"/>
    <w:qFormat/>
    <w:rsid w:val="00B25CA6"/>
    <w:pPr>
      <w:spacing w:before="240" w:after="60"/>
    </w:pPr>
    <w:rPr>
      <w:rFonts w:ascii="Times New Roman" w:hAnsi="Times New Roman"/>
      <w:b/>
      <w:sz w:val="28"/>
    </w:rPr>
  </w:style>
  <w:style w:type="character" w:customStyle="1" w:styleId="Underline">
    <w:name w:val="Underline"/>
    <w:basedOn w:val="DefaultParagraphFont"/>
    <w:qFormat/>
    <w:rsid w:val="00B25CA6"/>
    <w:rPr>
      <w:u w:val="single"/>
    </w:rPr>
  </w:style>
  <w:style w:type="paragraph" w:styleId="BalloonText">
    <w:name w:val="Balloon Text"/>
    <w:basedOn w:val="Normal"/>
    <w:link w:val="BalloonTextChar"/>
    <w:rsid w:val="00B25CA6"/>
    <w:rPr>
      <w:rFonts w:ascii="Tahoma" w:hAnsi="Tahoma" w:cs="Tahoma"/>
      <w:sz w:val="16"/>
      <w:szCs w:val="16"/>
    </w:rPr>
  </w:style>
  <w:style w:type="character" w:customStyle="1" w:styleId="BalloonTextChar">
    <w:name w:val="Balloon Text Char"/>
    <w:basedOn w:val="DefaultParagraphFont"/>
    <w:link w:val="BalloonText"/>
    <w:rsid w:val="00B25C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5C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5C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1220</Words>
  <Characters>7715</Characters>
  <Application>Microsoft Office Word</Application>
  <DocSecurity>0</DocSecurity>
  <Lines>262</Lines>
  <Paragraphs>124</Paragraphs>
  <ScaleCrop>false</ScaleCrop>
  <Company>Author-it Software Corporation Ltd.</Company>
  <LinksUpToDate>false</LinksUpToDate>
  <CharactersWithSpaces>8870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RGRROP301A Perform ear branding and marking up of greyhounds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2012-05-26T20:27:00Z</dcterms:created>
  <dcterms:modified xsi:type="dcterms:W3CDTF">2012-05-26T20:27:00Z</dcterms:modified>
</cp:coreProperties>
</file>