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5DE" w:rsidP="00C375DE">
      <w:pPr>
        <w:pStyle w:val="Title"/>
      </w:pPr>
      <w:r>
        <w:fldChar w:fldCharType="begin"/>
      </w:r>
      <w:r>
        <w:instrText xml:space="preserve"> TITLE   \* MERGEFORMAT </w:instrText>
      </w:r>
      <w:r>
        <w:fldChar w:fldCharType="separate"/>
      </w:r>
      <w:r>
        <w:t>RGRPSH409A Determine nutritional requirements for racing horses</w:t>
      </w:r>
      <w:r>
        <w:fldChar w:fldCharType="end"/>
      </w:r>
    </w:p>
    <w:p w:rsidR="00C375DE" w:rsidP="00C375DE">
      <w:pPr>
        <w:pStyle w:val="Version"/>
        <w:sectPr w:rsidSect="00FD57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57D0" w:rsidP="00FD57D0">
      <w:pPr>
        <w:pStyle w:val="SuperHeading"/>
      </w:pPr>
      <w:r w:rsidRPr="00FD57D0">
        <w:t>RGRPSH409A Determine nutritional requirements for racing horses</w:t>
      </w:r>
    </w:p>
    <w:p w:rsidR="00000000" w:rsidRPr="00FD57D0" w:rsidP="00FD57D0">
      <w:pPr>
        <w:pStyle w:val="Heading1"/>
      </w:pPr>
      <w:bookmarkStart w:id="1" w:name="O_273070"/>
      <w:bookmarkEnd w:id="1"/>
      <w:r w:rsidRPr="00FD57D0">
        <w:t>Modification History</w:t>
      </w:r>
    </w:p>
    <w:p w:rsidR="00000000" w:rsidRPr="00FD57D0" w:rsidP="00FD57D0">
      <w:pPr>
        <w:pStyle w:val="BodyText"/>
      </w:pPr>
      <w:r w:rsidRPr="00FD57D0">
        <w:t>Not Applicable</w:t>
      </w:r>
    </w:p>
    <w:p w:rsidR="00000000" w:rsidRPr="00FD57D0" w:rsidP="00FD57D0">
      <w:pPr>
        <w:pStyle w:val="AllowPageBreak"/>
      </w:pPr>
    </w:p>
    <w:p w:rsidR="00000000" w:rsidRPr="00FD57D0" w:rsidP="00FD57D0">
      <w:pPr>
        <w:pStyle w:val="Heading1"/>
      </w:pPr>
      <w:bookmarkStart w:id="2" w:name="O_216981"/>
      <w:bookmarkEnd w:id="2"/>
      <w:r w:rsidRPr="00FD57D0">
        <w:t>Unit Descriptor</w:t>
      </w:r>
    </w:p>
    <w:tbl>
      <w:tblPr>
        <w:tblW w:w="0" w:type="auto"/>
        <w:tblLayout w:type="fixed"/>
        <w:tblCellMar>
          <w:left w:w="62" w:type="dxa"/>
          <w:right w:w="62" w:type="dxa"/>
        </w:tblCellMar>
        <w:tblLook w:val="0000"/>
      </w:tblPr>
      <w:tblGrid>
        <w:gridCol w:w="2657"/>
        <w:gridCol w:w="5865"/>
      </w:tblGrid>
      <w:tr w:rsidTr="00C375DE">
        <w:tblPrEx>
          <w:tblW w:w="0" w:type="auto"/>
          <w:tblLayout w:type="fixed"/>
          <w:tblCellMar>
            <w:left w:w="62" w:type="dxa"/>
            <w:right w:w="62" w:type="dxa"/>
          </w:tblCellMar>
          <w:tblLook w:val="0000"/>
        </w:tblPrEx>
        <w:tc>
          <w:tcPr>
            <w:tcW w:w="2657" w:type="dxa"/>
            <w:tcBorders>
              <w:top w:val="nil"/>
              <w:left w:val="nil"/>
              <w:bottom w:val="nil"/>
              <w:right w:val="nil"/>
            </w:tcBorders>
            <w:tcMar>
              <w:top w:w="0" w:type="dxa"/>
              <w:left w:w="62" w:type="dxa"/>
              <w:bottom w:w="0" w:type="dxa"/>
              <w:right w:w="62" w:type="dxa"/>
            </w:tcMar>
          </w:tcPr>
          <w:p w:rsidR="00000000" w:rsidP="00FD57D0">
            <w:pPr>
              <w:pStyle w:val="BodyText"/>
              <w:rPr>
                <w:lang w:val="en-NZ"/>
              </w:rPr>
            </w:pPr>
            <w:r w:rsidRPr="00FD57D0">
              <w:rPr>
                <w:rStyle w:val="SpecialBold"/>
              </w:rPr>
              <w:t>Unit descriptor</w:t>
            </w:r>
          </w:p>
        </w:tc>
        <w:tc>
          <w:tcPr>
            <w:tcW w:w="5865" w:type="dxa"/>
            <w:tcBorders>
              <w:top w:val="nil"/>
              <w:left w:val="nil"/>
              <w:bottom w:val="nil"/>
              <w:right w:val="nil"/>
            </w:tcBorders>
            <w:tcMar>
              <w:top w:w="0" w:type="dxa"/>
              <w:left w:w="62" w:type="dxa"/>
              <w:bottom w:w="0" w:type="dxa"/>
              <w:right w:w="62" w:type="dxa"/>
            </w:tcMar>
          </w:tcPr>
          <w:p w:rsidR="00000000" w:rsidRPr="00FD57D0" w:rsidP="00FD57D0">
            <w:pPr>
              <w:pStyle w:val="BodyText"/>
            </w:pPr>
            <w:r w:rsidRPr="00FD57D0">
              <w:t>This unit of competency specifies the outcomes required to prepare ration</w:t>
            </w:r>
            <w:r w:rsidRPr="00FD57D0">
              <w:t>s for racing horses and assess a range of feed, additives and supplements in relation to quality and potential influence on industry regulations.</w:t>
            </w:r>
          </w:p>
          <w:p w:rsidR="00000000" w:rsidRPr="00FD57D0" w:rsidP="00FD57D0">
            <w:pPr>
              <w:pStyle w:val="BodyText"/>
            </w:pPr>
            <w:r w:rsidRPr="00FD57D0">
              <w:t>To undertake this unit the candidate will have already achieved or be able to demonstrate competence in the pr</w:t>
            </w:r>
            <w:r w:rsidRPr="00FD57D0">
              <w:t>actical care and management of harness or thoroughbred racing horses and application of OHS standards in the workplace.</w:t>
            </w:r>
          </w:p>
          <w:p w:rsidR="00000000" w:rsidRPr="00FD57D0" w:rsidP="00FD57D0">
            <w:pPr>
              <w:pStyle w:val="BodyText"/>
            </w:pPr>
            <w:r w:rsidRPr="00FD57D0">
              <w:t>This unit of competency operates in work environments of racing stables, paddocks, yards, racecourses and public areas.</w:t>
            </w:r>
          </w:p>
          <w:p w:rsidR="00000000" w:rsidRPr="00FD57D0" w:rsidP="00FD57D0">
            <w:pPr>
              <w:pStyle w:val="BodyText"/>
            </w:pPr>
            <w:r w:rsidRPr="00FD57D0">
              <w:t>Licensing, legis</w:t>
            </w:r>
            <w:r w:rsidRPr="00FD57D0">
              <w:t>lative, regulatory or certification requirements may apply to this unit, check with your State Principal Racing Authority for current license or registration requirements.</w:t>
            </w:r>
          </w:p>
        </w:tc>
      </w:tr>
    </w:tbl>
    <w:p w:rsidR="00C375DE" w:rsidP="00FD57D0">
      <w:pPr>
        <w:pStyle w:val="BodyText"/>
      </w:pPr>
    </w:p>
    <w:p w:rsidR="00C375DE" w:rsidP="00FD57D0">
      <w:pPr>
        <w:pStyle w:val="BodyText"/>
      </w:pPr>
    </w:p>
    <w:p w:rsidR="00000000" w:rsidRPr="00FD57D0" w:rsidP="00FD57D0">
      <w:pPr>
        <w:pStyle w:val="Heading1"/>
      </w:pPr>
      <w:bookmarkStart w:id="3" w:name="O_216985"/>
      <w:bookmarkEnd w:id="3"/>
      <w:r w:rsidRPr="00FD57D0">
        <w:t>Application of the Unit</w:t>
      </w:r>
    </w:p>
    <w:tbl>
      <w:tblPr>
        <w:tblW w:w="0" w:type="auto"/>
        <w:tblLayout w:type="fixed"/>
        <w:tblCellMar>
          <w:left w:w="62" w:type="dxa"/>
          <w:right w:w="62" w:type="dxa"/>
        </w:tblCellMar>
        <w:tblLook w:val="0000"/>
      </w:tblPr>
      <w:tblGrid>
        <w:gridCol w:w="2745"/>
        <w:gridCol w:w="5777"/>
      </w:tblGrid>
      <w:tr w:rsidTr="00C375DE">
        <w:tblPrEx>
          <w:tblW w:w="0" w:type="auto"/>
          <w:tblLayout w:type="fixed"/>
          <w:tblCellMar>
            <w:left w:w="62" w:type="dxa"/>
            <w:right w:w="62" w:type="dxa"/>
          </w:tblCellMar>
          <w:tblLook w:val="0000"/>
        </w:tblPrEx>
        <w:tc>
          <w:tcPr>
            <w:tcW w:w="2745" w:type="dxa"/>
            <w:tcBorders>
              <w:top w:val="nil"/>
              <w:left w:val="nil"/>
              <w:bottom w:val="nil"/>
              <w:right w:val="nil"/>
            </w:tcBorders>
            <w:tcMar>
              <w:top w:w="0" w:type="dxa"/>
              <w:left w:w="62" w:type="dxa"/>
              <w:bottom w:w="0" w:type="dxa"/>
              <w:right w:w="62" w:type="dxa"/>
            </w:tcMar>
          </w:tcPr>
          <w:p w:rsidR="00000000" w:rsidP="00FD57D0">
            <w:pPr>
              <w:pStyle w:val="BodyText"/>
              <w:rPr>
                <w:lang w:val="en-NZ"/>
              </w:rPr>
            </w:pPr>
            <w:r w:rsidRPr="00FD57D0">
              <w:rPr>
                <w:rStyle w:val="SpecialBold"/>
              </w:rPr>
              <w:t>Application of the unit</w:t>
            </w:r>
          </w:p>
        </w:tc>
        <w:tc>
          <w:tcPr>
            <w:tcW w:w="5777" w:type="dxa"/>
            <w:tcBorders>
              <w:top w:val="nil"/>
              <w:left w:val="nil"/>
              <w:bottom w:val="nil"/>
              <w:right w:val="nil"/>
            </w:tcBorders>
            <w:tcMar>
              <w:top w:w="0" w:type="dxa"/>
              <w:left w:w="62" w:type="dxa"/>
              <w:bottom w:w="0" w:type="dxa"/>
              <w:right w:w="62" w:type="dxa"/>
            </w:tcMar>
          </w:tcPr>
          <w:p w:rsidR="00000000" w:rsidRPr="00FD57D0" w:rsidP="00FD57D0">
            <w:pPr>
              <w:pStyle w:val="BodyText"/>
            </w:pPr>
            <w:r w:rsidRPr="00FD57D0">
              <w:t>This unit of competency supports senior stablehands, leading hands, trainers and others authorised to determine nutritional requirements for racing horses.</w:t>
            </w:r>
          </w:p>
          <w:p w:rsidR="00000000" w:rsidRPr="00FD57D0" w:rsidP="00FD57D0">
            <w:pPr>
              <w:pStyle w:val="BodyText"/>
            </w:pPr>
            <w:r w:rsidRPr="00FD57D0">
              <w:t>Competencies attained in this unit apply to the harness and thoroughbred codes of the industry. Cons</w:t>
            </w:r>
            <w:r w:rsidRPr="00FD57D0">
              <w:t>equently when performance criteria are applied they will relate to the harness or thoroughbred code and statements of attainment will reflect this distinction.</w:t>
            </w:r>
          </w:p>
          <w:p w:rsidR="00000000" w:rsidRPr="00FD57D0" w:rsidP="00FD57D0">
            <w:pPr>
              <w:pStyle w:val="BodyText"/>
            </w:pPr>
            <w:r w:rsidRPr="00FD57D0">
              <w:t>This unit can be contextualised for other industries while also maintaining the integrity of the</w:t>
            </w:r>
            <w:r w:rsidRPr="00FD57D0">
              <w:t xml:space="preserve"> unit. </w:t>
            </w:r>
          </w:p>
        </w:tc>
      </w:tr>
    </w:tbl>
    <w:p w:rsidR="00C375DE" w:rsidP="00FD57D0">
      <w:pPr>
        <w:pStyle w:val="BodyText"/>
      </w:pPr>
    </w:p>
    <w:p w:rsidR="00C375DE" w:rsidP="00FD57D0">
      <w:pPr>
        <w:pStyle w:val="BodyText"/>
      </w:pPr>
    </w:p>
    <w:p w:rsidR="00000000" w:rsidRPr="00FD57D0" w:rsidP="00FD57D0">
      <w:pPr>
        <w:pStyle w:val="Heading1"/>
      </w:pPr>
      <w:bookmarkStart w:id="4" w:name="O_281330"/>
      <w:bookmarkEnd w:id="4"/>
      <w:r w:rsidRPr="00FD57D0">
        <w:t>Licensing/Regulatory Information</w:t>
      </w:r>
    </w:p>
    <w:p w:rsidR="00000000" w:rsidRPr="00FD57D0" w:rsidP="00FD57D0">
      <w:pPr>
        <w:pStyle w:val="BodyText"/>
      </w:pPr>
      <w:r w:rsidRPr="00FD57D0">
        <w:t>Refer to Unit Descriptor</w:t>
      </w:r>
    </w:p>
    <w:p w:rsidR="00000000" w:rsidRPr="00FD57D0" w:rsidP="00FD57D0">
      <w:pPr>
        <w:pStyle w:val="AllowPageBreak"/>
      </w:pPr>
    </w:p>
    <w:p w:rsidR="00000000" w:rsidRPr="00FD57D0" w:rsidP="00FD57D0">
      <w:pPr>
        <w:pStyle w:val="Heading1"/>
      </w:pPr>
      <w:bookmarkStart w:id="5" w:name="O_216983"/>
      <w:bookmarkEnd w:id="5"/>
      <w:r w:rsidRPr="00FD57D0">
        <w:t>Pre-Requisites</w:t>
      </w:r>
    </w:p>
    <w:tbl>
      <w:tblPr>
        <w:tblW w:w="0" w:type="auto"/>
        <w:tblLayout w:type="fixed"/>
        <w:tblCellMar>
          <w:left w:w="62" w:type="dxa"/>
          <w:right w:w="62" w:type="dxa"/>
        </w:tblCellMar>
        <w:tblLook w:val="0000"/>
      </w:tblPr>
      <w:tblGrid>
        <w:gridCol w:w="2775"/>
        <w:gridCol w:w="1295"/>
        <w:gridCol w:w="4452"/>
      </w:tblGrid>
      <w:tr w:rsidTr="00C375DE">
        <w:tblPrEx>
          <w:tblW w:w="0" w:type="auto"/>
          <w:tblLayout w:type="fixed"/>
          <w:tblCellMar>
            <w:left w:w="62" w:type="dxa"/>
            <w:right w:w="62" w:type="dxa"/>
          </w:tblCellMar>
          <w:tblLook w:val="0000"/>
        </w:tblPrEx>
        <w:trPr>
          <w:tblHeader/>
        </w:trPr>
        <w:tc>
          <w:tcPr>
            <w:tcW w:w="2775" w:type="dxa"/>
            <w:tcBorders>
              <w:top w:val="nil"/>
              <w:left w:val="nil"/>
              <w:bottom w:val="nil"/>
              <w:right w:val="nil"/>
            </w:tcBorders>
            <w:tcMar>
              <w:top w:w="0" w:type="dxa"/>
              <w:left w:w="62" w:type="dxa"/>
              <w:bottom w:w="0" w:type="dxa"/>
              <w:right w:w="62" w:type="dxa"/>
            </w:tcMar>
          </w:tcPr>
          <w:p w:rsidR="00000000" w:rsidP="00FD57D0">
            <w:pPr>
              <w:pStyle w:val="BodyText"/>
              <w:rPr>
                <w:lang w:val="en-NZ"/>
              </w:rPr>
            </w:pPr>
            <w:r w:rsidRPr="00FD57D0">
              <w:rPr>
                <w:rStyle w:val="SpecialBold"/>
              </w:rPr>
              <w:t>Prerequisite units</w:t>
            </w:r>
          </w:p>
        </w:tc>
        <w:tc>
          <w:tcPr>
            <w:tcW w:w="5747" w:type="dxa"/>
            <w:gridSpan w:val="2"/>
            <w:tcBorders>
              <w:top w:val="nil"/>
              <w:left w:val="nil"/>
              <w:bottom w:val="nil"/>
              <w:right w:val="nil"/>
            </w:tcBorders>
            <w:tcMar>
              <w:top w:w="0" w:type="dxa"/>
              <w:left w:w="62" w:type="dxa"/>
              <w:bottom w:w="0" w:type="dxa"/>
              <w:right w:w="62" w:type="dxa"/>
            </w:tcMar>
          </w:tcPr>
          <w:p w:rsidR="00000000" w:rsidP="00FD57D0">
            <w:pPr>
              <w:pStyle w:val="BodyText"/>
              <w:rPr>
                <w:lang w:val="en-NZ"/>
              </w:rPr>
            </w:pPr>
          </w:p>
        </w:tc>
      </w:tr>
      <w:tr w:rsidTr="00C375DE">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P="00FD57D0">
            <w:pPr>
              <w:pStyle w:val="BodyText"/>
              <w:rPr>
                <w:lang w:val="en-NZ"/>
              </w:rPr>
            </w:pPr>
          </w:p>
        </w:tc>
      </w:tr>
      <w:tr w:rsidTr="00C375DE">
        <w:tblPrEx>
          <w:tblW w:w="0" w:type="auto"/>
          <w:tblLayout w:type="fixed"/>
          <w:tblCellMar>
            <w:left w:w="62" w:type="dxa"/>
            <w:right w:w="62" w:type="dxa"/>
          </w:tblCellMar>
          <w:tblLook w:val="0000"/>
        </w:tblPrEx>
        <w:tc>
          <w:tcPr>
            <w:tcW w:w="277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nil"/>
              <w:left w:val="nil"/>
              <w:bottom w:val="nil"/>
              <w:right w:val="nil"/>
            </w:tcBorders>
            <w:tcMar>
              <w:top w:w="0" w:type="dxa"/>
              <w:left w:w="62" w:type="dxa"/>
              <w:bottom w:w="0" w:type="dxa"/>
              <w:right w:w="62" w:type="dxa"/>
            </w:tcMar>
          </w:tcPr>
          <w:p w:rsidR="00000000" w:rsidRPr="00FD57D0" w:rsidP="00FD57D0">
            <w:pPr>
              <w:pStyle w:val="BodyText"/>
            </w:pPr>
          </w:p>
        </w:tc>
      </w:tr>
    </w:tbl>
    <w:p w:rsidR="00C375DE" w:rsidP="00FD57D0">
      <w:pPr>
        <w:pStyle w:val="BodyText"/>
      </w:pPr>
    </w:p>
    <w:p w:rsidR="00C375DE" w:rsidP="00FD57D0">
      <w:pPr>
        <w:pStyle w:val="BodyText"/>
      </w:pPr>
    </w:p>
    <w:p w:rsidR="00000000" w:rsidRPr="00FD57D0" w:rsidP="00FD57D0">
      <w:pPr>
        <w:pStyle w:val="Heading1"/>
      </w:pPr>
      <w:bookmarkStart w:id="6" w:name="O_216982"/>
      <w:bookmarkEnd w:id="6"/>
      <w:r w:rsidRPr="00FD57D0">
        <w:t>Employability Skills Information</w:t>
      </w:r>
    </w:p>
    <w:tbl>
      <w:tblPr>
        <w:tblW w:w="0" w:type="auto"/>
        <w:tblLayout w:type="fixed"/>
        <w:tblCellMar>
          <w:left w:w="62" w:type="dxa"/>
          <w:right w:w="62" w:type="dxa"/>
        </w:tblCellMar>
        <w:tblLook w:val="0000"/>
      </w:tblPr>
      <w:tblGrid>
        <w:gridCol w:w="2802"/>
        <w:gridCol w:w="5720"/>
      </w:tblGrid>
      <w:tr w:rsidTr="00C375DE">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FD57D0">
            <w:pPr>
              <w:pStyle w:val="BodyText"/>
              <w:rPr>
                <w:lang w:val="en-NZ"/>
              </w:rPr>
            </w:pPr>
            <w:r w:rsidRPr="00FD57D0">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FD57D0" w:rsidP="00FD57D0">
            <w:pPr>
              <w:pStyle w:val="BodyText"/>
            </w:pPr>
            <w:r w:rsidRPr="00FD57D0">
              <w:t>This unit contains</w:t>
            </w:r>
            <w:r w:rsidRPr="00FD57D0">
              <w:t xml:space="preserve"> employability skills.</w:t>
            </w:r>
          </w:p>
        </w:tc>
      </w:tr>
    </w:tbl>
    <w:p w:rsidR="00C375DE" w:rsidP="00FD57D0">
      <w:pPr>
        <w:pStyle w:val="BodyText"/>
      </w:pPr>
    </w:p>
    <w:p w:rsidR="00C375DE" w:rsidP="00FD57D0">
      <w:pPr>
        <w:pStyle w:val="BodyText"/>
      </w:pPr>
    </w:p>
    <w:p w:rsidR="00000000" w:rsidRPr="00FD57D0" w:rsidP="00FD57D0">
      <w:pPr>
        <w:pStyle w:val="Heading1"/>
      </w:pPr>
      <w:bookmarkStart w:id="7" w:name="O_291116"/>
      <w:bookmarkEnd w:id="7"/>
      <w:r w:rsidRPr="00FD57D0">
        <w:t>Elements and Performance Criteria Pre-Content</w:t>
      </w:r>
    </w:p>
    <w:tbl>
      <w:tblPr>
        <w:tblW w:w="0" w:type="auto"/>
        <w:tblLayout w:type="fixed"/>
        <w:tblCellMar>
          <w:left w:w="62" w:type="dxa"/>
          <w:right w:w="62" w:type="dxa"/>
        </w:tblCellMar>
        <w:tblLook w:val="0000"/>
      </w:tblPr>
      <w:tblGrid>
        <w:gridCol w:w="2567"/>
        <w:gridCol w:w="5955"/>
      </w:tblGrid>
      <w:tr w:rsidTr="00C375DE">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FD57D0">
            <w:pPr>
              <w:pStyle w:val="BodyText"/>
              <w:rPr>
                <w:lang w:val="en-NZ"/>
              </w:rPr>
            </w:pPr>
            <w:r w:rsidRPr="00FD57D0">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FD57D0" w:rsidP="00FD57D0">
            <w:pPr>
              <w:pStyle w:val="BodyText"/>
            </w:pPr>
            <w:r w:rsidRPr="00FD57D0">
              <w:t>Performance criteria describe the performance needed to demonstrate achievement of the element. Where</w:t>
            </w:r>
            <w:r w:rsidRPr="00FD57D0">
              <w:t xml:space="preserve"> bold italicised text is used, further information is detailed in the required skills and knowledge section and the range statement. Assessment of performance is to be consistent with the evidence guide.</w:t>
            </w:r>
          </w:p>
        </w:tc>
      </w:tr>
    </w:tbl>
    <w:p w:rsidR="00000000" w:rsidRPr="00FD57D0" w:rsidP="00FD57D0">
      <w:pPr>
        <w:pStyle w:val="BodyText"/>
      </w:pPr>
    </w:p>
    <w:p w:rsidR="00000000" w:rsidRPr="00FD57D0" w:rsidP="00FD57D0">
      <w:pPr>
        <w:pStyle w:val="AllowPageBreak"/>
      </w:pPr>
    </w:p>
    <w:p w:rsidR="00000000" w:rsidRPr="00FD57D0" w:rsidP="00FD57D0">
      <w:pPr>
        <w:pStyle w:val="Heading1"/>
      </w:pPr>
      <w:bookmarkStart w:id="8" w:name="O_237784"/>
      <w:bookmarkEnd w:id="8"/>
      <w:r w:rsidRPr="00FD57D0">
        <w:t>Elements and Performance Criteria</w:t>
      </w:r>
    </w:p>
    <w:tbl>
      <w:tblPr>
        <w:tblW w:w="0" w:type="auto"/>
        <w:tblLayout w:type="fixed"/>
        <w:tblCellMar>
          <w:left w:w="62" w:type="dxa"/>
          <w:right w:w="62" w:type="dxa"/>
        </w:tblCellMar>
        <w:tblLook w:val="0000"/>
      </w:tblPr>
      <w:tblGrid>
        <w:gridCol w:w="2567"/>
        <w:gridCol w:w="5955"/>
      </w:tblGrid>
      <w:tr w:rsidTr="00C375DE">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FD57D0" w:rsidP="00FD57D0">
            <w:pPr>
              <w:pStyle w:val="BodyText"/>
            </w:pPr>
            <w:r w:rsidRPr="00FD57D0">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FD57D0">
            <w:pPr>
              <w:pStyle w:val="BodyText"/>
              <w:rPr>
                <w:lang w:val="en-NZ"/>
              </w:rPr>
            </w:pPr>
            <w:r w:rsidRPr="00FD57D0">
              <w:rPr>
                <w:rStyle w:val="SpecialBold"/>
              </w:rPr>
              <w:t>PERFORMANCE CRITERIA</w:t>
            </w:r>
          </w:p>
        </w:tc>
      </w:tr>
      <w:tr w:rsidTr="00C375D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D57D0">
            <w:pPr>
              <w:pStyle w:val="BodyText"/>
              <w:rPr>
                <w:lang w:val="en-NZ"/>
              </w:rPr>
            </w:pPr>
            <w:r w:rsidRPr="00FD57D0">
              <w:t>Prepare rations for racing horses.</w:t>
            </w:r>
          </w:p>
        </w:tc>
        <w:tc>
          <w:tcPr>
            <w:tcW w:w="5955" w:type="dxa"/>
            <w:tcBorders>
              <w:top w:val="nil"/>
              <w:left w:val="nil"/>
              <w:bottom w:val="nil"/>
              <w:right w:val="nil"/>
            </w:tcBorders>
            <w:tcMar>
              <w:top w:w="0" w:type="dxa"/>
              <w:left w:w="62" w:type="dxa"/>
              <w:bottom w:w="0" w:type="dxa"/>
              <w:right w:w="62" w:type="dxa"/>
            </w:tcMar>
          </w:tcPr>
          <w:p w:rsidR="00000000" w:rsidRPr="00FD57D0" w:rsidP="00FD57D0">
            <w:pPr>
              <w:pStyle w:val="List"/>
            </w:pPr>
            <w:r w:rsidRPr="00FD57D0">
              <w:t>1.</w:t>
            </w:r>
            <w:r w:rsidRPr="00FD57D0">
              <w:tab/>
            </w:r>
            <w:r w:rsidRPr="00FD57D0">
              <w:rPr>
                <w:rStyle w:val="BoldandItalics"/>
              </w:rPr>
              <w:t>Nutritional principles</w:t>
            </w:r>
            <w:r w:rsidRPr="00FD57D0">
              <w:t xml:space="preserve"> are applied to the formulation of individual rations. </w:t>
            </w:r>
          </w:p>
          <w:p w:rsidR="00000000" w:rsidRPr="00FD57D0" w:rsidP="00FD57D0">
            <w:pPr>
              <w:pStyle w:val="List"/>
            </w:pPr>
            <w:r w:rsidRPr="00FD57D0">
              <w:t>2.</w:t>
            </w:r>
            <w:r w:rsidRPr="00FD57D0">
              <w:tab/>
              <w:t xml:space="preserve">Rations are appropriate to horse's condition, </w:t>
            </w:r>
            <w:r w:rsidRPr="00FD57D0">
              <w:rPr>
                <w:rStyle w:val="BoldandItalics"/>
              </w:rPr>
              <w:t>workload and stage of training</w:t>
            </w:r>
            <w:r w:rsidRPr="00FD57D0">
              <w:t xml:space="preserve"> . </w:t>
            </w:r>
          </w:p>
          <w:p w:rsidR="00000000" w:rsidP="00FD57D0">
            <w:pPr>
              <w:pStyle w:val="List"/>
              <w:rPr>
                <w:lang w:val="en-NZ"/>
              </w:rPr>
            </w:pPr>
            <w:r w:rsidRPr="00FD57D0">
              <w:t>3.</w:t>
            </w:r>
            <w:r w:rsidRPr="00FD57D0">
              <w:tab/>
              <w:t>Basic rations for indiv</w:t>
            </w:r>
            <w:r w:rsidRPr="00FD57D0">
              <w:t>idual horses are formulated.</w:t>
            </w:r>
          </w:p>
        </w:tc>
      </w:tr>
      <w:tr w:rsidTr="00C375DE">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FD57D0">
            <w:pPr>
              <w:pStyle w:val="BodyText"/>
              <w:rPr>
                <w:lang w:val="en-NZ"/>
              </w:rPr>
            </w:pPr>
            <w:r w:rsidRPr="00FD57D0">
              <w:t>Assess range of feed, additives and supplements for horses and monitor stable feeding practices.</w:t>
            </w:r>
          </w:p>
        </w:tc>
        <w:tc>
          <w:tcPr>
            <w:tcW w:w="5955" w:type="dxa"/>
            <w:tcBorders>
              <w:top w:val="nil"/>
              <w:left w:val="nil"/>
              <w:bottom w:val="nil"/>
              <w:right w:val="nil"/>
            </w:tcBorders>
            <w:tcMar>
              <w:top w:w="0" w:type="dxa"/>
              <w:left w:w="62" w:type="dxa"/>
              <w:bottom w:w="0" w:type="dxa"/>
              <w:right w:w="62" w:type="dxa"/>
            </w:tcMar>
          </w:tcPr>
          <w:p w:rsidR="00000000" w:rsidRPr="00FD57D0" w:rsidP="00FD57D0">
            <w:pPr>
              <w:pStyle w:val="List"/>
            </w:pPr>
            <w:r w:rsidRPr="00FD57D0">
              <w:t>4.</w:t>
            </w:r>
            <w:r w:rsidRPr="00FD57D0">
              <w:tab/>
              <w:t xml:space="preserve">Feed is selected on the basis of </w:t>
            </w:r>
            <w:r w:rsidRPr="00FD57D0">
              <w:rPr>
                <w:rStyle w:val="BoldandItalics"/>
              </w:rPr>
              <w:t>quality</w:t>
            </w:r>
            <w:r w:rsidRPr="00FD57D0">
              <w:t xml:space="preserve">, </w:t>
            </w:r>
            <w:r w:rsidRPr="00FD57D0">
              <w:rPr>
                <w:rStyle w:val="BoldandItalics"/>
              </w:rPr>
              <w:t>type</w:t>
            </w:r>
            <w:r w:rsidRPr="00FD57D0">
              <w:t xml:space="preserve">, </w:t>
            </w:r>
            <w:r w:rsidRPr="00FD57D0">
              <w:rPr>
                <w:rStyle w:val="BoldandItalics"/>
              </w:rPr>
              <w:t>and nutritional</w:t>
            </w:r>
            <w:r w:rsidRPr="00FD57D0">
              <w:t xml:space="preserve">, </w:t>
            </w:r>
            <w:r w:rsidRPr="00FD57D0">
              <w:rPr>
                <w:rStyle w:val="BoldandItalics"/>
              </w:rPr>
              <w:t>energy and economic value</w:t>
            </w:r>
            <w:r w:rsidRPr="00FD57D0">
              <w:t xml:space="preserve"> for a particular animal. </w:t>
            </w:r>
          </w:p>
          <w:p w:rsidR="00000000" w:rsidRPr="00FD57D0" w:rsidP="00FD57D0">
            <w:pPr>
              <w:pStyle w:val="List"/>
            </w:pPr>
            <w:r w:rsidRPr="00FD57D0">
              <w:t>5.</w:t>
            </w:r>
            <w:r w:rsidRPr="00FD57D0">
              <w:tab/>
            </w:r>
            <w:r w:rsidRPr="00FD57D0">
              <w:rPr>
                <w:rStyle w:val="BoldandItalics"/>
              </w:rPr>
              <w:t>Supplements and feed additives</w:t>
            </w:r>
            <w:r w:rsidRPr="00FD57D0">
              <w:t xml:space="preserve"> are assessed on the basis of active ingredients, price and nutritional needs for specific horses. </w:t>
            </w:r>
          </w:p>
          <w:p w:rsidR="00000000" w:rsidRPr="00FD57D0" w:rsidP="00FD57D0">
            <w:pPr>
              <w:pStyle w:val="List"/>
            </w:pPr>
            <w:r w:rsidRPr="00FD57D0">
              <w:t>6.</w:t>
            </w:r>
            <w:r w:rsidRPr="00FD57D0">
              <w:tab/>
              <w:t xml:space="preserve">Supplements and feed additives </w:t>
            </w:r>
            <w:r w:rsidRPr="00FD57D0">
              <w:rPr>
                <w:rStyle w:val="BoldandItalics"/>
              </w:rPr>
              <w:t>selected are checked</w:t>
            </w:r>
            <w:r w:rsidRPr="00FD57D0">
              <w:t xml:space="preserve"> for industry regulation and animal welfare compliance. </w:t>
            </w:r>
          </w:p>
          <w:p w:rsidR="00000000" w:rsidRPr="00FD57D0" w:rsidP="00FD57D0">
            <w:pPr>
              <w:pStyle w:val="List"/>
            </w:pPr>
            <w:r w:rsidRPr="00FD57D0">
              <w:t>7.</w:t>
            </w:r>
            <w:r w:rsidRPr="00FD57D0">
              <w:tab/>
              <w:t>Potential in</w:t>
            </w:r>
            <w:r w:rsidRPr="00FD57D0">
              <w:t xml:space="preserve">fluence of supplements on the </w:t>
            </w:r>
            <w:r w:rsidRPr="00FD57D0">
              <w:rPr>
                <w:rStyle w:val="BoldandItalics"/>
              </w:rPr>
              <w:t>total carbon dioxide level</w:t>
            </w:r>
            <w:r w:rsidRPr="00FD57D0">
              <w:t xml:space="preserve"> (</w:t>
            </w:r>
            <w:r w:rsidRPr="00FD57D0">
              <w:rPr>
                <w:rStyle w:val="BoldandItalics"/>
              </w:rPr>
              <w:t>TCO2</w:t>
            </w:r>
            <w:r w:rsidRPr="00FD57D0">
              <w:t xml:space="preserve">) in racehorses is identified. </w:t>
            </w:r>
          </w:p>
          <w:p w:rsidR="00000000" w:rsidRPr="00FD57D0" w:rsidP="00FD57D0">
            <w:pPr>
              <w:pStyle w:val="List"/>
            </w:pPr>
            <w:r w:rsidRPr="00FD57D0">
              <w:t>8.</w:t>
            </w:r>
            <w:r w:rsidRPr="00FD57D0">
              <w:tab/>
              <w:t>Stable feed records are maintained and monitoredand feed order is prepared.</w:t>
            </w:r>
          </w:p>
        </w:tc>
      </w:tr>
    </w:tbl>
    <w:p w:rsidR="00C375DE" w:rsidP="00FD57D0">
      <w:pPr>
        <w:pStyle w:val="BodyText"/>
      </w:pPr>
    </w:p>
    <w:p w:rsidR="00C375DE" w:rsidP="00FD57D0">
      <w:pPr>
        <w:pStyle w:val="BodyText"/>
      </w:pPr>
    </w:p>
    <w:p w:rsidR="00000000" w:rsidRPr="00FD57D0" w:rsidP="00FD57D0">
      <w:pPr>
        <w:pStyle w:val="Heading1"/>
      </w:pPr>
      <w:bookmarkStart w:id="9" w:name="O_261575"/>
      <w:bookmarkEnd w:id="9"/>
      <w:r w:rsidRPr="00FD57D0">
        <w:t>Required Skills and Knowledge</w:t>
      </w:r>
    </w:p>
    <w:tbl>
      <w:tblPr>
        <w:tblW w:w="0" w:type="auto"/>
        <w:tblLayout w:type="fixed"/>
        <w:tblCellMar>
          <w:left w:w="62" w:type="dxa"/>
          <w:right w:w="62" w:type="dxa"/>
        </w:tblCellMar>
        <w:tblLook w:val="0000"/>
      </w:tblPr>
      <w:tblGrid>
        <w:gridCol w:w="8522"/>
      </w:tblGrid>
      <w:tr w:rsidTr="00C375DE">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D57D0">
            <w:pPr>
              <w:pStyle w:val="BodyText"/>
              <w:rPr>
                <w:lang w:val="en-NZ"/>
              </w:rPr>
            </w:pPr>
            <w:r w:rsidRPr="00FD57D0">
              <w:rPr>
                <w:rStyle w:val="SpecialBold"/>
              </w:rPr>
              <w:t>REQUIRED SKILLS A</w:t>
            </w:r>
            <w:r w:rsidRPr="00FD57D0">
              <w:rPr>
                <w:rStyle w:val="SpecialBold"/>
              </w:rPr>
              <w:t>ND KNOWLEDGE</w:t>
            </w:r>
          </w:p>
        </w:tc>
      </w:tr>
      <w:tr w:rsidTr="00C375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D57D0">
            <w:pPr>
              <w:pStyle w:val="BodyText"/>
              <w:rPr>
                <w:lang w:val="en-NZ"/>
              </w:rPr>
            </w:pPr>
            <w:r w:rsidRPr="00FD57D0">
              <w:t>This section describes the skills and knowledge required for this unit.</w:t>
            </w:r>
          </w:p>
        </w:tc>
      </w:tr>
      <w:tr w:rsidTr="00C375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D57D0">
            <w:pPr>
              <w:pStyle w:val="BodyText"/>
              <w:rPr>
                <w:lang w:val="en-NZ"/>
              </w:rPr>
            </w:pPr>
            <w:r w:rsidRPr="00FD57D0">
              <w:rPr>
                <w:rStyle w:val="SpecialBold"/>
              </w:rPr>
              <w:t>Required skills</w:t>
            </w:r>
          </w:p>
        </w:tc>
      </w:tr>
      <w:tr w:rsidTr="00C375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D57D0" w:rsidP="00FD57D0">
            <w:pPr>
              <w:pStyle w:val="ListBullet"/>
            </w:pPr>
            <w:r w:rsidRPr="00FD57D0">
              <w:t>applying safe work practices when determining nutritional requirements of horses</w:t>
            </w:r>
          </w:p>
          <w:p w:rsidR="00000000" w:rsidRPr="00FD57D0" w:rsidP="00FD57D0">
            <w:pPr>
              <w:pStyle w:val="ListBullet"/>
            </w:pPr>
            <w:r w:rsidRPr="00FD57D0">
              <w:t>applying nutritional principles</w:t>
            </w:r>
          </w:p>
          <w:p w:rsidR="00000000" w:rsidRPr="00FD57D0" w:rsidP="00FD57D0">
            <w:pPr>
              <w:pStyle w:val="ListBullet"/>
            </w:pPr>
            <w:r w:rsidRPr="00FD57D0">
              <w:t>communicating with employer, supervisor, co-workers and feed merchants using assertive communication techniques to gather, interpret and relay information related to determining nutritional requirements for racing horses</w:t>
            </w:r>
          </w:p>
          <w:p w:rsidR="00000000" w:rsidRPr="00FD57D0" w:rsidP="00FD57D0">
            <w:pPr>
              <w:pStyle w:val="ListBullet"/>
            </w:pPr>
            <w:r w:rsidRPr="00FD57D0">
              <w:t>completing duties in accordance wit</w:t>
            </w:r>
            <w:r w:rsidRPr="00FD57D0">
              <w:t>h safe operating procedures and nominated time frame</w:t>
            </w:r>
          </w:p>
          <w:p w:rsidR="00000000" w:rsidRPr="00FD57D0" w:rsidP="00FD57D0">
            <w:pPr>
              <w:pStyle w:val="ListBullet"/>
            </w:pPr>
            <w:r w:rsidRPr="00FD57D0">
              <w:t>complying with animal welfare policies in the care and management of horses</w:t>
            </w:r>
          </w:p>
          <w:p w:rsidR="00000000" w:rsidRPr="00FD57D0" w:rsidP="00FD57D0">
            <w:pPr>
              <w:pStyle w:val="ListBullet"/>
            </w:pPr>
            <w:r w:rsidRPr="00FD57D0">
              <w:t>identifying and correctly using different feed components and feed supplements</w:t>
            </w:r>
          </w:p>
          <w:p w:rsidR="00000000" w:rsidRPr="00FD57D0" w:rsidP="00FD57D0">
            <w:pPr>
              <w:pStyle w:val="ListBullet"/>
            </w:pPr>
            <w:r w:rsidRPr="00FD57D0">
              <w:t>identifying individual horses</w:t>
            </w:r>
          </w:p>
          <w:p w:rsidR="00000000" w:rsidRPr="00FD57D0" w:rsidP="00FD57D0">
            <w:pPr>
              <w:pStyle w:val="ListBullet"/>
            </w:pPr>
            <w:r w:rsidRPr="00FD57D0">
              <w:t>identifying change</w:t>
            </w:r>
            <w:r w:rsidRPr="00FD57D0">
              <w:t>s to horse behaviour</w:t>
            </w:r>
          </w:p>
          <w:p w:rsidR="00000000" w:rsidRPr="00FD57D0" w:rsidP="00FD57D0">
            <w:pPr>
              <w:pStyle w:val="ListBullet"/>
            </w:pPr>
            <w:r w:rsidRPr="00FD57D0">
              <w:t>identifying quality, type, and nutritional, energy and economic value of various feeds</w:t>
            </w:r>
          </w:p>
          <w:p w:rsidR="00000000" w:rsidRPr="00FD57D0" w:rsidP="00FD57D0">
            <w:pPr>
              <w:pStyle w:val="ListBullet"/>
            </w:pPr>
            <w:r w:rsidRPr="00FD57D0">
              <w:t>monitoring feed records</w:t>
            </w:r>
          </w:p>
          <w:p w:rsidR="00000000" w:rsidRPr="00FD57D0" w:rsidP="00FD57D0">
            <w:pPr>
              <w:pStyle w:val="ListBullet"/>
            </w:pPr>
            <w:r w:rsidRPr="00FD57D0">
              <w:t>preparing feed orders</w:t>
            </w:r>
          </w:p>
          <w:p w:rsidR="00000000" w:rsidRPr="00FD57D0" w:rsidP="00FD57D0">
            <w:pPr>
              <w:pStyle w:val="ListBullet"/>
            </w:pPr>
            <w:r w:rsidRPr="00FD57D0">
              <w:t>reading and interpreting workplace documentation, including relevant rules of racing</w:t>
            </w:r>
          </w:p>
          <w:p w:rsidR="00000000" w:rsidRPr="00FD57D0" w:rsidP="00FD57D0">
            <w:pPr>
              <w:pStyle w:val="ListBullet"/>
            </w:pPr>
            <w:r w:rsidRPr="00FD57D0">
              <w:t>recognising chang</w:t>
            </w:r>
            <w:r w:rsidRPr="00FD57D0">
              <w:t>es in horses' condition</w:t>
            </w:r>
          </w:p>
          <w:p w:rsidR="00000000" w:rsidRPr="00FD57D0" w:rsidP="00FD57D0">
            <w:pPr>
              <w:pStyle w:val="ListBullet"/>
            </w:pPr>
            <w:r w:rsidRPr="00FD57D0">
              <w:t>recognising spoiled or contaminated feed</w:t>
            </w:r>
          </w:p>
          <w:p w:rsidR="00000000" w:rsidRPr="00FD57D0" w:rsidP="00FD57D0">
            <w:pPr>
              <w:pStyle w:val="ListBullet"/>
            </w:pPr>
            <w:r w:rsidRPr="00FD57D0">
              <w:t>relating to people from a range of social, cultural and ethnic backgrounds and with varying physical and mental abilities</w:t>
            </w:r>
          </w:p>
          <w:p w:rsidR="00000000" w:rsidRPr="00FD57D0" w:rsidP="00FD57D0">
            <w:pPr>
              <w:pStyle w:val="ListBullet"/>
            </w:pPr>
            <w:r w:rsidRPr="00FD57D0">
              <w:t>reporting problems promptly</w:t>
            </w:r>
          </w:p>
          <w:p w:rsidR="00000000" w:rsidRPr="00FD57D0" w:rsidP="00FD57D0">
            <w:pPr>
              <w:pStyle w:val="ListBullet"/>
            </w:pPr>
            <w:r w:rsidRPr="00FD57D0">
              <w:t>using feed weighing scales</w:t>
            </w:r>
          </w:p>
          <w:p w:rsidR="00000000" w:rsidP="00FD57D0">
            <w:pPr>
              <w:pStyle w:val="ListBullet"/>
              <w:rPr>
                <w:lang w:val="en-NZ"/>
              </w:rPr>
            </w:pPr>
            <w:r w:rsidRPr="00FD57D0">
              <w:t>written commun</w:t>
            </w:r>
            <w:r w:rsidRPr="00FD57D0">
              <w:t>ication skills to complete workplace documentation and reports.</w:t>
            </w:r>
          </w:p>
        </w:tc>
      </w:tr>
      <w:tr w:rsidTr="00C375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FD57D0">
            <w:pPr>
              <w:pStyle w:val="BodyText"/>
              <w:rPr>
                <w:lang w:val="en-NZ"/>
              </w:rPr>
            </w:pPr>
            <w:r w:rsidRPr="00FD57D0">
              <w:rPr>
                <w:rStyle w:val="SpecialBold"/>
              </w:rPr>
              <w:t>Required knowledge</w:t>
            </w:r>
          </w:p>
        </w:tc>
      </w:tr>
      <w:tr w:rsidTr="00C375D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D57D0" w:rsidP="00FD57D0">
            <w:pPr>
              <w:pStyle w:val="ListBullet"/>
            </w:pPr>
            <w:r w:rsidRPr="00FD57D0">
              <w:t>horse digestive system</w:t>
            </w:r>
          </w:p>
          <w:p w:rsidR="00000000" w:rsidRPr="00FD57D0" w:rsidP="00FD57D0">
            <w:pPr>
              <w:pStyle w:val="ListBullet"/>
            </w:pPr>
            <w:r w:rsidRPr="00FD57D0">
              <w:t>basic industry terminology related to handling and caring for horses</w:t>
            </w:r>
          </w:p>
          <w:p w:rsidR="00000000" w:rsidRPr="00FD57D0" w:rsidP="00FD57D0">
            <w:pPr>
              <w:pStyle w:val="ListBullet"/>
            </w:pPr>
            <w:r w:rsidRPr="00FD57D0">
              <w:t>communication procedures within stable and wider racing industry</w:t>
            </w:r>
          </w:p>
          <w:p w:rsidR="00000000" w:rsidRPr="00FD57D0" w:rsidP="00FD57D0">
            <w:pPr>
              <w:pStyle w:val="ListBullet"/>
            </w:pPr>
            <w:r w:rsidRPr="00FD57D0">
              <w:t>common horse behaviour, social traits and vices</w:t>
            </w:r>
          </w:p>
          <w:p w:rsidR="00000000" w:rsidRPr="00FD57D0" w:rsidP="00FD57D0">
            <w:pPr>
              <w:pStyle w:val="ListBullet"/>
            </w:pPr>
            <w:r w:rsidRPr="00FD57D0">
              <w:t>economic value of various feeds</w:t>
            </w:r>
          </w:p>
          <w:p w:rsidR="00000000" w:rsidRPr="00FD57D0" w:rsidP="00FD57D0">
            <w:pPr>
              <w:pStyle w:val="ListBullet"/>
            </w:pPr>
            <w:r w:rsidRPr="00FD57D0">
              <w:t>feed and feed supplements</w:t>
            </w:r>
          </w:p>
          <w:p w:rsidR="00000000" w:rsidRPr="00FD57D0" w:rsidP="00FD57D0">
            <w:pPr>
              <w:pStyle w:val="ListBullet"/>
            </w:pPr>
            <w:r w:rsidRPr="00FD57D0">
              <w:t>interaction between feed and supplements that may result in contravention of industry regulations</w:t>
            </w:r>
          </w:p>
          <w:p w:rsidR="00000000" w:rsidRPr="00FD57D0" w:rsidP="00FD57D0">
            <w:pPr>
              <w:pStyle w:val="ListBullet"/>
            </w:pPr>
            <w:r w:rsidRPr="00FD57D0">
              <w:t>nutritional principles in relation to horses' age an</w:t>
            </w:r>
            <w:r w:rsidRPr="00FD57D0">
              <w:t>d needs while spelling, training and racing</w:t>
            </w:r>
          </w:p>
          <w:p w:rsidR="00000000" w:rsidRPr="00FD57D0" w:rsidP="00FD57D0">
            <w:pPr>
              <w:pStyle w:val="ListBullet"/>
            </w:pPr>
            <w:r w:rsidRPr="00FD57D0">
              <w:t>nutritional value of various feeds</w:t>
            </w:r>
          </w:p>
          <w:p w:rsidR="00000000" w:rsidRPr="00FD57D0" w:rsidP="00FD57D0">
            <w:pPr>
              <w:pStyle w:val="ListBullet"/>
            </w:pPr>
            <w:r w:rsidRPr="00FD57D0">
              <w:t>quality of feed</w:t>
            </w:r>
          </w:p>
          <w:p w:rsidR="00000000" w:rsidRPr="00FD57D0" w:rsidP="00FD57D0">
            <w:pPr>
              <w:pStyle w:val="ListBullet"/>
            </w:pPr>
            <w:r w:rsidRPr="00FD57D0">
              <w:t>racing industry animal welfare requirements</w:t>
            </w:r>
          </w:p>
          <w:p w:rsidR="00000000" w:rsidRPr="00FD57D0" w:rsidP="00FD57D0">
            <w:pPr>
              <w:pStyle w:val="ListBullet"/>
            </w:pPr>
            <w:r w:rsidRPr="00FD57D0">
              <w:t>racing industry safety requirements, including safe operating procedures</w:t>
            </w:r>
          </w:p>
          <w:p w:rsidR="00000000" w:rsidRPr="00FD57D0" w:rsidP="00FD57D0">
            <w:pPr>
              <w:pStyle w:val="ListBullet"/>
            </w:pPr>
            <w:r w:rsidRPr="00FD57D0">
              <w:t>relevant rules of racing</w:t>
            </w:r>
          </w:p>
          <w:p w:rsidR="00000000" w:rsidRPr="00FD57D0" w:rsidP="00FD57D0">
            <w:pPr>
              <w:pStyle w:val="ListBullet"/>
            </w:pPr>
            <w:r w:rsidRPr="00FD57D0">
              <w:t>sources and importance of energy, protein, fibre, minerals, trace elements and vitamins in a feed ration</w:t>
            </w:r>
          </w:p>
          <w:p w:rsidR="00000000" w:rsidRPr="00FD57D0" w:rsidP="00FD57D0">
            <w:pPr>
              <w:pStyle w:val="ListBullet"/>
            </w:pPr>
            <w:r w:rsidRPr="00FD57D0">
              <w:t>weighing feeds.</w:t>
            </w:r>
          </w:p>
        </w:tc>
      </w:tr>
    </w:tbl>
    <w:p w:rsidR="00C375DE" w:rsidP="00FD57D0">
      <w:pPr>
        <w:pStyle w:val="BodyText"/>
      </w:pPr>
    </w:p>
    <w:p w:rsidR="00C375DE" w:rsidP="00FD57D0">
      <w:pPr>
        <w:pStyle w:val="BodyText"/>
      </w:pPr>
    </w:p>
    <w:p w:rsidR="00000000" w:rsidRPr="00FD57D0" w:rsidP="00FD57D0">
      <w:pPr>
        <w:pStyle w:val="AllowPageBreak"/>
      </w:pPr>
    </w:p>
    <w:p w:rsidR="00000000" w:rsidRPr="00FD57D0" w:rsidP="00FD57D0">
      <w:pPr>
        <w:pStyle w:val="Heading1"/>
      </w:pPr>
      <w:bookmarkStart w:id="10" w:name="O_245768"/>
      <w:bookmarkEnd w:id="10"/>
      <w:r w:rsidRPr="00FD57D0">
        <w:t>Evidence Guide</w:t>
      </w:r>
    </w:p>
    <w:tbl>
      <w:tblPr>
        <w:tblW w:w="9570" w:type="dxa"/>
        <w:tblLayout w:type="fixed"/>
        <w:tblCellMar>
          <w:left w:w="62" w:type="dxa"/>
          <w:right w:w="62" w:type="dxa"/>
        </w:tblCellMar>
        <w:tblLook w:val="0000"/>
      </w:tblPr>
      <w:tblGrid>
        <w:gridCol w:w="3908"/>
        <w:gridCol w:w="5662"/>
      </w:tblGrid>
      <w:tr w:rsidTr="00C375DE">
        <w:tblPrEx>
          <w:tblW w:w="9570" w:type="dxa"/>
          <w:tblLayout w:type="fixed"/>
          <w:tblCellMar>
            <w:left w:w="62" w:type="dxa"/>
            <w:right w:w="62" w:type="dxa"/>
          </w:tblCellMar>
          <w:tblLook w:val="0000"/>
        </w:tblPrEx>
        <w:trPr>
          <w:tblHeader/>
        </w:trPr>
        <w:tc>
          <w:tcPr>
            <w:tcW w:w="9570" w:type="dxa"/>
            <w:gridSpan w:val="2"/>
            <w:tcBorders>
              <w:top w:val="nil"/>
              <w:left w:val="nil"/>
              <w:bottom w:val="single" w:sz="6" w:space="0" w:color="auto"/>
              <w:right w:val="nil"/>
            </w:tcBorders>
            <w:tcMar>
              <w:top w:w="0" w:type="dxa"/>
              <w:left w:w="62" w:type="dxa"/>
              <w:bottom w:w="0" w:type="dxa"/>
              <w:right w:w="62" w:type="dxa"/>
            </w:tcMar>
          </w:tcPr>
          <w:p w:rsidR="00000000" w:rsidP="00FD57D0">
            <w:pPr>
              <w:pStyle w:val="BodyText"/>
              <w:rPr>
                <w:lang w:val="en-NZ"/>
              </w:rPr>
            </w:pPr>
            <w:r w:rsidRPr="00FD57D0">
              <w:rPr>
                <w:rStyle w:val="SpecialBold"/>
              </w:rPr>
              <w:t>EVIDENCE GUIDE</w:t>
            </w:r>
          </w:p>
        </w:tc>
      </w:tr>
      <w:tr w:rsidTr="00C375DE">
        <w:tblPrEx>
          <w:tblW w:w="9570" w:type="dxa"/>
          <w:tblLayout w:type="fixed"/>
          <w:tblCellMar>
            <w:left w:w="62" w:type="dxa"/>
            <w:right w:w="62" w:type="dxa"/>
          </w:tblCellMar>
          <w:tblLook w:val="0000"/>
        </w:tblPrEx>
        <w:tc>
          <w:tcPr>
            <w:tcW w:w="9570" w:type="dxa"/>
            <w:gridSpan w:val="2"/>
            <w:tcBorders>
              <w:top w:val="single" w:sz="6" w:space="0" w:color="auto"/>
              <w:left w:val="nil"/>
              <w:bottom w:val="nil"/>
              <w:right w:val="nil"/>
            </w:tcBorders>
            <w:tcMar>
              <w:top w:w="0" w:type="dxa"/>
              <w:left w:w="62" w:type="dxa"/>
              <w:bottom w:w="0" w:type="dxa"/>
              <w:right w:w="62" w:type="dxa"/>
            </w:tcMar>
          </w:tcPr>
          <w:p w:rsidR="00000000" w:rsidP="00FD57D0">
            <w:pPr>
              <w:pStyle w:val="BodyText"/>
              <w:rPr>
                <w:lang w:val="en-NZ"/>
              </w:rPr>
            </w:pPr>
            <w:r w:rsidRPr="00FD57D0">
              <w:t>The evidence guide provides advice on assessment and must be read in conjunction with the performance criteria, required skills and knowledge, range statement and the Assessment Guidelines for the Training Package.</w:t>
            </w:r>
          </w:p>
        </w:tc>
      </w:tr>
      <w:tr w:rsidTr="00C375D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D57D0">
            <w:pPr>
              <w:pStyle w:val="BodyText"/>
              <w:rPr>
                <w:lang w:val="en-NZ"/>
              </w:rPr>
            </w:pPr>
            <w:r w:rsidRPr="00FD57D0">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FD57D0" w:rsidP="00FD57D0">
            <w:pPr>
              <w:pStyle w:val="BodyText"/>
            </w:pPr>
            <w:r w:rsidRPr="00FD57D0">
              <w:t>The evidence required to demonstrate competency in this unit must be relevant to workplace operations and satisfy all of the requirements of the performance criter</w:t>
            </w:r>
            <w:r w:rsidRPr="00FD57D0">
              <w:t>ia, required skills and knowledge and the range statement of this unit and include evidence of the following:</w:t>
            </w:r>
          </w:p>
          <w:p w:rsidR="00000000" w:rsidRPr="00FD57D0" w:rsidP="00FD57D0">
            <w:pPr>
              <w:pStyle w:val="ListBullet"/>
            </w:pPr>
            <w:r w:rsidRPr="00FD57D0">
              <w:t>knowledge of the requirements, procedures and instructions that are to apply when determining nutritional requirements for racing horses</w:t>
            </w:r>
          </w:p>
          <w:p w:rsidR="00000000" w:rsidRPr="00FD57D0" w:rsidP="00FD57D0">
            <w:pPr>
              <w:pStyle w:val="ListBullet"/>
            </w:pPr>
            <w:r w:rsidRPr="00FD57D0">
              <w:t>implemen</w:t>
            </w:r>
            <w:r w:rsidRPr="00FD57D0">
              <w:t>tation of procedures and timely techniques for the safe, effective and efficient determination of nutritional requirements for racing horses</w:t>
            </w:r>
          </w:p>
          <w:p w:rsidR="00000000" w:rsidRPr="00FD57D0" w:rsidP="00FD57D0">
            <w:pPr>
              <w:pStyle w:val="ListBullet"/>
            </w:pPr>
            <w:r w:rsidRPr="00FD57D0">
              <w:t>working with others to undertake and complete tasks related to racing horse nutritional requirements that meet requ</w:t>
            </w:r>
            <w:r w:rsidRPr="00FD57D0">
              <w:t>ired outcomes.</w:t>
            </w:r>
          </w:p>
          <w:p w:rsidR="00000000" w:rsidP="00FD57D0">
            <w:pPr>
              <w:pStyle w:val="BodyText"/>
              <w:rPr>
                <w:lang w:val="en-NZ"/>
              </w:rPr>
            </w:pPr>
            <w:r w:rsidRPr="00FD57D0">
              <w:t xml:space="preserve">Evidence should be collected over a period of time using a range of racehorses of different ages and sexes, and at different stages of preparation in racing stable environments. </w:t>
            </w:r>
          </w:p>
        </w:tc>
      </w:tr>
      <w:tr w:rsidTr="00C375D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D57D0">
            <w:pPr>
              <w:pStyle w:val="BodyText"/>
              <w:rPr>
                <w:lang w:val="en-NZ"/>
              </w:rPr>
            </w:pPr>
            <w:r w:rsidRPr="00FD57D0">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FD57D0" w:rsidP="00FD57D0">
            <w:pPr>
              <w:pStyle w:val="BodyText"/>
            </w:pPr>
            <w:r w:rsidRPr="00FD57D0">
              <w:t>Competency must be assessed in a racing workplace that provides access to the required resources or simulated environment approved by the relevant State Principal Racing Authority. Assessment is to occur under standard and authorised work practices, safety</w:t>
            </w:r>
            <w:r w:rsidRPr="00FD57D0">
              <w:t xml:space="preserve"> requirements and environmental constraints. It is to comply with relevant regulatory requirements or Australian Standards requirements.</w:t>
            </w:r>
          </w:p>
          <w:p w:rsidR="00000000" w:rsidRPr="00FD57D0" w:rsidP="00FD57D0">
            <w:pPr>
              <w:pStyle w:val="BodyText"/>
            </w:pPr>
            <w:r w:rsidRPr="00FD57D0">
              <w:t>Assessment of the practical components of this unit will be by observation of relevant skills.</w:t>
            </w:r>
          </w:p>
          <w:p w:rsidR="00000000" w:rsidRPr="00FD57D0" w:rsidP="00FD57D0">
            <w:pPr>
              <w:pStyle w:val="BodyText"/>
            </w:pPr>
            <w:r w:rsidRPr="00FD57D0">
              <w:t xml:space="preserve">The following resources </w:t>
            </w:r>
            <w:r w:rsidRPr="00FD57D0">
              <w:t>must be available:</w:t>
            </w:r>
          </w:p>
          <w:p w:rsidR="00000000" w:rsidRPr="00FD57D0" w:rsidP="00FD57D0">
            <w:pPr>
              <w:pStyle w:val="ListBullet"/>
            </w:pPr>
            <w:r w:rsidRPr="00FD57D0">
              <w:t>a variety of harness and thoroughbred horses</w:t>
            </w:r>
          </w:p>
          <w:p w:rsidR="00000000" w:rsidRPr="00FD57D0" w:rsidP="00FD57D0">
            <w:pPr>
              <w:pStyle w:val="ListBullet"/>
            </w:pPr>
            <w:r w:rsidRPr="00FD57D0">
              <w:t>materials and equipment relevant to assessing candidate's ability to determine and monitor nutritional requirements of racing horses</w:t>
            </w:r>
          </w:p>
          <w:p w:rsidR="00000000" w:rsidRPr="00FD57D0" w:rsidP="00FD57D0">
            <w:pPr>
              <w:pStyle w:val="ListBullet"/>
            </w:pPr>
            <w:r w:rsidRPr="00FD57D0">
              <w:t>racing stables</w:t>
            </w:r>
          </w:p>
          <w:p w:rsidR="00000000" w:rsidP="00FD57D0">
            <w:pPr>
              <w:pStyle w:val="ListBullet"/>
              <w:rPr>
                <w:lang w:val="en-NZ"/>
              </w:rPr>
            </w:pPr>
            <w:r w:rsidRPr="00FD57D0">
              <w:t>work instructions and related documentation</w:t>
            </w:r>
            <w:r w:rsidRPr="00FD57D0">
              <w:t>.</w:t>
            </w:r>
          </w:p>
        </w:tc>
      </w:tr>
      <w:tr w:rsidTr="00C375D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D57D0">
            <w:pPr>
              <w:pStyle w:val="BodyText"/>
              <w:rPr>
                <w:lang w:val="en-NZ"/>
              </w:rPr>
            </w:pPr>
            <w:r w:rsidRPr="00FD57D0">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FD57D0" w:rsidP="00FD57D0">
            <w:pPr>
              <w:pStyle w:val="BodyText"/>
            </w:pPr>
            <w:r w:rsidRPr="00FD57D0">
              <w:t>Assessment methods must satisfy the endorsed Assessment Guidelines of the Racing Training Package.</w:t>
            </w:r>
          </w:p>
          <w:p w:rsidR="00000000" w:rsidRPr="00FD57D0" w:rsidP="00FD57D0">
            <w:pPr>
              <w:pStyle w:val="BodyText"/>
            </w:pPr>
            <w:r w:rsidRPr="00FD57D0">
              <w:t>The suggested strategies for the assessment of this unit are:</w:t>
            </w:r>
          </w:p>
          <w:p w:rsidR="00000000" w:rsidRPr="00FD57D0" w:rsidP="00FD57D0">
            <w:pPr>
              <w:pStyle w:val="ListBullet"/>
            </w:pPr>
            <w:r w:rsidRPr="00FD57D0">
              <w:t>written and/or oral assessment of candidate's required knowledge</w:t>
            </w:r>
          </w:p>
          <w:p w:rsidR="00000000" w:rsidRPr="00FD57D0" w:rsidP="00FD57D0">
            <w:pPr>
              <w:pStyle w:val="ListBullet"/>
            </w:pPr>
            <w:r w:rsidRPr="00FD57D0">
              <w:t>obser</w:t>
            </w:r>
            <w:r w:rsidRPr="00FD57D0">
              <w:t>ved, documented and firsthand testimonial evidence of candidate's application of practical tasks</w:t>
            </w:r>
          </w:p>
          <w:p w:rsidR="00000000" w:rsidRPr="00FD57D0" w:rsidP="00FD57D0">
            <w:pPr>
              <w:pStyle w:val="ListBullet"/>
            </w:pPr>
            <w:r w:rsidRPr="00FD57D0">
              <w:t>simulation exercises conducted in a State Principal Racing Authority approved simulated environment.</w:t>
            </w:r>
          </w:p>
          <w:p w:rsidR="00000000" w:rsidRPr="00FD57D0" w:rsidP="00FD57D0">
            <w:pPr>
              <w:pStyle w:val="BodyText"/>
            </w:pPr>
            <w:r w:rsidRPr="00FD57D0">
              <w:t>Evidence is required to be demonstrated over a period of t</w:t>
            </w:r>
            <w:r w:rsidRPr="00FD57D0">
              <w:t>ime, therefore where performance is not directly observed any evidence should be authenticated by supervisors or other appropriate persons.</w:t>
            </w:r>
          </w:p>
          <w:p w:rsidR="00000000" w:rsidRPr="00FD57D0" w:rsidP="00FD57D0">
            <w:pPr>
              <w:pStyle w:val="BodyText"/>
            </w:pPr>
            <w:r w:rsidRPr="00FD57D0">
              <w:t xml:space="preserve">Holistic assessment with other units relevant to the industry sector, workplace and job role is recommended, for example: </w:t>
            </w:r>
          </w:p>
          <w:p w:rsidR="00000000" w:rsidRPr="00FD57D0" w:rsidP="00FD57D0">
            <w:pPr>
              <w:pStyle w:val="ListBullet"/>
            </w:pPr>
            <w:r w:rsidRPr="00FD57D0">
              <w:t>RGRPSH401A Relate anatomical and physiological features to the care and treatment of horses</w:t>
            </w:r>
          </w:p>
          <w:p w:rsidR="00000000" w:rsidRPr="00FD57D0" w:rsidP="00FD57D0">
            <w:pPr>
              <w:pStyle w:val="ListBullet"/>
            </w:pPr>
            <w:r w:rsidRPr="00FD57D0">
              <w:t>RGRPSH408A Manage horse health and welfa</w:t>
            </w:r>
            <w:r w:rsidRPr="00FD57D0">
              <w:t>re</w:t>
            </w:r>
          </w:p>
          <w:p w:rsidR="00000000" w:rsidP="00FD57D0">
            <w:pPr>
              <w:pStyle w:val="ListBullet"/>
              <w:rPr>
                <w:lang w:val="en-NZ"/>
              </w:rPr>
            </w:pPr>
            <w:r w:rsidRPr="00FD57D0">
              <w:t>RGRPSH501A Plan and adapt training and conditioning programs for racehorses.</w:t>
            </w:r>
          </w:p>
        </w:tc>
      </w:tr>
      <w:tr w:rsidTr="00C375D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FD57D0">
            <w:pPr>
              <w:pStyle w:val="BodyText"/>
              <w:rPr>
                <w:lang w:val="en-NZ"/>
              </w:rPr>
            </w:pPr>
            <w:r w:rsidRPr="00FD57D0">
              <w:rPr>
                <w:rStyle w:val="SpecialBold"/>
              </w:rPr>
              <w:t>Guidance information for assessment</w:t>
            </w:r>
          </w:p>
        </w:tc>
        <w:tc>
          <w:tcPr>
            <w:tcW w:w="5662" w:type="dxa"/>
            <w:tcBorders>
              <w:top w:val="nil"/>
              <w:left w:val="nil"/>
              <w:bottom w:val="nil"/>
              <w:right w:val="nil"/>
            </w:tcBorders>
            <w:tcMar>
              <w:top w:w="0" w:type="dxa"/>
              <w:left w:w="62" w:type="dxa"/>
              <w:bottom w:w="0" w:type="dxa"/>
              <w:right w:w="62" w:type="dxa"/>
            </w:tcMar>
          </w:tcPr>
          <w:p w:rsidR="00000000" w:rsidRPr="00FD57D0" w:rsidP="00FD57D0">
            <w:pPr>
              <w:pStyle w:val="BodyText"/>
            </w:pPr>
            <w:r w:rsidRPr="00FD57D0">
              <w:t>Assessment methods should reflect workplace demands (e.g. literacy and numeracy demands) and the needs of particular target groups (e.g. pe</w:t>
            </w:r>
            <w:r w:rsidRPr="00FD57D0">
              <w:t xml:space="preserve">ople with disabilities, Aboriginal and Torres Strait Islander people, women, people with a language background other than English, youth and people from low socioeconomic backgrounds). </w:t>
            </w:r>
          </w:p>
        </w:tc>
      </w:tr>
    </w:tbl>
    <w:p w:rsidR="00C375DE" w:rsidP="00FD57D0">
      <w:pPr>
        <w:pStyle w:val="BodyText"/>
      </w:pPr>
    </w:p>
    <w:p w:rsidR="00C375DE" w:rsidP="00FD57D0">
      <w:pPr>
        <w:pStyle w:val="BodyText"/>
      </w:pPr>
    </w:p>
    <w:p w:rsidR="00000000" w:rsidRPr="00FD57D0" w:rsidP="00FD57D0">
      <w:pPr>
        <w:pStyle w:val="Heading1"/>
      </w:pPr>
      <w:bookmarkStart w:id="11" w:name="O_253751"/>
      <w:bookmarkEnd w:id="11"/>
      <w:r w:rsidRPr="00FD57D0">
        <w:t>Range Statement</w:t>
      </w:r>
    </w:p>
    <w:tbl>
      <w:tblPr>
        <w:tblW w:w="0" w:type="auto"/>
        <w:tblLayout w:type="fixed"/>
        <w:tblCellMar>
          <w:left w:w="62" w:type="dxa"/>
          <w:right w:w="62" w:type="dxa"/>
        </w:tblCellMar>
        <w:tblLook w:val="0000"/>
      </w:tblPr>
      <w:tblGrid>
        <w:gridCol w:w="3449"/>
        <w:gridCol w:w="5073"/>
      </w:tblGrid>
      <w:tr w:rsidTr="00C375DE">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FD57D0">
            <w:pPr>
              <w:pStyle w:val="BodyText"/>
              <w:rPr>
                <w:lang w:val="en-NZ"/>
              </w:rPr>
            </w:pPr>
            <w:r w:rsidRPr="00FD57D0">
              <w:rPr>
                <w:rStyle w:val="SpecialBold"/>
              </w:rPr>
              <w:t>RANGE STATEMENT</w:t>
            </w:r>
          </w:p>
        </w:tc>
      </w:tr>
      <w:tr w:rsidTr="00C375DE">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RPr="00FD57D0" w:rsidP="00FD57D0">
            <w:pPr>
              <w:pStyle w:val="BodyText"/>
            </w:pPr>
            <w:r w:rsidRPr="00FD57D0">
              <w:t xml:space="preserve">The range statement relates to the unit of competency as a whole. It allows for different work environments and situations that may affect performance. Bold italicised wording in the performance criteria is detailed below. </w:t>
            </w:r>
          </w:p>
          <w:p w:rsidR="00000000" w:rsidRPr="00FD57D0" w:rsidP="00FD57D0">
            <w:pPr>
              <w:pStyle w:val="BodyText"/>
            </w:pPr>
          </w:p>
          <w:p w:rsidR="00000000" w:rsidP="00FD57D0">
            <w:pPr>
              <w:pStyle w:val="BodyText"/>
              <w:rPr>
                <w:lang w:val="en-NZ"/>
              </w:rPr>
            </w:pPr>
            <w:r w:rsidRPr="00FD57D0">
              <w:t>The range statement provides de</w:t>
            </w:r>
            <w:r w:rsidRPr="00FD57D0">
              <w:t>tails of how this competency can be used in the workplaces of the racing industry to assess determining nutritional requirements for racing horses. Workplaces include harness and thoroughbred stables and racecourses, training tracks and public areas.</w:t>
            </w:r>
          </w:p>
        </w:tc>
      </w:tr>
      <w:tr w:rsidTr="00C375DE">
        <w:tblPrEx>
          <w:tblW w:w="0" w:type="auto"/>
          <w:tblLayout w:type="fixed"/>
          <w:tblCellMar>
            <w:left w:w="62" w:type="dxa"/>
            <w:right w:w="62" w:type="dxa"/>
          </w:tblCellMar>
          <w:tblLook w:val="0000"/>
        </w:tblPrEx>
        <w:tc>
          <w:tcPr>
            <w:tcW w:w="3449" w:type="dxa"/>
            <w:tcBorders>
              <w:top w:val="nil"/>
              <w:left w:val="nil"/>
              <w:bottom w:val="nil"/>
              <w:right w:val="nil"/>
            </w:tcBorders>
            <w:tcMar>
              <w:top w:w="0" w:type="dxa"/>
              <w:left w:w="62" w:type="dxa"/>
              <w:bottom w:w="0" w:type="dxa"/>
              <w:right w:w="62" w:type="dxa"/>
            </w:tcMar>
          </w:tcPr>
          <w:p w:rsidR="00000000" w:rsidP="00FD57D0">
            <w:pPr>
              <w:pStyle w:val="BodyText"/>
              <w:rPr>
                <w:lang w:val="en-NZ"/>
              </w:rPr>
            </w:pPr>
            <w:r w:rsidRPr="00FD57D0">
              <w:rPr>
                <w:rStyle w:val="BoldandItalics"/>
              </w:rPr>
              <w:t>Nut</w:t>
            </w:r>
            <w:r w:rsidRPr="00FD57D0">
              <w:rPr>
                <w:rStyle w:val="BoldandItalics"/>
              </w:rPr>
              <w:t>ritional principles</w:t>
            </w:r>
            <w:r w:rsidRPr="00FD57D0">
              <w:t xml:space="preserve"> will include: </w:t>
            </w:r>
          </w:p>
        </w:tc>
        <w:tc>
          <w:tcPr>
            <w:tcW w:w="5073" w:type="dxa"/>
            <w:tcBorders>
              <w:top w:val="nil"/>
              <w:left w:val="nil"/>
              <w:bottom w:val="nil"/>
              <w:right w:val="nil"/>
            </w:tcBorders>
            <w:tcMar>
              <w:top w:w="0" w:type="dxa"/>
              <w:left w:w="62" w:type="dxa"/>
              <w:bottom w:w="0" w:type="dxa"/>
              <w:right w:w="62" w:type="dxa"/>
            </w:tcMar>
          </w:tcPr>
          <w:p w:rsidR="00000000" w:rsidRPr="00FD57D0" w:rsidP="00FD57D0">
            <w:pPr>
              <w:pStyle w:val="ListBullet"/>
            </w:pPr>
            <w:r w:rsidRPr="00FD57D0">
              <w:t>digestive system:</w:t>
            </w:r>
          </w:p>
          <w:p w:rsidR="00000000" w:rsidRPr="00FD57D0" w:rsidP="00FD57D0">
            <w:pPr>
              <w:pStyle w:val="ListBullet2"/>
            </w:pPr>
            <w:r w:rsidRPr="00FD57D0">
              <w:t>mouth and teeth</w:t>
            </w:r>
          </w:p>
          <w:p w:rsidR="00000000" w:rsidRPr="00FD57D0" w:rsidP="00FD57D0">
            <w:pPr>
              <w:pStyle w:val="ListBullet2"/>
            </w:pPr>
            <w:r w:rsidRPr="00FD57D0">
              <w:t>stomach</w:t>
            </w:r>
          </w:p>
          <w:p w:rsidR="00000000" w:rsidRPr="00FD57D0" w:rsidP="00FD57D0">
            <w:pPr>
              <w:pStyle w:val="ListBullet2"/>
            </w:pPr>
            <w:r w:rsidRPr="00FD57D0">
              <w:t>small intestine</w:t>
            </w:r>
          </w:p>
          <w:p w:rsidR="00000000" w:rsidRPr="00FD57D0" w:rsidP="00FD57D0">
            <w:pPr>
              <w:pStyle w:val="ListBullet2"/>
            </w:pPr>
            <w:r w:rsidRPr="00FD57D0">
              <w:t>large intestine</w:t>
            </w:r>
          </w:p>
          <w:p w:rsidR="00000000" w:rsidRPr="00FD57D0" w:rsidP="00FD57D0">
            <w:pPr>
              <w:pStyle w:val="ListBullet"/>
            </w:pPr>
            <w:r w:rsidRPr="00FD57D0">
              <w:t>digestive problems:</w:t>
            </w:r>
          </w:p>
          <w:p w:rsidR="00000000" w:rsidRPr="00FD57D0" w:rsidP="00FD57D0">
            <w:pPr>
              <w:pStyle w:val="ListBullet2"/>
            </w:pPr>
            <w:r w:rsidRPr="00FD57D0">
              <w:t>colic</w:t>
            </w:r>
          </w:p>
          <w:p w:rsidR="00000000" w:rsidRPr="00FD57D0" w:rsidP="00FD57D0">
            <w:pPr>
              <w:pStyle w:val="ListBullet2"/>
            </w:pPr>
            <w:r w:rsidRPr="00FD57D0">
              <w:t>ulcers</w:t>
            </w:r>
          </w:p>
          <w:p w:rsidR="00000000" w:rsidRPr="00FD57D0" w:rsidP="00FD57D0">
            <w:pPr>
              <w:pStyle w:val="ListBullet"/>
            </w:pPr>
            <w:r w:rsidRPr="00FD57D0">
              <w:t>feeding habits:</w:t>
            </w:r>
          </w:p>
          <w:p w:rsidR="00000000" w:rsidRPr="00FD57D0" w:rsidP="00FD57D0">
            <w:pPr>
              <w:pStyle w:val="ListBullet2"/>
            </w:pPr>
            <w:r w:rsidRPr="00FD57D0">
              <w:t>effects of temperature</w:t>
            </w:r>
          </w:p>
          <w:p w:rsidR="00000000" w:rsidRPr="00FD57D0" w:rsidP="00FD57D0">
            <w:pPr>
              <w:pStyle w:val="ListBullet2"/>
            </w:pPr>
            <w:r w:rsidRPr="00FD57D0">
              <w:t>normal eating patterns</w:t>
            </w:r>
          </w:p>
          <w:p w:rsidR="00000000" w:rsidRPr="00FD57D0" w:rsidP="00FD57D0">
            <w:pPr>
              <w:pStyle w:val="ListBullet2"/>
            </w:pPr>
            <w:r w:rsidRPr="00FD57D0">
              <w:t>stable eating patterns</w:t>
            </w:r>
          </w:p>
          <w:p w:rsidR="00000000" w:rsidRPr="00FD57D0" w:rsidP="00FD57D0">
            <w:pPr>
              <w:pStyle w:val="ListBullet2"/>
            </w:pPr>
            <w:r w:rsidRPr="00FD57D0">
              <w:t>social influences</w:t>
            </w:r>
          </w:p>
          <w:p w:rsidR="00000000" w:rsidRPr="00FD57D0" w:rsidP="00FD57D0">
            <w:pPr>
              <w:pStyle w:val="ListBullet"/>
            </w:pPr>
            <w:r w:rsidRPr="00FD57D0">
              <w:t>nutrients:</w:t>
            </w:r>
          </w:p>
          <w:p w:rsidR="00000000" w:rsidRPr="00FD57D0" w:rsidP="00FD57D0">
            <w:pPr>
              <w:pStyle w:val="ListBullet2"/>
            </w:pPr>
            <w:r w:rsidRPr="00FD57D0">
              <w:t>energy</w:t>
            </w:r>
          </w:p>
          <w:p w:rsidR="00000000" w:rsidRPr="00FD57D0" w:rsidP="00FD57D0">
            <w:pPr>
              <w:pStyle w:val="ListBullet2"/>
            </w:pPr>
            <w:r w:rsidRPr="00FD57D0">
              <w:t>fat</w:t>
            </w:r>
          </w:p>
          <w:p w:rsidR="00000000" w:rsidRPr="00FD57D0" w:rsidP="00FD57D0">
            <w:pPr>
              <w:pStyle w:val="ListBullet2"/>
            </w:pPr>
            <w:r w:rsidRPr="00FD57D0">
              <w:t>minerals</w:t>
            </w:r>
          </w:p>
          <w:p w:rsidR="00000000" w:rsidRPr="00FD57D0" w:rsidP="00FD57D0">
            <w:pPr>
              <w:pStyle w:val="ListBullet2"/>
            </w:pPr>
            <w:r w:rsidRPr="00FD57D0">
              <w:t>protein</w:t>
            </w:r>
          </w:p>
          <w:p w:rsidR="00000000" w:rsidRPr="00FD57D0" w:rsidP="00FD57D0">
            <w:pPr>
              <w:pStyle w:val="ListBullet2"/>
            </w:pPr>
            <w:r w:rsidRPr="00FD57D0">
              <w:t>vitamins</w:t>
            </w:r>
          </w:p>
          <w:p w:rsidR="00000000" w:rsidRPr="00FD57D0" w:rsidP="00FD57D0">
            <w:pPr>
              <w:pStyle w:val="ListBullet2"/>
            </w:pPr>
            <w:r w:rsidRPr="00FD57D0">
              <w:t>water</w:t>
            </w:r>
          </w:p>
          <w:p w:rsidR="00000000" w:rsidP="00FD57D0">
            <w:pPr>
              <w:pStyle w:val="ListBullet"/>
              <w:rPr>
                <w:lang w:val="en-NZ"/>
              </w:rPr>
            </w:pPr>
            <w:r w:rsidRPr="00FD57D0">
              <w:t>weight of feeds.</w:t>
            </w:r>
          </w:p>
        </w:tc>
      </w:tr>
      <w:tr w:rsidTr="00C375DE">
        <w:tblPrEx>
          <w:tblW w:w="0" w:type="auto"/>
          <w:tblLayout w:type="fixed"/>
          <w:tblCellMar>
            <w:left w:w="62" w:type="dxa"/>
            <w:right w:w="62" w:type="dxa"/>
          </w:tblCellMar>
          <w:tblLook w:val="0000"/>
        </w:tblPrEx>
        <w:tc>
          <w:tcPr>
            <w:tcW w:w="3449" w:type="dxa"/>
            <w:tcBorders>
              <w:top w:val="nil"/>
              <w:left w:val="nil"/>
              <w:bottom w:val="nil"/>
              <w:right w:val="nil"/>
            </w:tcBorders>
            <w:tcMar>
              <w:top w:w="0" w:type="dxa"/>
              <w:left w:w="62" w:type="dxa"/>
              <w:bottom w:w="0" w:type="dxa"/>
              <w:right w:w="62" w:type="dxa"/>
            </w:tcMar>
          </w:tcPr>
          <w:p w:rsidR="00000000" w:rsidP="00FD57D0">
            <w:pPr>
              <w:pStyle w:val="BodyText"/>
              <w:rPr>
                <w:lang w:val="en-NZ"/>
              </w:rPr>
            </w:pPr>
            <w:r w:rsidRPr="00FD57D0">
              <w:rPr>
                <w:rStyle w:val="BoldandItalics"/>
              </w:rPr>
              <w:t>Workload and stage of training</w:t>
            </w:r>
            <w:r w:rsidRPr="00FD57D0">
              <w:t xml:space="preserve"> will include: </w:t>
            </w:r>
          </w:p>
        </w:tc>
        <w:tc>
          <w:tcPr>
            <w:tcW w:w="5073" w:type="dxa"/>
            <w:tcBorders>
              <w:top w:val="nil"/>
              <w:left w:val="nil"/>
              <w:bottom w:val="nil"/>
              <w:right w:val="nil"/>
            </w:tcBorders>
            <w:tcMar>
              <w:top w:w="0" w:type="dxa"/>
              <w:left w:w="62" w:type="dxa"/>
              <w:bottom w:w="0" w:type="dxa"/>
              <w:right w:w="62" w:type="dxa"/>
            </w:tcMar>
          </w:tcPr>
          <w:p w:rsidR="00000000" w:rsidRPr="00FD57D0" w:rsidP="00FD57D0">
            <w:pPr>
              <w:pStyle w:val="ListBullet"/>
            </w:pPr>
            <w:r w:rsidRPr="00FD57D0">
              <w:t>age</w:t>
            </w:r>
          </w:p>
          <w:p w:rsidR="00000000" w:rsidRPr="00FD57D0" w:rsidP="00FD57D0">
            <w:pPr>
              <w:pStyle w:val="ListBullet"/>
            </w:pPr>
            <w:r w:rsidRPr="00FD57D0">
              <w:t>grain and roughage balance</w:t>
            </w:r>
          </w:p>
          <w:p w:rsidR="00000000" w:rsidRPr="00FD57D0" w:rsidP="00FD57D0">
            <w:pPr>
              <w:pStyle w:val="ListBullet"/>
            </w:pPr>
            <w:r w:rsidRPr="00FD57D0">
              <w:t>how soon after work or racing to feed</w:t>
            </w:r>
          </w:p>
          <w:p w:rsidR="00000000" w:rsidRPr="00FD57D0" w:rsidP="00FD57D0">
            <w:pPr>
              <w:pStyle w:val="ListBullet"/>
            </w:pPr>
            <w:r w:rsidRPr="00FD57D0">
              <w:t>introducing changes slowly</w:t>
            </w:r>
          </w:p>
          <w:p w:rsidR="00000000" w:rsidRPr="00FD57D0" w:rsidP="00FD57D0">
            <w:pPr>
              <w:pStyle w:val="ListBullet"/>
            </w:pPr>
            <w:r w:rsidRPr="00FD57D0">
              <w:t>letting down or spelling feeds</w:t>
            </w:r>
          </w:p>
          <w:p w:rsidR="00000000" w:rsidRPr="00FD57D0" w:rsidP="00FD57D0">
            <w:pPr>
              <w:pStyle w:val="ListBullet"/>
            </w:pPr>
            <w:r w:rsidRPr="00FD57D0">
              <w:t>monitoring</w:t>
            </w:r>
          </w:p>
          <w:p w:rsidR="00000000" w:rsidRPr="00FD57D0" w:rsidP="00FD57D0">
            <w:pPr>
              <w:pStyle w:val="ListBullet"/>
            </w:pPr>
            <w:r w:rsidRPr="00FD57D0">
              <w:t>pre-training feeds</w:t>
            </w:r>
          </w:p>
          <w:p w:rsidR="00000000" w:rsidP="00FD57D0">
            <w:pPr>
              <w:pStyle w:val="ListBullet"/>
              <w:rPr>
                <w:lang w:val="en-NZ"/>
              </w:rPr>
            </w:pPr>
            <w:r w:rsidRPr="00FD57D0">
              <w:t>racing feeds.</w:t>
            </w:r>
          </w:p>
        </w:tc>
      </w:tr>
      <w:tr w:rsidTr="00C375DE">
        <w:tblPrEx>
          <w:tblW w:w="0" w:type="auto"/>
          <w:tblLayout w:type="fixed"/>
          <w:tblCellMar>
            <w:left w:w="62" w:type="dxa"/>
            <w:right w:w="62" w:type="dxa"/>
          </w:tblCellMar>
          <w:tblLook w:val="0000"/>
        </w:tblPrEx>
        <w:tc>
          <w:tcPr>
            <w:tcW w:w="3449" w:type="dxa"/>
            <w:tcBorders>
              <w:top w:val="nil"/>
              <w:left w:val="nil"/>
              <w:bottom w:val="nil"/>
              <w:right w:val="nil"/>
            </w:tcBorders>
            <w:tcMar>
              <w:top w:w="0" w:type="dxa"/>
              <w:left w:w="62" w:type="dxa"/>
              <w:bottom w:w="0" w:type="dxa"/>
              <w:right w:w="62" w:type="dxa"/>
            </w:tcMar>
          </w:tcPr>
          <w:p w:rsidR="00000000" w:rsidP="00FD57D0">
            <w:pPr>
              <w:pStyle w:val="BodyText"/>
              <w:rPr>
                <w:lang w:val="en-NZ"/>
              </w:rPr>
            </w:pPr>
            <w:r w:rsidRPr="00FD57D0">
              <w:rPr>
                <w:rStyle w:val="BoldandItalics"/>
              </w:rPr>
              <w:t>Quality</w:t>
            </w:r>
            <w:r w:rsidRPr="00FD57D0">
              <w:t xml:space="preserve">, </w:t>
            </w:r>
            <w:r w:rsidRPr="00FD57D0">
              <w:rPr>
                <w:rStyle w:val="BoldandItalics"/>
              </w:rPr>
              <w:t>type</w:t>
            </w:r>
            <w:r w:rsidRPr="00FD57D0">
              <w:t xml:space="preserve">, </w:t>
            </w:r>
            <w:r w:rsidRPr="00FD57D0">
              <w:rPr>
                <w:rStyle w:val="BoldandItalics"/>
              </w:rPr>
              <w:t>and nutritional</w:t>
            </w:r>
            <w:r w:rsidRPr="00FD57D0">
              <w:t xml:space="preserve">, </w:t>
            </w:r>
            <w:r w:rsidRPr="00FD57D0">
              <w:rPr>
                <w:rStyle w:val="BoldandItalics"/>
              </w:rPr>
              <w:t>energy and economic value</w:t>
            </w:r>
            <w:r w:rsidRPr="00FD57D0">
              <w:t xml:space="preserve"> will include: </w:t>
            </w:r>
          </w:p>
        </w:tc>
        <w:tc>
          <w:tcPr>
            <w:tcW w:w="5073" w:type="dxa"/>
            <w:tcBorders>
              <w:top w:val="nil"/>
              <w:left w:val="nil"/>
              <w:bottom w:val="nil"/>
              <w:right w:val="nil"/>
            </w:tcBorders>
            <w:tcMar>
              <w:top w:w="0" w:type="dxa"/>
              <w:left w:w="62" w:type="dxa"/>
              <w:bottom w:w="0" w:type="dxa"/>
              <w:right w:w="62" w:type="dxa"/>
            </w:tcMar>
          </w:tcPr>
          <w:p w:rsidR="00000000" w:rsidRPr="00FD57D0" w:rsidP="00FD57D0">
            <w:pPr>
              <w:pStyle w:val="ListBullet"/>
            </w:pPr>
            <w:r w:rsidRPr="00FD57D0">
              <w:t>alternative feeds, including oils</w:t>
            </w:r>
          </w:p>
          <w:p w:rsidR="00000000" w:rsidRPr="00FD57D0" w:rsidP="00FD57D0">
            <w:pPr>
              <w:pStyle w:val="ListBullet"/>
            </w:pPr>
            <w:r w:rsidRPr="00FD57D0">
              <w:t>contaminants</w:t>
            </w:r>
          </w:p>
          <w:p w:rsidR="00000000" w:rsidRPr="00FD57D0" w:rsidP="00FD57D0">
            <w:pPr>
              <w:pStyle w:val="ListBullet"/>
            </w:pPr>
            <w:r w:rsidRPr="00FD57D0">
              <w:t>drought</w:t>
            </w:r>
          </w:p>
          <w:p w:rsidR="00000000" w:rsidRPr="00FD57D0" w:rsidP="00FD57D0">
            <w:pPr>
              <w:pStyle w:val="ListBullet"/>
            </w:pPr>
            <w:r w:rsidRPr="00FD57D0">
              <w:t>storage</w:t>
            </w:r>
          </w:p>
          <w:p w:rsidR="00000000" w:rsidP="00FD57D0">
            <w:pPr>
              <w:pStyle w:val="ListBullet"/>
              <w:rPr>
                <w:lang w:val="en-NZ"/>
              </w:rPr>
            </w:pPr>
            <w:r w:rsidRPr="00FD57D0">
              <w:t>regional availability.</w:t>
            </w:r>
          </w:p>
        </w:tc>
      </w:tr>
      <w:tr w:rsidTr="00C375DE">
        <w:tblPrEx>
          <w:tblW w:w="0" w:type="auto"/>
          <w:tblLayout w:type="fixed"/>
          <w:tblCellMar>
            <w:left w:w="62" w:type="dxa"/>
            <w:right w:w="62" w:type="dxa"/>
          </w:tblCellMar>
          <w:tblLook w:val="0000"/>
        </w:tblPrEx>
        <w:tc>
          <w:tcPr>
            <w:tcW w:w="3449" w:type="dxa"/>
            <w:tcBorders>
              <w:top w:val="nil"/>
              <w:left w:val="nil"/>
              <w:bottom w:val="nil"/>
              <w:right w:val="nil"/>
            </w:tcBorders>
            <w:tcMar>
              <w:top w:w="0" w:type="dxa"/>
              <w:left w:w="62" w:type="dxa"/>
              <w:bottom w:w="0" w:type="dxa"/>
              <w:right w:w="62" w:type="dxa"/>
            </w:tcMar>
          </w:tcPr>
          <w:p w:rsidR="00000000" w:rsidP="00FD57D0">
            <w:pPr>
              <w:pStyle w:val="BodyText"/>
              <w:rPr>
                <w:lang w:val="en-NZ"/>
              </w:rPr>
            </w:pPr>
            <w:r w:rsidRPr="00FD57D0">
              <w:rPr>
                <w:rStyle w:val="BoldandItalics"/>
              </w:rPr>
              <w:t>Supplements and feed additives</w:t>
            </w:r>
            <w:r w:rsidRPr="00FD57D0">
              <w:t xml:space="preserve"> may include: </w:t>
            </w:r>
          </w:p>
        </w:tc>
        <w:tc>
          <w:tcPr>
            <w:tcW w:w="5073" w:type="dxa"/>
            <w:tcBorders>
              <w:top w:val="nil"/>
              <w:left w:val="nil"/>
              <w:bottom w:val="nil"/>
              <w:right w:val="nil"/>
            </w:tcBorders>
            <w:tcMar>
              <w:top w:w="0" w:type="dxa"/>
              <w:left w:w="62" w:type="dxa"/>
              <w:bottom w:w="0" w:type="dxa"/>
              <w:right w:w="62" w:type="dxa"/>
            </w:tcMar>
          </w:tcPr>
          <w:p w:rsidR="00000000" w:rsidRPr="00FD57D0" w:rsidP="00FD57D0">
            <w:pPr>
              <w:pStyle w:val="ListBullet"/>
            </w:pPr>
            <w:r w:rsidRPr="00FD57D0">
              <w:t>calcium</w:t>
            </w:r>
          </w:p>
          <w:p w:rsidR="00000000" w:rsidRPr="00FD57D0" w:rsidP="00FD57D0">
            <w:pPr>
              <w:pStyle w:val="ListBullet"/>
            </w:pPr>
            <w:r w:rsidRPr="00FD57D0">
              <w:t>electrolytes</w:t>
            </w:r>
          </w:p>
          <w:p w:rsidR="00000000" w:rsidRPr="00FD57D0" w:rsidP="00FD57D0">
            <w:pPr>
              <w:pStyle w:val="ListBullet"/>
            </w:pPr>
            <w:r w:rsidRPr="00FD57D0">
              <w:t>herbal remedies</w:t>
            </w:r>
          </w:p>
          <w:p w:rsidR="00000000" w:rsidRPr="00FD57D0" w:rsidP="00FD57D0">
            <w:pPr>
              <w:pStyle w:val="ListBullet"/>
            </w:pPr>
            <w:r w:rsidRPr="00FD57D0">
              <w:t>iron and minerals</w:t>
            </w:r>
          </w:p>
          <w:p w:rsidR="00000000" w:rsidRPr="00FD57D0" w:rsidP="00FD57D0">
            <w:pPr>
              <w:pStyle w:val="ListBullet"/>
            </w:pPr>
            <w:r w:rsidRPr="00FD57D0">
              <w:t>oils</w:t>
            </w:r>
          </w:p>
          <w:p w:rsidR="00000000" w:rsidP="00FD57D0">
            <w:pPr>
              <w:pStyle w:val="ListBullet"/>
              <w:rPr>
                <w:lang w:val="en-NZ"/>
              </w:rPr>
            </w:pPr>
            <w:r w:rsidRPr="00FD57D0">
              <w:t>vitamins.</w:t>
            </w:r>
          </w:p>
        </w:tc>
      </w:tr>
      <w:tr w:rsidTr="00C375DE">
        <w:tblPrEx>
          <w:tblW w:w="0" w:type="auto"/>
          <w:tblLayout w:type="fixed"/>
          <w:tblCellMar>
            <w:left w:w="62" w:type="dxa"/>
            <w:right w:w="62" w:type="dxa"/>
          </w:tblCellMar>
          <w:tblLook w:val="0000"/>
        </w:tblPrEx>
        <w:tc>
          <w:tcPr>
            <w:tcW w:w="3449" w:type="dxa"/>
            <w:tcBorders>
              <w:top w:val="nil"/>
              <w:left w:val="nil"/>
              <w:bottom w:val="nil"/>
              <w:right w:val="nil"/>
            </w:tcBorders>
            <w:tcMar>
              <w:top w:w="0" w:type="dxa"/>
              <w:left w:w="62" w:type="dxa"/>
              <w:bottom w:w="0" w:type="dxa"/>
              <w:right w:w="62" w:type="dxa"/>
            </w:tcMar>
          </w:tcPr>
          <w:p w:rsidR="00000000" w:rsidP="00FD57D0">
            <w:pPr>
              <w:pStyle w:val="BodyText"/>
              <w:rPr>
                <w:lang w:val="en-NZ"/>
              </w:rPr>
            </w:pPr>
            <w:r w:rsidRPr="00FD57D0">
              <w:rPr>
                <w:rStyle w:val="BoldandItalics"/>
              </w:rPr>
              <w:t>Supplements and feed additives</w:t>
            </w:r>
            <w:r w:rsidRPr="00FD57D0">
              <w:t xml:space="preserve"> are selected and checked to avoid: </w:t>
            </w:r>
          </w:p>
        </w:tc>
        <w:tc>
          <w:tcPr>
            <w:tcW w:w="5073" w:type="dxa"/>
            <w:tcBorders>
              <w:top w:val="nil"/>
              <w:left w:val="nil"/>
              <w:bottom w:val="nil"/>
              <w:right w:val="nil"/>
            </w:tcBorders>
            <w:tcMar>
              <w:top w:w="0" w:type="dxa"/>
              <w:left w:w="62" w:type="dxa"/>
              <w:bottom w:w="0" w:type="dxa"/>
              <w:right w:w="62" w:type="dxa"/>
            </w:tcMar>
          </w:tcPr>
          <w:p w:rsidR="00000000" w:rsidP="00FD57D0">
            <w:pPr>
              <w:pStyle w:val="ListBullet"/>
              <w:rPr>
                <w:lang w:val="en-NZ"/>
              </w:rPr>
            </w:pPr>
            <w:r w:rsidRPr="00FD57D0">
              <w:t>accidental introduction of banned substances that contravene the rules of racing.</w:t>
            </w:r>
          </w:p>
        </w:tc>
      </w:tr>
      <w:tr w:rsidTr="00C375DE">
        <w:tblPrEx>
          <w:tblW w:w="0" w:type="auto"/>
          <w:tblLayout w:type="fixed"/>
          <w:tblCellMar>
            <w:left w:w="62" w:type="dxa"/>
            <w:right w:w="62" w:type="dxa"/>
          </w:tblCellMar>
          <w:tblLook w:val="0000"/>
        </w:tblPrEx>
        <w:tc>
          <w:tcPr>
            <w:tcW w:w="3449" w:type="dxa"/>
            <w:tcBorders>
              <w:top w:val="nil"/>
              <w:left w:val="nil"/>
              <w:bottom w:val="nil"/>
              <w:right w:val="nil"/>
            </w:tcBorders>
            <w:tcMar>
              <w:top w:w="0" w:type="dxa"/>
              <w:left w:w="62" w:type="dxa"/>
              <w:bottom w:w="0" w:type="dxa"/>
              <w:right w:w="62" w:type="dxa"/>
            </w:tcMar>
          </w:tcPr>
          <w:p w:rsidR="00000000" w:rsidP="00FD57D0">
            <w:pPr>
              <w:pStyle w:val="BodyText"/>
              <w:rPr>
                <w:lang w:val="en-NZ"/>
              </w:rPr>
            </w:pPr>
            <w:r w:rsidRPr="00FD57D0">
              <w:rPr>
                <w:rStyle w:val="BoldandItalics"/>
              </w:rPr>
              <w:t>Total carbon dioxide level</w:t>
            </w:r>
            <w:r w:rsidRPr="00FD57D0">
              <w:t xml:space="preserve"> (</w:t>
            </w:r>
            <w:r w:rsidRPr="00FD57D0">
              <w:rPr>
                <w:rStyle w:val="BoldandItalics"/>
              </w:rPr>
              <w:t>TCO2</w:t>
            </w:r>
            <w:r w:rsidRPr="00FD57D0">
              <w:t xml:space="preserve">) </w:t>
            </w:r>
            <w:r w:rsidRPr="00FD57D0">
              <w:t xml:space="preserve">will include: </w:t>
            </w:r>
          </w:p>
        </w:tc>
        <w:tc>
          <w:tcPr>
            <w:tcW w:w="5073" w:type="dxa"/>
            <w:tcBorders>
              <w:top w:val="nil"/>
              <w:left w:val="nil"/>
              <w:bottom w:val="nil"/>
              <w:right w:val="nil"/>
            </w:tcBorders>
            <w:tcMar>
              <w:top w:w="0" w:type="dxa"/>
              <w:left w:w="62" w:type="dxa"/>
              <w:bottom w:w="0" w:type="dxa"/>
              <w:right w:w="62" w:type="dxa"/>
            </w:tcMar>
          </w:tcPr>
          <w:p w:rsidR="00000000" w:rsidRPr="00FD57D0" w:rsidP="00FD57D0">
            <w:pPr>
              <w:pStyle w:val="ListBullet"/>
            </w:pPr>
            <w:r w:rsidRPr="00FD57D0">
              <w:t>alkalising agents:</w:t>
            </w:r>
          </w:p>
          <w:p w:rsidR="00000000" w:rsidRPr="00FD57D0" w:rsidP="00FD57D0">
            <w:pPr>
              <w:pStyle w:val="ListBullet2"/>
            </w:pPr>
            <w:r w:rsidRPr="00FD57D0">
              <w:t>bicarbonates</w:t>
            </w:r>
          </w:p>
          <w:p w:rsidR="00000000" w:rsidRPr="00FD57D0" w:rsidP="00FD57D0">
            <w:pPr>
              <w:pStyle w:val="ListBullet2"/>
            </w:pPr>
            <w:r w:rsidRPr="00FD57D0">
              <w:t>citrates</w:t>
            </w:r>
          </w:p>
          <w:p w:rsidR="00000000" w:rsidRPr="00FD57D0" w:rsidP="00FD57D0">
            <w:pPr>
              <w:pStyle w:val="ListBullet2"/>
            </w:pPr>
            <w:r w:rsidRPr="00FD57D0">
              <w:t>lactates</w:t>
            </w:r>
          </w:p>
          <w:p w:rsidR="00000000" w:rsidRPr="00FD57D0" w:rsidP="00FD57D0">
            <w:pPr>
              <w:pStyle w:val="ListBullet2"/>
            </w:pPr>
            <w:r w:rsidRPr="00FD57D0">
              <w:t>succinates</w:t>
            </w:r>
          </w:p>
          <w:p w:rsidR="00000000" w:rsidRPr="00FD57D0" w:rsidP="00FD57D0">
            <w:pPr>
              <w:pStyle w:val="ListBullet"/>
            </w:pPr>
            <w:r w:rsidRPr="00FD57D0">
              <w:t>blood levels</w:t>
            </w:r>
          </w:p>
          <w:p w:rsidR="00000000" w:rsidRPr="00FD57D0" w:rsidP="00FD57D0">
            <w:pPr>
              <w:pStyle w:val="ListBullet"/>
            </w:pPr>
            <w:r w:rsidRPr="00FD57D0">
              <w:t>rules of racing.</w:t>
            </w:r>
          </w:p>
        </w:tc>
      </w:tr>
    </w:tbl>
    <w:p w:rsidR="00C375DE" w:rsidP="00FD57D0">
      <w:pPr>
        <w:pStyle w:val="BodyText"/>
      </w:pPr>
    </w:p>
    <w:p w:rsidR="00C375DE" w:rsidP="00FD57D0">
      <w:pPr>
        <w:pStyle w:val="BodyText"/>
      </w:pPr>
    </w:p>
    <w:p w:rsidR="00000000" w:rsidRPr="00FD57D0" w:rsidP="00FD57D0">
      <w:pPr>
        <w:pStyle w:val="Heading1"/>
      </w:pPr>
      <w:bookmarkStart w:id="12" w:name="O_216987"/>
      <w:bookmarkEnd w:id="12"/>
      <w:r w:rsidRPr="00FD57D0">
        <w:t>Unit Sector(s)</w:t>
      </w:r>
    </w:p>
    <w:tbl>
      <w:tblPr>
        <w:tblW w:w="0" w:type="auto"/>
        <w:tblLayout w:type="fixed"/>
        <w:tblCellMar>
          <w:left w:w="62" w:type="dxa"/>
          <w:right w:w="62" w:type="dxa"/>
        </w:tblCellMar>
        <w:tblLook w:val="0000"/>
      </w:tblPr>
      <w:tblGrid>
        <w:gridCol w:w="2616"/>
        <w:gridCol w:w="5906"/>
      </w:tblGrid>
      <w:tr w:rsidTr="00C375DE">
        <w:tblPrEx>
          <w:tblW w:w="0" w:type="auto"/>
          <w:tblLayout w:type="fixed"/>
          <w:tblCellMar>
            <w:left w:w="62" w:type="dxa"/>
            <w:right w:w="62" w:type="dxa"/>
          </w:tblCellMar>
          <w:tblLook w:val="0000"/>
        </w:tblPrEx>
        <w:trPr>
          <w:tblHeader/>
        </w:trPr>
        <w:tc>
          <w:tcPr>
            <w:tcW w:w="2616" w:type="dxa"/>
            <w:tcBorders>
              <w:top w:val="nil"/>
              <w:left w:val="nil"/>
              <w:bottom w:val="nil"/>
              <w:right w:val="nil"/>
            </w:tcBorders>
            <w:tcMar>
              <w:top w:w="0" w:type="dxa"/>
              <w:left w:w="62" w:type="dxa"/>
              <w:bottom w:w="0" w:type="dxa"/>
              <w:right w:w="62" w:type="dxa"/>
            </w:tcMar>
          </w:tcPr>
          <w:p w:rsidR="00000000" w:rsidP="00FD57D0">
            <w:pPr>
              <w:pStyle w:val="BodyText"/>
              <w:rPr>
                <w:lang w:val="en-NZ"/>
              </w:rPr>
            </w:pPr>
            <w:r w:rsidRPr="00FD57D0">
              <w:rPr>
                <w:rStyle w:val="SpecialBold"/>
              </w:rPr>
              <w:t>Unit Sector</w:t>
            </w:r>
          </w:p>
        </w:tc>
        <w:tc>
          <w:tcPr>
            <w:tcW w:w="5906" w:type="dxa"/>
            <w:tcBorders>
              <w:top w:val="nil"/>
              <w:left w:val="nil"/>
              <w:bottom w:val="nil"/>
              <w:right w:val="nil"/>
            </w:tcBorders>
            <w:tcMar>
              <w:top w:w="0" w:type="dxa"/>
              <w:left w:w="62" w:type="dxa"/>
              <w:bottom w:w="0" w:type="dxa"/>
              <w:right w:w="62" w:type="dxa"/>
            </w:tcMar>
          </w:tcPr>
          <w:p w:rsidR="00000000" w:rsidRPr="00FD57D0" w:rsidP="00FD57D0">
            <w:pPr>
              <w:pStyle w:val="BodyText"/>
            </w:pPr>
            <w:r w:rsidRPr="00FD57D0">
              <w:t>Harness and thoroughbred racing codes</w:t>
            </w:r>
          </w:p>
        </w:tc>
      </w:tr>
    </w:tbl>
    <w:p w:rsidR="00C375DE" w:rsidP="00FD57D0">
      <w:pPr>
        <w:pStyle w:val="BodyText"/>
      </w:pPr>
    </w:p>
    <w:p w:rsidR="00C375DE" w:rsidP="00FD57D0">
      <w:pPr>
        <w:pStyle w:val="BodyText"/>
      </w:pPr>
    </w:p>
    <w:p w:rsidR="00000000" w:rsidRPr="00FD57D0" w:rsidP="00FD57D0">
      <w:pPr>
        <w:pStyle w:val="Heading1"/>
      </w:pPr>
      <w:bookmarkStart w:id="13" w:name="O_216984"/>
      <w:bookmarkEnd w:id="13"/>
      <w:r w:rsidRPr="00FD57D0">
        <w:t>Co-requisite units</w:t>
      </w:r>
    </w:p>
    <w:tbl>
      <w:tblPr>
        <w:tblW w:w="0" w:type="auto"/>
        <w:tblLayout w:type="fixed"/>
        <w:tblCellMar>
          <w:left w:w="62" w:type="dxa"/>
          <w:right w:w="62" w:type="dxa"/>
        </w:tblCellMar>
        <w:tblLook w:val="0000"/>
      </w:tblPr>
      <w:tblGrid>
        <w:gridCol w:w="2641"/>
        <w:gridCol w:w="1322"/>
        <w:gridCol w:w="4559"/>
      </w:tblGrid>
      <w:tr w:rsidTr="00C375DE">
        <w:tblPrEx>
          <w:tblW w:w="0" w:type="auto"/>
          <w:tblLayout w:type="fixed"/>
          <w:tblCellMar>
            <w:left w:w="62" w:type="dxa"/>
            <w:right w:w="62" w:type="dxa"/>
          </w:tblCellMar>
          <w:tblLook w:val="0000"/>
        </w:tblPrEx>
        <w:trPr>
          <w:tblHeader/>
        </w:trPr>
        <w:tc>
          <w:tcPr>
            <w:tcW w:w="2641" w:type="dxa"/>
            <w:tcBorders>
              <w:top w:val="nil"/>
              <w:left w:val="nil"/>
              <w:bottom w:val="nil"/>
              <w:right w:val="nil"/>
            </w:tcBorders>
            <w:tcMar>
              <w:top w:w="0" w:type="dxa"/>
              <w:left w:w="62" w:type="dxa"/>
              <w:bottom w:w="0" w:type="dxa"/>
              <w:right w:w="62" w:type="dxa"/>
            </w:tcMar>
          </w:tcPr>
          <w:p w:rsidR="00000000" w:rsidP="00FD57D0">
            <w:pPr>
              <w:pStyle w:val="BodyText"/>
              <w:rPr>
                <w:lang w:val="en-NZ"/>
              </w:rPr>
            </w:pPr>
            <w:r w:rsidRPr="00FD57D0">
              <w:rPr>
                <w:rStyle w:val="SpecialBold"/>
              </w:rPr>
              <w:t>Co-requisite units</w:t>
            </w:r>
          </w:p>
        </w:tc>
        <w:tc>
          <w:tcPr>
            <w:tcW w:w="588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C375DE">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P="00FD57D0">
            <w:pPr>
              <w:pStyle w:val="BodyText"/>
              <w:rPr>
                <w:lang w:val="en-NZ"/>
              </w:rPr>
            </w:pPr>
          </w:p>
        </w:tc>
      </w:tr>
      <w:tr w:rsidTr="00C375DE">
        <w:tblPrEx>
          <w:tblW w:w="0" w:type="auto"/>
          <w:tblLayout w:type="fixed"/>
          <w:tblCellMar>
            <w:left w:w="62" w:type="dxa"/>
            <w:right w:w="62" w:type="dxa"/>
          </w:tblCellMar>
          <w:tblLook w:val="0000"/>
        </w:tblPrEx>
        <w:tc>
          <w:tcPr>
            <w:tcW w:w="264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nil"/>
              <w:left w:val="nil"/>
              <w:bottom w:val="nil"/>
              <w:right w:val="nil"/>
            </w:tcBorders>
            <w:tcMar>
              <w:top w:w="0" w:type="dxa"/>
              <w:left w:w="62" w:type="dxa"/>
              <w:bottom w:w="0" w:type="dxa"/>
              <w:right w:w="62" w:type="dxa"/>
            </w:tcMar>
          </w:tcPr>
          <w:p w:rsidR="00000000" w:rsidRPr="00FD57D0" w:rsidP="00FD57D0">
            <w:pPr>
              <w:pStyle w:val="BodyText"/>
            </w:pPr>
          </w:p>
        </w:tc>
      </w:tr>
    </w:tbl>
    <w:p w:rsidR="00C375DE" w:rsidP="00FD57D0">
      <w:pPr>
        <w:pStyle w:val="BodyText"/>
      </w:pPr>
    </w:p>
    <w:p w:rsidR="00C375DE" w:rsidP="00FD57D0">
      <w:pPr>
        <w:pStyle w:val="BodyText"/>
      </w:pPr>
    </w:p>
    <w:p w:rsidR="00000000" w:rsidRPr="00FD57D0" w:rsidP="00FD57D0">
      <w:pPr>
        <w:pStyle w:val="Heading1"/>
      </w:pPr>
      <w:bookmarkStart w:id="14" w:name="O_216986"/>
      <w:bookmarkEnd w:id="14"/>
      <w:r w:rsidRPr="00FD57D0">
        <w:t>Functional Area</w:t>
      </w:r>
    </w:p>
    <w:tbl>
      <w:tblPr>
        <w:tblW w:w="0" w:type="auto"/>
        <w:tblLayout w:type="fixed"/>
        <w:tblCellMar>
          <w:left w:w="62" w:type="dxa"/>
          <w:right w:w="62" w:type="dxa"/>
        </w:tblCellMar>
        <w:tblLook w:val="0000"/>
      </w:tblPr>
      <w:tblGrid>
        <w:gridCol w:w="2736"/>
        <w:gridCol w:w="5786"/>
      </w:tblGrid>
      <w:tr w:rsidTr="00C375DE">
        <w:tblPrEx>
          <w:tblW w:w="0" w:type="auto"/>
          <w:tblLayout w:type="fixed"/>
          <w:tblCellMar>
            <w:left w:w="62" w:type="dxa"/>
            <w:right w:w="62" w:type="dxa"/>
          </w:tblCellMar>
          <w:tblLook w:val="0000"/>
        </w:tblPrEx>
        <w:trPr>
          <w:tblHeader/>
        </w:trPr>
        <w:tc>
          <w:tcPr>
            <w:tcW w:w="2736" w:type="dxa"/>
            <w:tcBorders>
              <w:top w:val="nil"/>
              <w:left w:val="nil"/>
              <w:bottom w:val="nil"/>
              <w:right w:val="nil"/>
            </w:tcBorders>
            <w:tcMar>
              <w:top w:w="0" w:type="dxa"/>
              <w:left w:w="62" w:type="dxa"/>
              <w:bottom w:w="0" w:type="dxa"/>
              <w:right w:w="62" w:type="dxa"/>
            </w:tcMar>
          </w:tcPr>
          <w:p w:rsidR="00000000" w:rsidP="00FD57D0">
            <w:pPr>
              <w:pStyle w:val="BodyText"/>
              <w:rPr>
                <w:lang w:val="en-NZ"/>
              </w:rPr>
            </w:pPr>
            <w:r w:rsidRPr="00FD57D0">
              <w:rPr>
                <w:rStyle w:val="SpecialBold"/>
              </w:rPr>
              <w:t>Functional Area</w:t>
            </w:r>
          </w:p>
        </w:tc>
        <w:tc>
          <w:tcPr>
            <w:tcW w:w="5786" w:type="dxa"/>
            <w:tcBorders>
              <w:top w:val="nil"/>
              <w:left w:val="nil"/>
              <w:bottom w:val="nil"/>
              <w:right w:val="nil"/>
            </w:tcBorders>
            <w:tcMar>
              <w:top w:w="0" w:type="dxa"/>
              <w:left w:w="62" w:type="dxa"/>
              <w:bottom w:w="0" w:type="dxa"/>
              <w:right w:w="62" w:type="dxa"/>
            </w:tcMar>
          </w:tcPr>
          <w:p w:rsidR="00000000" w:rsidRPr="00FD57D0" w:rsidP="00FD57D0">
            <w:pPr>
              <w:pStyle w:val="BodyText"/>
            </w:pPr>
            <w:r w:rsidRPr="00FD57D0">
              <w:t>Racing performance services</w:t>
            </w:r>
          </w:p>
        </w:tc>
      </w:tr>
    </w:tbl>
    <w:p w:rsidR="00C375DE" w:rsidP="00FD57D0">
      <w:pPr>
        <w:pStyle w:val="BodyText"/>
      </w:pPr>
    </w:p>
    <w:p w:rsidR="00C375DE" w:rsidP="00FD57D0">
      <w:pPr>
        <w:pStyle w:val="BodyText"/>
      </w:pPr>
    </w:p>
    <w:p w:rsidR="00000000" w:rsidRPr="00FD57D0" w:rsidP="00FD57D0"/>
    <w:sectPr w:rsidSect="00FD57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75DE" w:rsidP="00C375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5DE" w:rsidP="00FD57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375DE" w:rsidP="00FD57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375DE" w:rsidP="00FD57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75DE" w:rsidP="00C375D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7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5DE" w:rsidP="00FD57D0">
    <w:pPr>
      <w:pStyle w:val="Header"/>
      <w:framePr w:wrap="around"/>
    </w:pPr>
    <w:r>
      <w:fldChar w:fldCharType="begin"/>
    </w:r>
    <w:r>
      <w:instrText xml:space="preserve"> TITLE   \* MERGEFORMAT </w:instrText>
    </w:r>
    <w:r>
      <w:fldChar w:fldCharType="separate"/>
    </w:r>
    <w:r>
      <w:t>RGRPSH409A Determine nutritional requirements for racing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75DE" w:rsidP="00FD57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28C0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0AE3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321F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7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D57D0"/>
    <w:pPr>
      <w:spacing w:before="360" w:after="60"/>
      <w:outlineLvl w:val="0"/>
    </w:pPr>
    <w:rPr>
      <w:sz w:val="32"/>
    </w:rPr>
  </w:style>
  <w:style w:type="paragraph" w:styleId="Heading2">
    <w:name w:val="heading 2"/>
    <w:basedOn w:val="HeadingBase"/>
    <w:next w:val="BodyText"/>
    <w:link w:val="Heading2Char"/>
    <w:qFormat/>
    <w:rsid w:val="00FD57D0"/>
    <w:pPr>
      <w:keepLines/>
      <w:spacing w:before="240" w:after="120"/>
      <w:outlineLvl w:val="1"/>
    </w:pPr>
    <w:rPr>
      <w:sz w:val="28"/>
      <w:szCs w:val="40"/>
    </w:rPr>
  </w:style>
  <w:style w:type="paragraph" w:styleId="Heading3">
    <w:name w:val="heading 3"/>
    <w:basedOn w:val="HeadingBase"/>
    <w:next w:val="BodyText"/>
    <w:link w:val="Heading3Char"/>
    <w:qFormat/>
    <w:rsid w:val="00FD57D0"/>
    <w:pPr>
      <w:spacing w:before="180" w:after="120"/>
      <w:outlineLvl w:val="2"/>
    </w:pPr>
    <w:rPr>
      <w:spacing w:val="-10"/>
      <w:kern w:val="32"/>
    </w:rPr>
  </w:style>
  <w:style w:type="paragraph" w:styleId="Heading4">
    <w:name w:val="heading 4"/>
    <w:basedOn w:val="HeadingBase"/>
    <w:next w:val="BodyText"/>
    <w:link w:val="Heading4Char"/>
    <w:qFormat/>
    <w:rsid w:val="00FD57D0"/>
    <w:pPr>
      <w:spacing w:before="160" w:after="120"/>
      <w:outlineLvl w:val="3"/>
    </w:pPr>
    <w:rPr>
      <w:sz w:val="22"/>
    </w:rPr>
  </w:style>
  <w:style w:type="paragraph" w:styleId="Heading5">
    <w:name w:val="heading 5"/>
    <w:basedOn w:val="HeadingBase"/>
    <w:next w:val="Normal"/>
    <w:link w:val="Heading5Char"/>
    <w:qFormat/>
    <w:rsid w:val="00FD57D0"/>
    <w:pPr>
      <w:spacing w:before="80"/>
      <w:outlineLvl w:val="4"/>
    </w:pPr>
    <w:rPr>
      <w:color w:val="918585"/>
      <w:sz w:val="20"/>
    </w:rPr>
  </w:style>
  <w:style w:type="paragraph" w:styleId="Heading6">
    <w:name w:val="heading 6"/>
    <w:basedOn w:val="HeadingBase"/>
    <w:next w:val="Normal"/>
    <w:link w:val="Heading6Char"/>
    <w:qFormat/>
    <w:rsid w:val="00FD57D0"/>
    <w:pPr>
      <w:spacing w:before="60"/>
      <w:outlineLvl w:val="5"/>
    </w:pPr>
    <w:rPr>
      <w:color w:val="918585"/>
      <w:sz w:val="20"/>
    </w:rPr>
  </w:style>
  <w:style w:type="paragraph" w:styleId="Heading7">
    <w:name w:val="heading 7"/>
    <w:basedOn w:val="Normal"/>
    <w:next w:val="Normal"/>
    <w:link w:val="Heading7Char"/>
    <w:qFormat/>
    <w:rsid w:val="00FD57D0"/>
    <w:pPr>
      <w:ind w:left="720"/>
      <w:outlineLvl w:val="6"/>
    </w:pPr>
    <w:rPr>
      <w:i/>
    </w:rPr>
  </w:style>
  <w:style w:type="paragraph" w:styleId="Heading8">
    <w:name w:val="heading 8"/>
    <w:basedOn w:val="Normal"/>
    <w:next w:val="Normal"/>
    <w:link w:val="Heading8Char"/>
    <w:qFormat/>
    <w:rsid w:val="00FD57D0"/>
    <w:pPr>
      <w:ind w:left="720"/>
      <w:outlineLvl w:val="7"/>
    </w:pPr>
    <w:rPr>
      <w:i/>
    </w:rPr>
  </w:style>
  <w:style w:type="paragraph" w:styleId="Heading9">
    <w:name w:val="heading 9"/>
    <w:basedOn w:val="Normal"/>
    <w:next w:val="Normal"/>
    <w:link w:val="Heading9Char"/>
    <w:qFormat/>
    <w:rsid w:val="00FD57D0"/>
    <w:pPr>
      <w:ind w:left="720"/>
      <w:outlineLvl w:val="8"/>
    </w:pPr>
    <w:rPr>
      <w:i/>
    </w:rPr>
  </w:style>
  <w:style w:type="character" w:default="1" w:styleId="DefaultParagraphFont">
    <w:name w:val="Default Paragraph Font"/>
    <w:uiPriority w:val="1"/>
    <w:unhideWhenUsed/>
    <w:rsid w:val="00FD57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57D0"/>
  </w:style>
  <w:style w:type="character" w:customStyle="1" w:styleId="Heading1Char">
    <w:name w:val="Heading 1 Char"/>
    <w:basedOn w:val="DefaultParagraphFont"/>
    <w:link w:val="Heading1"/>
    <w:rsid w:val="00FD57D0"/>
    <w:rPr>
      <w:rFonts w:ascii="Times New Roman" w:eastAsia="Times New Roman" w:hAnsi="Times New Roman" w:cs="Times New Roman"/>
      <w:b/>
      <w:sz w:val="32"/>
      <w:szCs w:val="20"/>
      <w:lang w:eastAsia="en-US"/>
    </w:rPr>
  </w:style>
  <w:style w:type="paragraph" w:styleId="BodyText">
    <w:name w:val="Body Text"/>
    <w:basedOn w:val="Normal"/>
    <w:link w:val="BodyTextChar"/>
    <w:rsid w:val="00FD57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D57D0"/>
    <w:rPr>
      <w:rFonts w:ascii="Times New Roman" w:eastAsia="Times New Roman" w:hAnsi="Times New Roman" w:cs="Times New Roman"/>
      <w:sz w:val="24"/>
      <w:lang w:val="en-US" w:eastAsia="en-US"/>
    </w:rPr>
  </w:style>
  <w:style w:type="paragraph" w:styleId="Footer">
    <w:name w:val="footer"/>
    <w:basedOn w:val="Normal"/>
    <w:link w:val="FooterChar"/>
    <w:rsid w:val="00FD57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57D0"/>
    <w:rPr>
      <w:rFonts w:ascii="Times New Roman" w:eastAsia="Times New Roman" w:hAnsi="Times New Roman" w:cs="Times New Roman"/>
      <w:sz w:val="16"/>
      <w:lang w:val="en-US" w:eastAsia="en-US"/>
    </w:rPr>
  </w:style>
  <w:style w:type="paragraph" w:styleId="List">
    <w:name w:val="List"/>
    <w:basedOn w:val="BodyText"/>
    <w:next w:val="BodyText"/>
    <w:rsid w:val="00FD57D0"/>
    <w:pPr>
      <w:tabs>
        <w:tab w:val="left" w:pos="340"/>
      </w:tabs>
      <w:spacing w:before="60" w:after="60"/>
      <w:ind w:left="340" w:hanging="340"/>
    </w:pPr>
  </w:style>
  <w:style w:type="paragraph" w:styleId="ListBullet">
    <w:name w:val="List Bullet"/>
    <w:basedOn w:val="List"/>
    <w:rsid w:val="00FD57D0"/>
    <w:pPr>
      <w:numPr>
        <w:numId w:val="13"/>
      </w:numPr>
      <w:tabs>
        <w:tab w:val="clear" w:pos="340"/>
      </w:tabs>
      <w:spacing w:before="40" w:after="40"/>
    </w:pPr>
  </w:style>
  <w:style w:type="character" w:customStyle="1" w:styleId="SpecialBold">
    <w:name w:val="Special Bold"/>
    <w:basedOn w:val="DefaultParagraphFont"/>
    <w:rsid w:val="00FD57D0"/>
    <w:rPr>
      <w:b/>
      <w:spacing w:val="0"/>
    </w:rPr>
  </w:style>
  <w:style w:type="paragraph" w:styleId="ListBullet2">
    <w:name w:val="List Bullet 2"/>
    <w:basedOn w:val="List2"/>
    <w:rsid w:val="00FD57D0"/>
    <w:pPr>
      <w:numPr>
        <w:numId w:val="14"/>
      </w:numPr>
      <w:tabs>
        <w:tab w:val="clear" w:pos="680"/>
      </w:tabs>
    </w:pPr>
  </w:style>
  <w:style w:type="paragraph" w:styleId="Header">
    <w:name w:val="header"/>
    <w:basedOn w:val="Normal"/>
    <w:link w:val="HeaderChar"/>
    <w:rsid w:val="00FD57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57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D57D0"/>
    <w:pPr>
      <w:spacing w:before="240" w:after="120"/>
      <w:outlineLvl w:val="0"/>
    </w:pPr>
    <w:rPr>
      <w:rFonts w:ascii="Times New Roman" w:hAnsi="Times New Roman"/>
      <w:b/>
      <w:sz w:val="28"/>
    </w:rPr>
  </w:style>
  <w:style w:type="paragraph" w:customStyle="1" w:styleId="AllowPageBreak">
    <w:name w:val="AllowPageBreak"/>
    <w:rsid w:val="00FD57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D57D0"/>
    <w:rPr>
      <w:b/>
      <w:i/>
      <w:u w:val="none"/>
    </w:rPr>
  </w:style>
  <w:style w:type="character" w:customStyle="1" w:styleId="Heading2Char">
    <w:name w:val="Heading 2 Char"/>
    <w:basedOn w:val="DefaultParagraphFont"/>
    <w:link w:val="Heading2"/>
    <w:rsid w:val="00FD57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57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57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57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57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57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D57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D57D0"/>
    <w:rPr>
      <w:rFonts w:ascii="Courier New" w:eastAsia="Times New Roman" w:hAnsi="Courier New" w:cs="Times New Roman"/>
      <w:i/>
      <w:szCs w:val="20"/>
      <w:lang w:val="en-US" w:eastAsia="en-US"/>
    </w:rPr>
  </w:style>
  <w:style w:type="paragraph" w:customStyle="1" w:styleId="HeadingBase">
    <w:name w:val="Heading Base"/>
    <w:rsid w:val="00FD57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57D0"/>
    <w:pPr>
      <w:tabs>
        <w:tab w:val="right" w:leader="dot" w:pos="9072"/>
      </w:tabs>
      <w:ind w:left="567"/>
    </w:pPr>
    <w:rPr>
      <w:szCs w:val="22"/>
    </w:rPr>
  </w:style>
  <w:style w:type="paragraph" w:customStyle="1" w:styleId="TOCBase">
    <w:name w:val="TOC Base"/>
    <w:rsid w:val="00FD57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57D0"/>
    <w:pPr>
      <w:tabs>
        <w:tab w:val="right" w:leader="dot" w:pos="9072"/>
      </w:tabs>
      <w:spacing w:before="40" w:after="40"/>
      <w:ind w:left="284"/>
    </w:pPr>
    <w:rPr>
      <w:rFonts w:ascii="Times New Roman" w:hAnsi="Times New Roman"/>
    </w:rPr>
  </w:style>
  <w:style w:type="paragraph" w:styleId="TOC1">
    <w:name w:val="toc 1"/>
    <w:basedOn w:val="TOCBase"/>
    <w:next w:val="Normal"/>
    <w:rsid w:val="00FD57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D57D0"/>
    <w:pPr>
      <w:spacing w:before="5040"/>
      <w:jc w:val="center"/>
    </w:pPr>
    <w:rPr>
      <w:sz w:val="48"/>
      <w:szCs w:val="72"/>
      <w:lang w:val="en-US"/>
    </w:rPr>
  </w:style>
  <w:style w:type="character" w:customStyle="1" w:styleId="TitleChar">
    <w:name w:val="Title Char"/>
    <w:basedOn w:val="DefaultParagraphFont"/>
    <w:link w:val="Title"/>
    <w:rsid w:val="00FD57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57D0"/>
    <w:pPr>
      <w:tabs>
        <w:tab w:val="left" w:pos="3600"/>
        <w:tab w:val="left" w:pos="3958"/>
      </w:tabs>
    </w:pPr>
  </w:style>
  <w:style w:type="paragraph" w:customStyle="1" w:styleId="Note">
    <w:name w:val="Note"/>
    <w:basedOn w:val="BodyText"/>
    <w:rsid w:val="00FD57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D57D0"/>
    <w:pPr>
      <w:framePr w:wrap="auto" w:hAnchor="text" w:y="6049"/>
    </w:pPr>
    <w:rPr>
      <w:color w:val="000000"/>
      <w:sz w:val="40"/>
    </w:rPr>
  </w:style>
  <w:style w:type="paragraph" w:customStyle="1" w:styleId="TOCTitle">
    <w:name w:val="TOCTitle"/>
    <w:basedOn w:val="Heading1"/>
    <w:rsid w:val="00FD57D0"/>
    <w:pPr>
      <w:spacing w:after="240"/>
      <w:jc w:val="center"/>
      <w:outlineLvl w:val="9"/>
    </w:pPr>
    <w:rPr>
      <w:caps/>
    </w:rPr>
  </w:style>
  <w:style w:type="paragraph" w:customStyle="1" w:styleId="Version">
    <w:name w:val="Version"/>
    <w:rsid w:val="00FD57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57D0"/>
    <w:pPr>
      <w:keepNext w:val="0"/>
      <w:tabs>
        <w:tab w:val="right" w:pos="4176"/>
      </w:tabs>
      <w:ind w:left="198" w:hanging="198"/>
    </w:pPr>
    <w:rPr>
      <w:rFonts w:ascii="Garamond" w:hAnsi="Garamond"/>
    </w:rPr>
  </w:style>
  <w:style w:type="paragraph" w:styleId="IndexHeading">
    <w:name w:val="index heading"/>
    <w:basedOn w:val="Normal"/>
    <w:next w:val="Index1"/>
    <w:semiHidden/>
    <w:rsid w:val="00FD57D0"/>
    <w:pPr>
      <w:spacing w:before="120" w:after="120"/>
    </w:pPr>
    <w:rPr>
      <w:rFonts w:ascii="Arial" w:hAnsi="Arial"/>
      <w:b/>
      <w:color w:val="918585"/>
      <w:sz w:val="24"/>
    </w:rPr>
  </w:style>
  <w:style w:type="paragraph" w:customStyle="1" w:styleId="Chapter">
    <w:name w:val="Chapter"/>
    <w:basedOn w:val="Normal"/>
    <w:rsid w:val="00FD57D0"/>
    <w:pPr>
      <w:spacing w:before="240"/>
    </w:pPr>
    <w:rPr>
      <w:rFonts w:ascii="Times New Roman" w:hAnsi="Times New Roman"/>
      <w:smallCaps/>
      <w:spacing w:val="80"/>
      <w:sz w:val="28"/>
    </w:rPr>
  </w:style>
  <w:style w:type="paragraph" w:customStyle="1" w:styleId="InChapter">
    <w:name w:val="InChapter"/>
    <w:basedOn w:val="Heading3"/>
    <w:rsid w:val="00FD57D0"/>
    <w:pPr>
      <w:spacing w:after="240"/>
      <w:outlineLvl w:val="9"/>
    </w:pPr>
    <w:rPr>
      <w:noProof/>
    </w:rPr>
  </w:style>
  <w:style w:type="paragraph" w:styleId="Index2">
    <w:name w:val="index 2"/>
    <w:basedOn w:val="Normal"/>
    <w:next w:val="Normal"/>
    <w:semiHidden/>
    <w:rsid w:val="00FD57D0"/>
    <w:pPr>
      <w:tabs>
        <w:tab w:val="right" w:pos="4176"/>
      </w:tabs>
      <w:ind w:left="568" w:hanging="284"/>
    </w:pPr>
    <w:rPr>
      <w:rFonts w:ascii="Garamond" w:hAnsi="Garamond"/>
    </w:rPr>
  </w:style>
  <w:style w:type="paragraph" w:customStyle="1" w:styleId="Byline">
    <w:name w:val="Byline"/>
    <w:rsid w:val="00FD57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57D0"/>
    <w:pPr>
      <w:tabs>
        <w:tab w:val="clear" w:pos="3600"/>
        <w:tab w:val="clear" w:pos="3958"/>
      </w:tabs>
      <w:jc w:val="right"/>
    </w:pPr>
  </w:style>
  <w:style w:type="character" w:styleId="Emphasis">
    <w:name w:val="Emphasis"/>
    <w:basedOn w:val="DefaultParagraphFont"/>
    <w:qFormat/>
    <w:rsid w:val="00FD57D0"/>
    <w:rPr>
      <w:i/>
    </w:rPr>
  </w:style>
  <w:style w:type="paragraph" w:styleId="Caption">
    <w:name w:val="caption"/>
    <w:basedOn w:val="BodyText"/>
    <w:next w:val="Normal"/>
    <w:qFormat/>
    <w:rsid w:val="00FD57D0"/>
    <w:pPr>
      <w:framePr w:w="2268" w:hSpace="181" w:vSpace="181" w:wrap="around" w:vAnchor="text" w:hAnchor="page" w:x="1135" w:y="285" w:anchorLock="1"/>
    </w:pPr>
    <w:rPr>
      <w:i/>
    </w:rPr>
  </w:style>
  <w:style w:type="paragraph" w:customStyle="1" w:styleId="MiniTOCTitle">
    <w:name w:val="MiniTOCTitle"/>
    <w:basedOn w:val="Heading4"/>
    <w:rsid w:val="00FD57D0"/>
    <w:pPr>
      <w:spacing w:before="240"/>
      <w:outlineLvl w:val="9"/>
    </w:pPr>
    <w:rPr>
      <w:noProof/>
      <w:sz w:val="24"/>
    </w:rPr>
  </w:style>
  <w:style w:type="paragraph" w:customStyle="1" w:styleId="MiniTOCItem">
    <w:name w:val="MiniTOCItem"/>
    <w:basedOn w:val="ListBullet"/>
    <w:rsid w:val="00FD57D0"/>
    <w:pPr>
      <w:numPr>
        <w:numId w:val="0"/>
      </w:numPr>
      <w:tabs>
        <w:tab w:val="right" w:leader="dot" w:pos="6521"/>
      </w:tabs>
      <w:spacing w:before="0" w:after="0"/>
    </w:pPr>
  </w:style>
  <w:style w:type="paragraph" w:customStyle="1" w:styleId="TOFTitle">
    <w:name w:val="TOFTitle"/>
    <w:basedOn w:val="TOCTitle"/>
    <w:rsid w:val="00FD57D0"/>
  </w:style>
  <w:style w:type="paragraph" w:styleId="TableofFigures">
    <w:name w:val="table of figures"/>
    <w:basedOn w:val="Normal"/>
    <w:next w:val="Normal"/>
    <w:semiHidden/>
    <w:rsid w:val="00FD57D0"/>
    <w:pPr>
      <w:tabs>
        <w:tab w:val="right" w:leader="dot" w:pos="9072"/>
      </w:tabs>
      <w:ind w:left="970" w:hanging="403"/>
    </w:pPr>
    <w:rPr>
      <w:rFonts w:ascii="Times New Roman" w:hAnsi="Times New Roman"/>
      <w:b/>
    </w:rPr>
  </w:style>
  <w:style w:type="paragraph" w:styleId="ListNumber">
    <w:name w:val="List Number"/>
    <w:basedOn w:val="List"/>
    <w:rsid w:val="00FD57D0"/>
    <w:pPr>
      <w:numPr>
        <w:numId w:val="11"/>
      </w:numPr>
    </w:pPr>
  </w:style>
  <w:style w:type="character" w:customStyle="1" w:styleId="WingdingSymbols">
    <w:name w:val="Wingding Symbols"/>
    <w:rsid w:val="00FD57D0"/>
    <w:rPr>
      <w:rFonts w:ascii="Wingdings" w:hAnsi="Wingdings"/>
    </w:rPr>
  </w:style>
  <w:style w:type="paragraph" w:customStyle="1" w:styleId="TableHeading">
    <w:name w:val="Table Heading"/>
    <w:basedOn w:val="HeadingBase"/>
    <w:rsid w:val="00FD57D0"/>
    <w:pPr>
      <w:keepLines/>
      <w:pBdr>
        <w:bottom w:val="single" w:sz="6" w:space="1" w:color="918585"/>
      </w:pBdr>
      <w:spacing w:before="240"/>
    </w:pPr>
  </w:style>
  <w:style w:type="character" w:customStyle="1" w:styleId="HotSpot">
    <w:name w:val="HotSpot"/>
    <w:rsid w:val="00FD57D0"/>
    <w:rPr>
      <w:color w:val="0033CC"/>
      <w:u w:val="none"/>
    </w:rPr>
  </w:style>
  <w:style w:type="paragraph" w:customStyle="1" w:styleId="BodyTextRight">
    <w:name w:val="Body Text Right"/>
    <w:basedOn w:val="BodyText"/>
    <w:rsid w:val="00FD57D0"/>
    <w:pPr>
      <w:spacing w:before="0" w:after="0"/>
      <w:jc w:val="right"/>
    </w:pPr>
  </w:style>
  <w:style w:type="paragraph" w:styleId="Index3">
    <w:name w:val="index 3"/>
    <w:basedOn w:val="ListNumber2"/>
    <w:next w:val="Normal"/>
    <w:semiHidden/>
    <w:rsid w:val="00FD57D0"/>
    <w:pPr>
      <w:numPr>
        <w:numId w:val="0"/>
      </w:numPr>
      <w:tabs>
        <w:tab w:val="right" w:leader="dot" w:pos="4176"/>
      </w:tabs>
    </w:pPr>
  </w:style>
  <w:style w:type="paragraph" w:styleId="ListNumber2">
    <w:name w:val="List Number 2"/>
    <w:basedOn w:val="List2"/>
    <w:rsid w:val="00FD57D0"/>
    <w:pPr>
      <w:numPr>
        <w:numId w:val="10"/>
      </w:numPr>
      <w:tabs>
        <w:tab w:val="clear" w:pos="1060"/>
      </w:tabs>
    </w:pPr>
  </w:style>
  <w:style w:type="paragraph" w:customStyle="1" w:styleId="MarginNote">
    <w:name w:val="Margin Note"/>
    <w:basedOn w:val="BodyText"/>
    <w:rsid w:val="00FD57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57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57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D57D0"/>
    <w:rPr>
      <w:sz w:val="32"/>
    </w:rPr>
  </w:style>
  <w:style w:type="paragraph" w:customStyle="1" w:styleId="HeadingProcedure">
    <w:name w:val="Heading Procedure"/>
    <w:basedOn w:val="HeadingBase"/>
    <w:next w:val="Normal"/>
    <w:rsid w:val="00FD57D0"/>
    <w:pPr>
      <w:tabs>
        <w:tab w:val="left" w:pos="0"/>
      </w:tabs>
      <w:spacing w:before="120" w:after="60"/>
    </w:pPr>
    <w:rPr>
      <w:i/>
      <w:color w:val="918585"/>
      <w:sz w:val="22"/>
    </w:rPr>
  </w:style>
  <w:style w:type="paragraph" w:customStyle="1" w:styleId="TableBodyText">
    <w:name w:val="Table Body Text"/>
    <w:basedOn w:val="BodyText"/>
    <w:rsid w:val="00FD57D0"/>
    <w:pPr>
      <w:spacing w:before="60" w:after="60"/>
    </w:pPr>
  </w:style>
  <w:style w:type="paragraph" w:styleId="ListContinue">
    <w:name w:val="List Continue"/>
    <w:basedOn w:val="List"/>
    <w:rsid w:val="00FD57D0"/>
    <w:pPr>
      <w:ind w:firstLine="0"/>
    </w:pPr>
  </w:style>
  <w:style w:type="paragraph" w:customStyle="1" w:styleId="ListNote">
    <w:name w:val="List Note"/>
    <w:basedOn w:val="List"/>
    <w:rsid w:val="00FD57D0"/>
    <w:pPr>
      <w:pBdr>
        <w:top w:val="single" w:sz="6" w:space="2" w:color="918585"/>
        <w:bottom w:val="single" w:sz="6" w:space="2" w:color="918585"/>
      </w:pBdr>
      <w:tabs>
        <w:tab w:val="left" w:pos="1021"/>
      </w:tabs>
      <w:ind w:firstLine="0"/>
    </w:pPr>
  </w:style>
  <w:style w:type="paragraph" w:customStyle="1" w:styleId="Warning">
    <w:name w:val="Warning"/>
    <w:basedOn w:val="BodyText"/>
    <w:rsid w:val="00FD57D0"/>
    <w:pPr>
      <w:shd w:val="clear" w:color="auto" w:fill="D9D9D9"/>
      <w:tabs>
        <w:tab w:val="left" w:pos="992"/>
      </w:tabs>
      <w:ind w:left="119" w:right="119"/>
    </w:pPr>
    <w:rPr>
      <w:sz w:val="20"/>
    </w:rPr>
  </w:style>
  <w:style w:type="paragraph" w:customStyle="1" w:styleId="MarginIcons">
    <w:name w:val="Margin Icons"/>
    <w:basedOn w:val="BodyText"/>
    <w:rsid w:val="00FD57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57D0"/>
    <w:rPr>
      <w:rFonts w:ascii="Courier New" w:hAnsi="Courier New"/>
    </w:rPr>
  </w:style>
  <w:style w:type="paragraph" w:customStyle="1" w:styleId="NoteBullet">
    <w:name w:val="Note Bullet"/>
    <w:basedOn w:val="Note"/>
    <w:rsid w:val="00FD57D0"/>
    <w:pPr>
      <w:tabs>
        <w:tab w:val="clear" w:pos="680"/>
      </w:tabs>
      <w:spacing w:before="60" w:after="60"/>
    </w:pPr>
  </w:style>
  <w:style w:type="paragraph" w:customStyle="1" w:styleId="SubHeading2">
    <w:name w:val="SubHeading2"/>
    <w:basedOn w:val="HeadingBase"/>
    <w:rsid w:val="00FD57D0"/>
    <w:pPr>
      <w:spacing w:before="240" w:after="60"/>
    </w:pPr>
    <w:rPr>
      <w:sz w:val="20"/>
    </w:rPr>
  </w:style>
  <w:style w:type="paragraph" w:customStyle="1" w:styleId="SubHeading1">
    <w:name w:val="SubHeading1"/>
    <w:basedOn w:val="HeadingBase"/>
    <w:rsid w:val="00FD57D0"/>
    <w:pPr>
      <w:spacing w:before="240" w:after="60"/>
    </w:pPr>
    <w:rPr>
      <w:color w:val="918585"/>
      <w:sz w:val="22"/>
    </w:rPr>
  </w:style>
  <w:style w:type="paragraph" w:customStyle="1" w:styleId="SideHeading">
    <w:name w:val="Side Heading"/>
    <w:basedOn w:val="HeadingBase"/>
    <w:rsid w:val="00FD57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57D0"/>
    <w:pPr>
      <w:numPr>
        <w:numId w:val="12"/>
      </w:numPr>
    </w:pPr>
  </w:style>
  <w:style w:type="paragraph" w:styleId="PlainText">
    <w:name w:val="Plain Text"/>
    <w:basedOn w:val="Normal"/>
    <w:link w:val="PlainTextChar"/>
    <w:rsid w:val="00FD57D0"/>
    <w:rPr>
      <w:sz w:val="20"/>
    </w:rPr>
  </w:style>
  <w:style w:type="character" w:customStyle="1" w:styleId="PlainTextChar">
    <w:name w:val="Plain Text Char"/>
    <w:basedOn w:val="DefaultParagraphFont"/>
    <w:link w:val="PlainText"/>
    <w:rsid w:val="00FD57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D57D0"/>
    <w:rPr>
      <w:b/>
      <w:smallCaps/>
    </w:rPr>
  </w:style>
  <w:style w:type="paragraph" w:customStyle="1" w:styleId="TableListNumber">
    <w:name w:val="Table List Number"/>
    <w:basedOn w:val="ListNumber"/>
    <w:rsid w:val="00FD57D0"/>
    <w:pPr>
      <w:numPr>
        <w:numId w:val="0"/>
      </w:numPr>
    </w:pPr>
  </w:style>
  <w:style w:type="paragraph" w:styleId="TOC4">
    <w:name w:val="toc 4"/>
    <w:basedOn w:val="TOCBase"/>
    <w:next w:val="Normal"/>
    <w:semiHidden/>
    <w:rsid w:val="00FD57D0"/>
    <w:pPr>
      <w:tabs>
        <w:tab w:val="right" w:leader="dot" w:pos="9071"/>
      </w:tabs>
      <w:ind w:left="1701"/>
    </w:pPr>
  </w:style>
  <w:style w:type="paragraph" w:customStyle="1" w:styleId="ListAlpha">
    <w:name w:val="List Alpha"/>
    <w:basedOn w:val="List"/>
    <w:rsid w:val="00FD57D0"/>
    <w:pPr>
      <w:numPr>
        <w:numId w:val="9"/>
      </w:numPr>
    </w:pPr>
  </w:style>
  <w:style w:type="paragraph" w:customStyle="1" w:styleId="ListAlpha2">
    <w:name w:val="List Alpha 2"/>
    <w:basedOn w:val="List2"/>
    <w:rsid w:val="00FD57D0"/>
    <w:pPr>
      <w:numPr>
        <w:numId w:val="8"/>
      </w:numPr>
    </w:pPr>
  </w:style>
  <w:style w:type="paragraph" w:styleId="List2">
    <w:name w:val="List 2"/>
    <w:basedOn w:val="BodyText"/>
    <w:rsid w:val="00FD57D0"/>
    <w:pPr>
      <w:tabs>
        <w:tab w:val="left" w:pos="680"/>
      </w:tabs>
      <w:spacing w:before="60" w:after="60"/>
      <w:ind w:left="680" w:hanging="340"/>
    </w:pPr>
  </w:style>
  <w:style w:type="paragraph" w:styleId="List3">
    <w:name w:val="List 3"/>
    <w:basedOn w:val="BodyText"/>
    <w:rsid w:val="00FD57D0"/>
    <w:pPr>
      <w:tabs>
        <w:tab w:val="left" w:pos="1021"/>
      </w:tabs>
      <w:spacing w:before="60" w:after="60"/>
      <w:ind w:left="1020" w:hanging="340"/>
    </w:pPr>
  </w:style>
  <w:style w:type="paragraph" w:styleId="List4">
    <w:name w:val="List 4"/>
    <w:basedOn w:val="BodyText"/>
    <w:rsid w:val="00FD57D0"/>
    <w:pPr>
      <w:tabs>
        <w:tab w:val="left" w:pos="1361"/>
      </w:tabs>
      <w:spacing w:before="60" w:after="60"/>
      <w:ind w:left="1361" w:hanging="340"/>
    </w:pPr>
  </w:style>
  <w:style w:type="paragraph" w:styleId="List5">
    <w:name w:val="List 5"/>
    <w:basedOn w:val="BodyText"/>
    <w:rsid w:val="00FD57D0"/>
    <w:pPr>
      <w:tabs>
        <w:tab w:val="left" w:pos="1701"/>
      </w:tabs>
      <w:spacing w:before="60" w:after="60"/>
      <w:ind w:left="1701" w:hanging="340"/>
    </w:pPr>
  </w:style>
  <w:style w:type="paragraph" w:styleId="ListBullet3">
    <w:name w:val="List Bullet 3"/>
    <w:basedOn w:val="List3"/>
    <w:rsid w:val="00FD57D0"/>
    <w:pPr>
      <w:numPr>
        <w:numId w:val="15"/>
      </w:numPr>
      <w:tabs>
        <w:tab w:val="clear" w:pos="1021"/>
      </w:tabs>
      <w:ind w:left="1037" w:hanging="357"/>
    </w:pPr>
  </w:style>
  <w:style w:type="paragraph" w:styleId="ListBullet4">
    <w:name w:val="List Bullet 4"/>
    <w:basedOn w:val="List4"/>
    <w:rsid w:val="00FD57D0"/>
    <w:pPr>
      <w:numPr>
        <w:numId w:val="3"/>
      </w:numPr>
    </w:pPr>
  </w:style>
  <w:style w:type="paragraph" w:styleId="ListBullet5">
    <w:name w:val="List Bullet 5"/>
    <w:basedOn w:val="List5"/>
    <w:rsid w:val="00FD57D0"/>
    <w:pPr>
      <w:numPr>
        <w:numId w:val="4"/>
      </w:numPr>
    </w:pPr>
  </w:style>
  <w:style w:type="paragraph" w:styleId="ListContinue2">
    <w:name w:val="List Continue 2"/>
    <w:basedOn w:val="List2"/>
    <w:rsid w:val="00FD57D0"/>
    <w:pPr>
      <w:ind w:firstLine="0"/>
    </w:pPr>
  </w:style>
  <w:style w:type="paragraph" w:styleId="ListContinue3">
    <w:name w:val="List Continue 3"/>
    <w:basedOn w:val="List3"/>
    <w:rsid w:val="00FD57D0"/>
    <w:pPr>
      <w:ind w:left="1021" w:firstLine="0"/>
    </w:pPr>
  </w:style>
  <w:style w:type="paragraph" w:styleId="ListContinue4">
    <w:name w:val="List Continue 4"/>
    <w:basedOn w:val="List4"/>
    <w:rsid w:val="00FD57D0"/>
    <w:pPr>
      <w:ind w:firstLine="0"/>
    </w:pPr>
  </w:style>
  <w:style w:type="paragraph" w:styleId="ListContinue5">
    <w:name w:val="List Continue 5"/>
    <w:basedOn w:val="List5"/>
    <w:rsid w:val="00FD57D0"/>
    <w:pPr>
      <w:ind w:firstLine="0"/>
    </w:pPr>
  </w:style>
  <w:style w:type="paragraph" w:styleId="ListNumber3">
    <w:name w:val="List Number 3"/>
    <w:basedOn w:val="List3"/>
    <w:rsid w:val="00FD57D0"/>
    <w:pPr>
      <w:numPr>
        <w:numId w:val="5"/>
      </w:numPr>
    </w:pPr>
  </w:style>
  <w:style w:type="paragraph" w:styleId="ListNumber4">
    <w:name w:val="List Number 4"/>
    <w:basedOn w:val="List4"/>
    <w:rsid w:val="00FD57D0"/>
    <w:pPr>
      <w:numPr>
        <w:numId w:val="6"/>
      </w:numPr>
    </w:pPr>
  </w:style>
  <w:style w:type="paragraph" w:styleId="ListNumber5">
    <w:name w:val="List Number 5"/>
    <w:basedOn w:val="List5"/>
    <w:rsid w:val="00FD57D0"/>
    <w:pPr>
      <w:numPr>
        <w:numId w:val="7"/>
      </w:numPr>
    </w:pPr>
  </w:style>
  <w:style w:type="paragraph" w:styleId="BlockText">
    <w:name w:val="Block Text"/>
    <w:basedOn w:val="Normal"/>
    <w:rsid w:val="00FD57D0"/>
    <w:pPr>
      <w:spacing w:after="120"/>
      <w:ind w:left="1440" w:right="1440"/>
    </w:pPr>
  </w:style>
  <w:style w:type="character" w:customStyle="1" w:styleId="Subscript">
    <w:name w:val="Subscript"/>
    <w:basedOn w:val="DefaultParagraphFont"/>
    <w:rsid w:val="00FD57D0"/>
    <w:rPr>
      <w:sz w:val="16"/>
      <w:vertAlign w:val="subscript"/>
    </w:rPr>
  </w:style>
  <w:style w:type="character" w:customStyle="1" w:styleId="Superscript">
    <w:name w:val="Superscript"/>
    <w:basedOn w:val="DefaultParagraphFont"/>
    <w:rsid w:val="00FD57D0"/>
    <w:rPr>
      <w:sz w:val="16"/>
      <w:vertAlign w:val="superscript"/>
    </w:rPr>
  </w:style>
  <w:style w:type="character" w:customStyle="1" w:styleId="Symbols">
    <w:name w:val="Symbols"/>
    <w:basedOn w:val="DefaultParagraphFont"/>
    <w:rsid w:val="00FD57D0"/>
    <w:rPr>
      <w:rFonts w:ascii="Symbol" w:hAnsi="Symbol"/>
    </w:rPr>
  </w:style>
  <w:style w:type="character" w:customStyle="1" w:styleId="MenuOptions">
    <w:name w:val="Menu Options"/>
    <w:basedOn w:val="DefaultParagraphFont"/>
    <w:rsid w:val="00FD57D0"/>
    <w:rPr>
      <w:rFonts w:ascii="Arial Narrow" w:hAnsi="Arial Narrow"/>
      <w:smallCaps/>
    </w:rPr>
  </w:style>
  <w:style w:type="character" w:customStyle="1" w:styleId="Buttons">
    <w:name w:val="Buttons"/>
    <w:basedOn w:val="DefaultParagraphFont"/>
    <w:rsid w:val="00FD57D0"/>
    <w:rPr>
      <w:b/>
    </w:rPr>
  </w:style>
  <w:style w:type="character" w:customStyle="1" w:styleId="Underlined">
    <w:name w:val="Underlined"/>
    <w:basedOn w:val="DefaultParagraphFont"/>
    <w:rsid w:val="00FD57D0"/>
    <w:rPr>
      <w:u w:val="single"/>
    </w:rPr>
  </w:style>
  <w:style w:type="paragraph" w:customStyle="1" w:styleId="TableBodyTextRight">
    <w:name w:val="Table Body Text Right"/>
    <w:basedOn w:val="TableBodyText"/>
    <w:rsid w:val="00FD57D0"/>
    <w:pPr>
      <w:widowControl w:val="0"/>
      <w:autoSpaceDE w:val="0"/>
      <w:autoSpaceDN w:val="0"/>
      <w:adjustRightInd w:val="0"/>
      <w:jc w:val="right"/>
    </w:pPr>
    <w:rPr>
      <w:rFonts w:cs="Arial"/>
      <w:szCs w:val="18"/>
    </w:rPr>
  </w:style>
  <w:style w:type="paragraph" w:customStyle="1" w:styleId="CopyrightText">
    <w:name w:val="Copyright Text"/>
    <w:basedOn w:val="BodyText"/>
    <w:rsid w:val="00FD57D0"/>
    <w:rPr>
      <w:sz w:val="18"/>
    </w:rPr>
  </w:style>
  <w:style w:type="paragraph" w:customStyle="1" w:styleId="BodySmallRight">
    <w:name w:val="Body Small Right"/>
    <w:basedOn w:val="BodyTextRight"/>
    <w:rsid w:val="00FD57D0"/>
    <w:rPr>
      <w:sz w:val="18"/>
      <w:szCs w:val="18"/>
    </w:rPr>
  </w:style>
  <w:style w:type="paragraph" w:customStyle="1" w:styleId="MarginEdition">
    <w:name w:val="Margin Edition"/>
    <w:basedOn w:val="MarginNote"/>
    <w:rsid w:val="00FD57D0"/>
    <w:pPr>
      <w:spacing w:before="0" w:after="0"/>
    </w:pPr>
    <w:rPr>
      <w:rFonts w:ascii="Times New Roman" w:hAnsi="Times New Roman"/>
      <w:color w:val="999999"/>
    </w:rPr>
  </w:style>
  <w:style w:type="paragraph" w:customStyle="1" w:styleId="Spacer">
    <w:name w:val="Spacer"/>
    <w:basedOn w:val="Normal"/>
    <w:rsid w:val="00FD57D0"/>
    <w:rPr>
      <w:sz w:val="2"/>
      <w:szCs w:val="2"/>
    </w:rPr>
  </w:style>
  <w:style w:type="character" w:customStyle="1" w:styleId="Small">
    <w:name w:val="Small"/>
    <w:basedOn w:val="DefaultParagraphFont"/>
    <w:rsid w:val="00FD57D0"/>
    <w:rPr>
      <w:sz w:val="16"/>
    </w:rPr>
  </w:style>
  <w:style w:type="paragraph" w:customStyle="1" w:styleId="WideTable">
    <w:name w:val="Wide Table"/>
    <w:basedOn w:val="Normal"/>
    <w:rsid w:val="00FD57D0"/>
    <w:pPr>
      <w:ind w:left="-1418"/>
    </w:pPr>
    <w:rPr>
      <w:sz w:val="2"/>
      <w:szCs w:val="2"/>
    </w:rPr>
  </w:style>
  <w:style w:type="character" w:styleId="PageNumber">
    <w:name w:val="page number"/>
    <w:basedOn w:val="DefaultParagraphFont"/>
    <w:rsid w:val="00FD57D0"/>
  </w:style>
  <w:style w:type="paragraph" w:styleId="Quote">
    <w:name w:val="Quote"/>
    <w:basedOn w:val="Heading1"/>
    <w:link w:val="QuoteChar"/>
    <w:qFormat/>
    <w:rsid w:val="00FD57D0"/>
    <w:rPr>
      <w:b w:val="0"/>
      <w:sz w:val="72"/>
      <w:szCs w:val="72"/>
      <w:lang w:val="en-NZ"/>
    </w:rPr>
  </w:style>
  <w:style w:type="character" w:customStyle="1" w:styleId="QuoteChar">
    <w:name w:val="Quote Char"/>
    <w:basedOn w:val="DefaultParagraphFont"/>
    <w:link w:val="Quote"/>
    <w:rsid w:val="00FD57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57D0"/>
    <w:pPr>
      <w:pageBreakBefore/>
    </w:pPr>
  </w:style>
  <w:style w:type="paragraph" w:customStyle="1" w:styleId="Border">
    <w:name w:val="Border"/>
    <w:basedOn w:val="Normal"/>
    <w:qFormat/>
    <w:rsid w:val="00FD57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57D0"/>
    <w:rPr>
      <w:b/>
      <w:bCs/>
      <w:i/>
      <w:iCs/>
      <w:color w:val="auto"/>
    </w:rPr>
  </w:style>
  <w:style w:type="paragraph" w:styleId="IntenseQuote">
    <w:name w:val="Intense Quote"/>
    <w:basedOn w:val="Normal"/>
    <w:next w:val="Normal"/>
    <w:link w:val="IntenseQuoteChar"/>
    <w:uiPriority w:val="30"/>
    <w:qFormat/>
    <w:rsid w:val="00FD57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57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D57D0"/>
    <w:rPr>
      <w:smallCaps/>
      <w:color w:val="auto"/>
      <w:u w:val="single"/>
    </w:rPr>
  </w:style>
  <w:style w:type="character" w:styleId="IntenseReference">
    <w:name w:val="Intense Reference"/>
    <w:basedOn w:val="DefaultParagraphFont"/>
    <w:uiPriority w:val="32"/>
    <w:qFormat/>
    <w:rsid w:val="00FD57D0"/>
    <w:rPr>
      <w:b/>
      <w:bCs/>
      <w:smallCaps/>
      <w:color w:val="auto"/>
      <w:spacing w:val="5"/>
      <w:u w:val="single"/>
    </w:rPr>
  </w:style>
  <w:style w:type="paragraph" w:customStyle="1" w:styleId="2ColumnHeading">
    <w:name w:val="2Column Heading"/>
    <w:basedOn w:val="BodyText"/>
    <w:qFormat/>
    <w:rsid w:val="00FD57D0"/>
    <w:pPr>
      <w:spacing w:after="60"/>
      <w:ind w:left="-2268"/>
    </w:pPr>
    <w:rPr>
      <w:b/>
    </w:rPr>
  </w:style>
  <w:style w:type="paragraph" w:customStyle="1" w:styleId="Heading1TOC">
    <w:name w:val="Heading1 TOC"/>
    <w:basedOn w:val="Normal"/>
    <w:qFormat/>
    <w:rsid w:val="00FD57D0"/>
    <w:pPr>
      <w:spacing w:before="240" w:after="120"/>
    </w:pPr>
    <w:rPr>
      <w:rFonts w:ascii="Times New Roman" w:hAnsi="Times New Roman"/>
      <w:b/>
      <w:sz w:val="32"/>
    </w:rPr>
  </w:style>
  <w:style w:type="paragraph" w:customStyle="1" w:styleId="Heading2TOC">
    <w:name w:val="Heading2 TOC"/>
    <w:basedOn w:val="Normal"/>
    <w:qFormat/>
    <w:rsid w:val="00FD57D0"/>
    <w:pPr>
      <w:spacing w:before="240" w:after="60"/>
    </w:pPr>
    <w:rPr>
      <w:rFonts w:ascii="Times New Roman" w:hAnsi="Times New Roman"/>
      <w:b/>
      <w:sz w:val="28"/>
    </w:rPr>
  </w:style>
  <w:style w:type="character" w:customStyle="1" w:styleId="Underline">
    <w:name w:val="Underline"/>
    <w:basedOn w:val="DefaultParagraphFont"/>
    <w:qFormat/>
    <w:rsid w:val="00FD57D0"/>
    <w:rPr>
      <w:u w:val="single"/>
    </w:rPr>
  </w:style>
  <w:style w:type="paragraph" w:styleId="BalloonText">
    <w:name w:val="Balloon Text"/>
    <w:basedOn w:val="Normal"/>
    <w:link w:val="BalloonTextChar"/>
    <w:rsid w:val="00FD57D0"/>
    <w:rPr>
      <w:rFonts w:ascii="Tahoma" w:hAnsi="Tahoma" w:cs="Tahoma"/>
      <w:sz w:val="16"/>
      <w:szCs w:val="16"/>
    </w:rPr>
  </w:style>
  <w:style w:type="character" w:customStyle="1" w:styleId="BalloonTextChar">
    <w:name w:val="Balloon Text Char"/>
    <w:basedOn w:val="DefaultParagraphFont"/>
    <w:link w:val="BalloonText"/>
    <w:rsid w:val="00FD57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D57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D57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1432</Words>
  <Characters>9054</Characters>
  <Application>Microsoft Office Word</Application>
  <DocSecurity>0</DocSecurity>
  <Lines>325</Lines>
  <Paragraphs>173</Paragraphs>
  <ScaleCrop>false</ScaleCrop>
  <Company>Author-it Software Corporation Ltd.</Company>
  <LinksUpToDate>false</LinksUpToDate>
  <CharactersWithSpaces>10423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RGRPSH409A Determine nutritional requirements for racing horses</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2012-05-26T20:25:00Z</dcterms:created>
  <dcterms:modified xsi:type="dcterms:W3CDTF">2012-05-26T20:25:00Z</dcterms:modified>
</cp:coreProperties>
</file>