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680" w:rsidP="008A7680">
      <w:pPr>
        <w:pStyle w:val="Title"/>
      </w:pPr>
      <w:bookmarkStart w:id="0" w:name="_GoBack"/>
      <w:bookmarkEnd w:id="0"/>
      <w:r>
        <w:fldChar w:fldCharType="begin"/>
      </w:r>
      <w:r>
        <w:instrText xml:space="preserve"> TITLE   \* MERGEFORMAT </w:instrText>
      </w:r>
      <w:r>
        <w:fldChar w:fldCharType="separate"/>
      </w:r>
      <w:r>
        <w:t>RGRPSH401A Relate anatomical and physiological features to the care and treatment of horses</w:t>
      </w:r>
      <w:r>
        <w:fldChar w:fldCharType="end"/>
      </w:r>
    </w:p>
    <w:p w:rsidR="008A7680" w:rsidP="008A7680">
      <w:pPr>
        <w:pStyle w:val="Version"/>
        <w:sectPr w:rsidSect="00905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CDE" w:rsidP="00905CDE">
      <w:pPr>
        <w:pStyle w:val="SuperHeading"/>
      </w:pPr>
      <w:r w:rsidRPr="00905CDE">
        <w:t>RGRPSH401A Relate anatomical and physiological features to the care and treatment of horses</w:t>
      </w:r>
    </w:p>
    <w:p w:rsidR="00000000" w:rsidRPr="00905CDE" w:rsidP="00905CDE">
      <w:pPr>
        <w:pStyle w:val="Heading1"/>
      </w:pPr>
      <w:bookmarkStart w:id="1" w:name="O_273062"/>
      <w:bookmarkEnd w:id="1"/>
      <w:r w:rsidRPr="00905CDE">
        <w:t>Modification History</w:t>
      </w:r>
    </w:p>
    <w:p w:rsidR="00000000" w:rsidRPr="00905CDE" w:rsidP="00905CDE">
      <w:pPr>
        <w:pStyle w:val="BodyText"/>
      </w:pPr>
      <w:r w:rsidRPr="00905CDE">
        <w:t>Not Applicable</w:t>
      </w:r>
    </w:p>
    <w:p w:rsidR="00000000" w:rsidRPr="00905CDE" w:rsidP="00905CDE">
      <w:pPr>
        <w:pStyle w:val="AllowPageBreak"/>
      </w:pPr>
    </w:p>
    <w:p w:rsidR="00000000" w:rsidRPr="00905CDE" w:rsidP="00905CDE">
      <w:pPr>
        <w:pStyle w:val="Heading1"/>
      </w:pPr>
      <w:bookmarkStart w:id="2" w:name="O_216925"/>
      <w:bookmarkEnd w:id="2"/>
      <w:r w:rsidRPr="00905CDE">
        <w:t xml:space="preserve">Unit </w:t>
      </w:r>
      <w:r w:rsidRPr="00905CDE">
        <w:t>Descriptor</w:t>
      </w:r>
    </w:p>
    <w:tbl>
      <w:tblPr>
        <w:tblW w:w="0" w:type="auto"/>
        <w:tblLayout w:type="fixed"/>
        <w:tblCellMar>
          <w:left w:w="62" w:type="dxa"/>
          <w:right w:w="62" w:type="dxa"/>
        </w:tblCellMar>
        <w:tblLook w:val="0000"/>
      </w:tblPr>
      <w:tblGrid>
        <w:gridCol w:w="2657"/>
        <w:gridCol w:w="5865"/>
      </w:tblGrid>
      <w:tr w:rsidTr="008A7680">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This unit of competency specifies the outcomes required to identify basic anatomy and physiology of horses, relate anatomy and body systems to the performance of racehorses, and follow illness and injury management plans for race</w:t>
            </w:r>
            <w:r w:rsidRPr="00905CDE">
              <w:t>horses.</w:t>
            </w:r>
          </w:p>
          <w:p w:rsidR="00000000" w:rsidRPr="00905CDE" w:rsidP="00905CDE">
            <w:pPr>
              <w:pStyle w:val="BodyText"/>
            </w:pPr>
            <w:r w:rsidRPr="00905CDE">
              <w:t>This unit also requires the practical care and management of harness or thoroughbred racehorses and application of OHS standards in the workplace.</w:t>
            </w:r>
          </w:p>
          <w:p w:rsidR="00000000" w:rsidRPr="00905CDE" w:rsidP="00905CDE">
            <w:pPr>
              <w:pStyle w:val="BodyText"/>
            </w:pPr>
            <w:r w:rsidRPr="00905CDE">
              <w:t>This unit of competency operates in workplace environments of racing stables, paddocks, yards, raceco</w:t>
            </w:r>
            <w:r w:rsidRPr="00905CDE">
              <w:t>urses and public areas.</w:t>
            </w:r>
          </w:p>
          <w:p w:rsidR="00000000" w:rsidRPr="00905CDE" w:rsidP="00905CDE">
            <w:pPr>
              <w:pStyle w:val="BodyText"/>
            </w:pPr>
            <w:r w:rsidRPr="00905CDE">
              <w:t>Licensing, legislative, regulatory or certification requirements may apply to this unit, check with your State Principal Racing Authority for current license or registration requirements.</w:t>
            </w:r>
          </w:p>
        </w:tc>
      </w:tr>
    </w:tbl>
    <w:p w:rsidR="008A7680" w:rsidP="00905CDE">
      <w:pPr>
        <w:pStyle w:val="BodyText"/>
      </w:pPr>
    </w:p>
    <w:p w:rsidR="008A7680" w:rsidP="00905CDE">
      <w:pPr>
        <w:pStyle w:val="BodyText"/>
      </w:pPr>
    </w:p>
    <w:p w:rsidR="00000000" w:rsidRPr="00905CDE" w:rsidP="00905CDE">
      <w:pPr>
        <w:pStyle w:val="Heading1"/>
      </w:pPr>
      <w:bookmarkStart w:id="3" w:name="O_216929"/>
      <w:bookmarkEnd w:id="3"/>
      <w:r w:rsidRPr="00905CDE">
        <w:t>Application of the Unit</w:t>
      </w:r>
    </w:p>
    <w:tbl>
      <w:tblPr>
        <w:tblW w:w="0" w:type="auto"/>
        <w:tblLayout w:type="fixed"/>
        <w:tblCellMar>
          <w:left w:w="62" w:type="dxa"/>
          <w:right w:w="62" w:type="dxa"/>
        </w:tblCellMar>
        <w:tblLook w:val="0000"/>
      </w:tblPr>
      <w:tblGrid>
        <w:gridCol w:w="2745"/>
        <w:gridCol w:w="5777"/>
      </w:tblGrid>
      <w:tr w:rsidTr="008A7680">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This unit of competency supports trainers and others authorised to relate anatomical and physiological features to the care and treatment of horses.</w:t>
            </w:r>
          </w:p>
          <w:p w:rsidR="00000000" w:rsidRPr="00905CDE" w:rsidP="00905CDE">
            <w:pPr>
              <w:pStyle w:val="BodyText"/>
            </w:pPr>
            <w:r w:rsidRPr="00905CDE">
              <w:t>Competencies attained in this unit apply to the harness and thoroughbred codes of t</w:t>
            </w:r>
            <w:r w:rsidRPr="00905CDE">
              <w:t>he industry. Consequently when performance criteria are applied they will relate to the harness or thoroughbred code and statements of attainment will reflect this distinction.</w:t>
            </w:r>
          </w:p>
          <w:p w:rsidR="00000000" w:rsidRPr="00905CDE" w:rsidP="00905CDE">
            <w:pPr>
              <w:pStyle w:val="BodyText"/>
            </w:pPr>
            <w:r w:rsidRPr="00905CDE">
              <w:t>This unit can be contextualised for other industries while also maintaining the</w:t>
            </w:r>
            <w:r w:rsidRPr="00905CDE">
              <w:t xml:space="preserve"> integrity of the unit. </w:t>
            </w:r>
          </w:p>
        </w:tc>
      </w:tr>
    </w:tbl>
    <w:p w:rsidR="008A7680" w:rsidP="00905CDE">
      <w:pPr>
        <w:pStyle w:val="BodyText"/>
      </w:pPr>
    </w:p>
    <w:p w:rsidR="008A7680" w:rsidP="00905CDE">
      <w:pPr>
        <w:pStyle w:val="BodyText"/>
      </w:pPr>
    </w:p>
    <w:p w:rsidR="00000000" w:rsidRPr="00905CDE" w:rsidP="00905CDE">
      <w:pPr>
        <w:pStyle w:val="Heading1"/>
      </w:pPr>
      <w:bookmarkStart w:id="4" w:name="O_281322"/>
      <w:bookmarkEnd w:id="4"/>
      <w:r w:rsidRPr="00905CDE">
        <w:t>Licensing/Regulatory Information</w:t>
      </w:r>
    </w:p>
    <w:p w:rsidR="00000000" w:rsidRPr="00905CDE" w:rsidP="00905CDE">
      <w:pPr>
        <w:pStyle w:val="BodyText"/>
      </w:pPr>
      <w:r w:rsidRPr="00905CDE">
        <w:t>Refer to Unit Descriptor</w:t>
      </w:r>
    </w:p>
    <w:p w:rsidR="00000000" w:rsidRPr="00905CDE" w:rsidP="00905CDE">
      <w:pPr>
        <w:pStyle w:val="AllowPageBreak"/>
      </w:pPr>
    </w:p>
    <w:p w:rsidR="00000000" w:rsidRPr="00905CDE" w:rsidP="00905CDE">
      <w:pPr>
        <w:pStyle w:val="Heading1"/>
      </w:pPr>
      <w:bookmarkStart w:id="5" w:name="O_216927"/>
      <w:bookmarkEnd w:id="5"/>
      <w:r w:rsidRPr="00905CDE">
        <w:t>Pre-Requisites</w:t>
      </w:r>
    </w:p>
    <w:tbl>
      <w:tblPr>
        <w:tblW w:w="0" w:type="auto"/>
        <w:tblLayout w:type="fixed"/>
        <w:tblCellMar>
          <w:left w:w="62" w:type="dxa"/>
          <w:right w:w="62" w:type="dxa"/>
        </w:tblCellMar>
        <w:tblLook w:val="0000"/>
      </w:tblPr>
      <w:tblGrid>
        <w:gridCol w:w="2775"/>
        <w:gridCol w:w="1295"/>
        <w:gridCol w:w="4452"/>
      </w:tblGrid>
      <w:tr w:rsidTr="008A768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05CDE">
            <w:pPr>
              <w:pStyle w:val="BodyText"/>
              <w:rPr>
                <w:lang w:val="en-NZ"/>
              </w:rPr>
            </w:pPr>
          </w:p>
        </w:tc>
      </w:tr>
      <w:tr w:rsidTr="008A768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p>
        </w:tc>
      </w:tr>
      <w:tr w:rsidTr="008A768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05CDE" w:rsidP="00905CDE">
            <w:pPr>
              <w:pStyle w:val="BodyText"/>
            </w:pPr>
          </w:p>
        </w:tc>
      </w:tr>
    </w:tbl>
    <w:p w:rsidR="008A7680" w:rsidP="00905CDE">
      <w:pPr>
        <w:pStyle w:val="BodyText"/>
      </w:pPr>
    </w:p>
    <w:p w:rsidR="008A7680" w:rsidP="00905CDE">
      <w:pPr>
        <w:pStyle w:val="BodyText"/>
      </w:pPr>
    </w:p>
    <w:p w:rsidR="00000000" w:rsidRPr="00905CDE" w:rsidP="00905CDE">
      <w:pPr>
        <w:pStyle w:val="Heading1"/>
      </w:pPr>
      <w:bookmarkStart w:id="6" w:name="O_216926"/>
      <w:bookmarkEnd w:id="6"/>
      <w:r w:rsidRPr="00905CDE">
        <w:t>Employability Skills Information</w:t>
      </w:r>
    </w:p>
    <w:tbl>
      <w:tblPr>
        <w:tblW w:w="0" w:type="auto"/>
        <w:tblLayout w:type="fixed"/>
        <w:tblCellMar>
          <w:left w:w="62" w:type="dxa"/>
          <w:right w:w="62" w:type="dxa"/>
        </w:tblCellMar>
        <w:tblLook w:val="0000"/>
      </w:tblPr>
      <w:tblGrid>
        <w:gridCol w:w="2802"/>
        <w:gridCol w:w="5720"/>
      </w:tblGrid>
      <w:tr w:rsidTr="008A768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This unit contains employability skills.</w:t>
            </w:r>
          </w:p>
        </w:tc>
      </w:tr>
    </w:tbl>
    <w:p w:rsidR="008A7680" w:rsidP="00905CDE">
      <w:pPr>
        <w:pStyle w:val="BodyText"/>
      </w:pPr>
    </w:p>
    <w:p w:rsidR="008A7680" w:rsidP="00905CDE">
      <w:pPr>
        <w:pStyle w:val="BodyText"/>
      </w:pPr>
    </w:p>
    <w:p w:rsidR="00000000" w:rsidRPr="00905CDE" w:rsidP="00905CDE">
      <w:pPr>
        <w:pStyle w:val="Heading1"/>
      </w:pPr>
      <w:bookmarkStart w:id="7" w:name="O_291108"/>
      <w:bookmarkEnd w:id="7"/>
      <w:r w:rsidRPr="00905CDE">
        <w:t>Elements and Performance Criteria Pre-Content</w:t>
      </w:r>
    </w:p>
    <w:tbl>
      <w:tblPr>
        <w:tblW w:w="0" w:type="auto"/>
        <w:tblLayout w:type="fixed"/>
        <w:tblCellMar>
          <w:left w:w="62" w:type="dxa"/>
          <w:right w:w="62" w:type="dxa"/>
        </w:tblCellMar>
        <w:tblLook w:val="0000"/>
      </w:tblPr>
      <w:tblGrid>
        <w:gridCol w:w="2571"/>
        <w:gridCol w:w="5951"/>
      </w:tblGrid>
      <w:tr w:rsidTr="008A7680">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905CDE">
            <w:pPr>
              <w:pStyle w:val="BodyText"/>
              <w:rPr>
                <w:lang w:val="en-NZ"/>
              </w:rPr>
            </w:pPr>
            <w:r w:rsidRPr="00905CDE">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905CDE" w:rsidP="00905CDE">
            <w:pPr>
              <w:pStyle w:val="BodyText"/>
            </w:pPr>
            <w:r w:rsidRPr="00905CDE">
              <w:t xml:space="preserve">Performance criteria describe the performance needed to demonstrate achievement of </w:t>
            </w:r>
            <w:r w:rsidRPr="00905CDE">
              <w:t>the element. Where bold italicised text is used, further information is detailed in the required skills and knowledge section and the range statement. Assessment of performance is to be consistent with the evidence guide.</w:t>
            </w:r>
          </w:p>
        </w:tc>
      </w:tr>
    </w:tbl>
    <w:p w:rsidR="00000000" w:rsidRPr="00905CDE" w:rsidP="00905CDE">
      <w:pPr>
        <w:pStyle w:val="BodyText"/>
      </w:pPr>
    </w:p>
    <w:p w:rsidR="00000000" w:rsidRPr="00905CDE" w:rsidP="00905CDE">
      <w:pPr>
        <w:pStyle w:val="AllowPageBreak"/>
      </w:pPr>
    </w:p>
    <w:p w:rsidR="00000000" w:rsidRPr="00905CDE" w:rsidP="00905CDE">
      <w:pPr>
        <w:pStyle w:val="Heading1"/>
      </w:pPr>
      <w:bookmarkStart w:id="8" w:name="O_237776"/>
      <w:bookmarkEnd w:id="8"/>
      <w:r w:rsidRPr="00905CDE">
        <w:t>Elements and Performance Criteria</w:t>
      </w:r>
    </w:p>
    <w:tbl>
      <w:tblPr>
        <w:tblW w:w="0" w:type="auto"/>
        <w:tblLayout w:type="fixed"/>
        <w:tblCellMar>
          <w:left w:w="62" w:type="dxa"/>
          <w:right w:w="62" w:type="dxa"/>
        </w:tblCellMar>
        <w:tblLook w:val="0000"/>
      </w:tblPr>
      <w:tblGrid>
        <w:gridCol w:w="2571"/>
        <w:gridCol w:w="5951"/>
      </w:tblGrid>
      <w:tr w:rsidTr="008A7680">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905CDE" w:rsidP="00905CDE">
            <w:pPr>
              <w:pStyle w:val="BodyText"/>
            </w:pPr>
            <w:r w:rsidRPr="00905CDE">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905CDE">
            <w:pPr>
              <w:pStyle w:val="BodyText"/>
              <w:rPr>
                <w:lang w:val="en-NZ"/>
              </w:rPr>
            </w:pPr>
            <w:r w:rsidRPr="00905CDE">
              <w:rPr>
                <w:rStyle w:val="SpecialBold"/>
              </w:rPr>
              <w:t>PERFORMANCE CRITERIA</w:t>
            </w:r>
          </w:p>
        </w:tc>
      </w:tr>
      <w:tr w:rsidTr="008A768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Identify basic anatomy and physiology of horses.</w:t>
            </w:r>
          </w:p>
        </w:tc>
        <w:tc>
          <w:tcPr>
            <w:tcW w:w="5951" w:type="dxa"/>
            <w:tcBorders>
              <w:top w:val="nil"/>
              <w:left w:val="nil"/>
              <w:bottom w:val="nil"/>
              <w:right w:val="nil"/>
            </w:tcBorders>
            <w:tcMar>
              <w:top w:w="0" w:type="dxa"/>
              <w:left w:w="62" w:type="dxa"/>
              <w:bottom w:w="0" w:type="dxa"/>
              <w:right w:w="62" w:type="dxa"/>
            </w:tcMar>
          </w:tcPr>
          <w:p w:rsidR="00000000" w:rsidRPr="00905CDE" w:rsidP="00905CDE">
            <w:pPr>
              <w:pStyle w:val="List"/>
            </w:pPr>
            <w:r w:rsidRPr="00905CDE">
              <w:t>1.</w:t>
            </w:r>
            <w:r w:rsidRPr="00905CDE">
              <w:tab/>
              <w:t xml:space="preserve">Key features and functions of </w:t>
            </w:r>
            <w:r w:rsidRPr="00905CDE">
              <w:rPr>
                <w:rStyle w:val="BoldandItalics"/>
              </w:rPr>
              <w:t>skeletal system</w:t>
            </w:r>
            <w:r w:rsidRPr="00905CDE">
              <w:t xml:space="preserve"> and </w:t>
            </w:r>
            <w:r w:rsidRPr="00905CDE">
              <w:rPr>
                <w:rStyle w:val="BoldandItalics"/>
              </w:rPr>
              <w:t>muscular system</w:t>
            </w:r>
            <w:r w:rsidRPr="00905CDE">
              <w:t xml:space="preserve"> are identified. </w:t>
            </w:r>
          </w:p>
          <w:p w:rsidR="00000000" w:rsidRPr="00905CDE" w:rsidP="00905CDE">
            <w:pPr>
              <w:pStyle w:val="List"/>
            </w:pPr>
            <w:r w:rsidRPr="00905CDE">
              <w:t>2.</w:t>
            </w:r>
            <w:r w:rsidRPr="00905CDE">
              <w:tab/>
              <w:t xml:space="preserve">Key features and functions of </w:t>
            </w:r>
            <w:r w:rsidRPr="00905CDE">
              <w:rPr>
                <w:rStyle w:val="BoldandItalics"/>
              </w:rPr>
              <w:t>respiratory system</w:t>
            </w:r>
            <w:r w:rsidRPr="00905CDE">
              <w:t xml:space="preserve"> are identified. </w:t>
            </w:r>
          </w:p>
          <w:p w:rsidR="00000000" w:rsidRPr="00905CDE" w:rsidP="00905CDE">
            <w:pPr>
              <w:pStyle w:val="List"/>
            </w:pPr>
            <w:r w:rsidRPr="00905CDE">
              <w:t>3.</w:t>
            </w:r>
            <w:r w:rsidRPr="00905CDE">
              <w:tab/>
              <w:t xml:space="preserve">Key features and functions of </w:t>
            </w:r>
            <w:r w:rsidRPr="00905CDE">
              <w:rPr>
                <w:rStyle w:val="BoldandItalics"/>
              </w:rPr>
              <w:t>circulatory system</w:t>
            </w:r>
            <w:r w:rsidRPr="00905CDE">
              <w:t xml:space="preserve"> are identified. </w:t>
            </w:r>
          </w:p>
          <w:p w:rsidR="00000000" w:rsidRPr="00905CDE" w:rsidP="00905CDE">
            <w:pPr>
              <w:pStyle w:val="List"/>
            </w:pPr>
            <w:r w:rsidRPr="00905CDE">
              <w:t>4.</w:t>
            </w:r>
            <w:r w:rsidRPr="00905CDE">
              <w:tab/>
              <w:t xml:space="preserve">Key features and functions of </w:t>
            </w:r>
            <w:r w:rsidRPr="00905CDE">
              <w:rPr>
                <w:rStyle w:val="BoldandItalics"/>
              </w:rPr>
              <w:t>digestive system</w:t>
            </w:r>
            <w:r w:rsidRPr="00905CDE">
              <w:t xml:space="preserve"> are identified. </w:t>
            </w:r>
          </w:p>
          <w:p w:rsidR="00000000" w:rsidP="00905CDE">
            <w:pPr>
              <w:pStyle w:val="List"/>
              <w:rPr>
                <w:lang w:val="en-NZ"/>
              </w:rPr>
            </w:pPr>
            <w:r w:rsidRPr="00905CDE">
              <w:t>5.</w:t>
            </w:r>
            <w:r w:rsidRPr="00905CDE">
              <w:tab/>
              <w:t xml:space="preserve">Key features and functions of </w:t>
            </w:r>
            <w:r w:rsidRPr="00905CDE">
              <w:rPr>
                <w:rStyle w:val="BoldandItalics"/>
              </w:rPr>
              <w:t>reproductive system</w:t>
            </w:r>
            <w:r w:rsidRPr="00905CDE">
              <w:t xml:space="preserve"> are identified. </w:t>
            </w:r>
          </w:p>
        </w:tc>
      </w:tr>
      <w:tr w:rsidTr="008A768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Relate anatomy and body systems</w:t>
            </w:r>
            <w:r w:rsidRPr="00905CDE">
              <w:t xml:space="preserve"> to performance of racehorses.</w:t>
            </w:r>
          </w:p>
        </w:tc>
        <w:tc>
          <w:tcPr>
            <w:tcW w:w="5951" w:type="dxa"/>
            <w:tcBorders>
              <w:top w:val="nil"/>
              <w:left w:val="nil"/>
              <w:bottom w:val="nil"/>
              <w:right w:val="nil"/>
            </w:tcBorders>
            <w:tcMar>
              <w:top w:w="0" w:type="dxa"/>
              <w:left w:w="62" w:type="dxa"/>
              <w:bottom w:w="0" w:type="dxa"/>
              <w:right w:w="62" w:type="dxa"/>
            </w:tcMar>
          </w:tcPr>
          <w:p w:rsidR="00000000" w:rsidRPr="00905CDE" w:rsidP="00905CDE">
            <w:pPr>
              <w:pStyle w:val="List"/>
            </w:pPr>
            <w:r w:rsidRPr="00905CDE">
              <w:t>6.</w:t>
            </w:r>
            <w:r w:rsidRPr="00905CDE">
              <w:tab/>
            </w:r>
            <w:r w:rsidRPr="00905CDE">
              <w:rPr>
                <w:rStyle w:val="BoldandItalics"/>
              </w:rPr>
              <w:t>Common illnesses and injuries</w:t>
            </w:r>
            <w:r w:rsidRPr="00905CDE">
              <w:t xml:space="preserve"> of skeletal and muscular system of racehorses are identified. </w:t>
            </w:r>
          </w:p>
          <w:p w:rsidR="00000000" w:rsidRPr="00905CDE" w:rsidP="00905CDE">
            <w:pPr>
              <w:pStyle w:val="List"/>
            </w:pPr>
            <w:r w:rsidRPr="00905CDE">
              <w:t>7.</w:t>
            </w:r>
            <w:r w:rsidRPr="00905CDE">
              <w:tab/>
              <w:t>Common illnesses and injuries of respiratory system of racehorses are identified.</w:t>
            </w:r>
          </w:p>
          <w:p w:rsidR="00000000" w:rsidRPr="00905CDE" w:rsidP="00905CDE">
            <w:pPr>
              <w:pStyle w:val="List"/>
            </w:pPr>
            <w:r w:rsidRPr="00905CDE">
              <w:t>8.</w:t>
            </w:r>
            <w:r w:rsidRPr="00905CDE">
              <w:tab/>
            </w:r>
            <w:r w:rsidRPr="00905CDE">
              <w:t>Common illnesses and injuries of circulatory system of racehorses are described.</w:t>
            </w:r>
          </w:p>
          <w:p w:rsidR="00000000" w:rsidP="00905CDE">
            <w:pPr>
              <w:pStyle w:val="List"/>
              <w:rPr>
                <w:lang w:val="en-NZ"/>
              </w:rPr>
            </w:pPr>
            <w:r w:rsidRPr="00905CDE">
              <w:t>9.</w:t>
            </w:r>
            <w:r w:rsidRPr="00905CDE">
              <w:tab/>
              <w:t>Common illnesses and injuries of digestive system of racehorses are described.</w:t>
            </w:r>
          </w:p>
        </w:tc>
      </w:tr>
      <w:tr w:rsidTr="008A768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Follow illness and injury management plans.</w:t>
            </w:r>
          </w:p>
        </w:tc>
        <w:tc>
          <w:tcPr>
            <w:tcW w:w="5951" w:type="dxa"/>
            <w:tcBorders>
              <w:top w:val="nil"/>
              <w:left w:val="nil"/>
              <w:bottom w:val="nil"/>
              <w:right w:val="nil"/>
            </w:tcBorders>
            <w:tcMar>
              <w:top w:w="0" w:type="dxa"/>
              <w:left w:w="62" w:type="dxa"/>
              <w:bottom w:w="0" w:type="dxa"/>
              <w:right w:w="62" w:type="dxa"/>
            </w:tcMar>
          </w:tcPr>
          <w:p w:rsidR="00000000" w:rsidRPr="00905CDE" w:rsidP="00905CDE">
            <w:pPr>
              <w:pStyle w:val="List"/>
            </w:pPr>
            <w:r w:rsidRPr="00905CDE">
              <w:t>10.</w:t>
            </w:r>
            <w:r w:rsidRPr="00905CDE">
              <w:tab/>
            </w:r>
            <w:r w:rsidRPr="00905CDE">
              <w:rPr>
                <w:rStyle w:val="BoldandItalics"/>
              </w:rPr>
              <w:t>Healing processes</w:t>
            </w:r>
            <w:r w:rsidRPr="00905CDE">
              <w:t xml:space="preserve"> following illness or injur</w:t>
            </w:r>
            <w:r w:rsidRPr="00905CDE">
              <w:t xml:space="preserve">y are recognised. </w:t>
            </w:r>
          </w:p>
          <w:p w:rsidR="00000000" w:rsidRPr="00905CDE" w:rsidP="00905CDE">
            <w:pPr>
              <w:pStyle w:val="List"/>
            </w:pPr>
            <w:r w:rsidRPr="00905CDE">
              <w:t>11.</w:t>
            </w:r>
            <w:r w:rsidRPr="00905CDE">
              <w:tab/>
              <w:t xml:space="preserve">Impact of </w:t>
            </w:r>
            <w:r w:rsidRPr="00905CDE">
              <w:rPr>
                <w:rStyle w:val="BoldandItalics"/>
              </w:rPr>
              <w:t>medications</w:t>
            </w:r>
            <w:r w:rsidRPr="00905CDE">
              <w:t xml:space="preserve"> on body systems is understood. </w:t>
            </w:r>
          </w:p>
          <w:p w:rsidR="00000000" w:rsidRPr="00905CDE" w:rsidP="00905CDE">
            <w:pPr>
              <w:pStyle w:val="List"/>
            </w:pPr>
            <w:r w:rsidRPr="00905CDE">
              <w:t>12.</w:t>
            </w:r>
            <w:r w:rsidRPr="00905CDE">
              <w:tab/>
              <w:t xml:space="preserve">Impact of </w:t>
            </w:r>
            <w:r w:rsidRPr="00905CDE">
              <w:rPr>
                <w:rStyle w:val="BoldandItalics"/>
              </w:rPr>
              <w:t>therapies</w:t>
            </w:r>
            <w:r w:rsidRPr="00905CDE">
              <w:t xml:space="preserve"> is understood. </w:t>
            </w:r>
          </w:p>
          <w:p w:rsidR="00000000" w:rsidRPr="00905CDE" w:rsidP="00905CDE">
            <w:pPr>
              <w:pStyle w:val="List"/>
            </w:pPr>
            <w:r w:rsidRPr="00905CDE">
              <w:t>13.</w:t>
            </w:r>
            <w:r w:rsidRPr="00905CDE">
              <w:tab/>
              <w:t xml:space="preserve">Care and treatment of injured or sick horse are provided according to </w:t>
            </w:r>
            <w:r w:rsidRPr="00905CDE">
              <w:rPr>
                <w:rStyle w:val="BoldandItalics"/>
              </w:rPr>
              <w:t>directions</w:t>
            </w:r>
            <w:r w:rsidRPr="00905CDE">
              <w:t xml:space="preserve"> and animal welfare principles. </w:t>
            </w:r>
          </w:p>
        </w:tc>
      </w:tr>
    </w:tbl>
    <w:p w:rsidR="008A7680" w:rsidP="00905CDE">
      <w:pPr>
        <w:pStyle w:val="BodyText"/>
      </w:pPr>
    </w:p>
    <w:p w:rsidR="008A7680" w:rsidP="00905CDE">
      <w:pPr>
        <w:pStyle w:val="BodyText"/>
      </w:pPr>
    </w:p>
    <w:p w:rsidR="00000000" w:rsidRPr="00905CDE" w:rsidP="00905CDE">
      <w:pPr>
        <w:pStyle w:val="Heading1"/>
      </w:pPr>
      <w:bookmarkStart w:id="9" w:name="O_261567"/>
      <w:bookmarkEnd w:id="9"/>
      <w:r w:rsidRPr="00905CDE">
        <w:t>Required Skills and Knowledge</w:t>
      </w:r>
    </w:p>
    <w:tbl>
      <w:tblPr>
        <w:tblW w:w="0" w:type="auto"/>
        <w:tblLayout w:type="fixed"/>
        <w:tblCellMar>
          <w:left w:w="62" w:type="dxa"/>
          <w:right w:w="62" w:type="dxa"/>
        </w:tblCellMar>
        <w:tblLook w:val="0000"/>
      </w:tblPr>
      <w:tblGrid>
        <w:gridCol w:w="8522"/>
      </w:tblGrid>
      <w:tr w:rsidTr="008A768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REQUIRED SKILLS AND KNOWLEDGE</w:t>
            </w:r>
          </w:p>
        </w:tc>
      </w:tr>
      <w:tr w:rsidTr="008A7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This section describes the skills and knowledge required for this unit.</w:t>
            </w:r>
          </w:p>
        </w:tc>
      </w:tr>
      <w:tr w:rsidTr="008A7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Required skills</w:t>
            </w:r>
          </w:p>
        </w:tc>
      </w:tr>
      <w:tr w:rsidTr="008A7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adhering to responsibilities under OHS legislation and workplace practices</w:t>
            </w:r>
          </w:p>
          <w:p w:rsidR="00000000" w:rsidRPr="00905CDE" w:rsidP="00905CDE">
            <w:pPr>
              <w:pStyle w:val="ListBullet"/>
            </w:pPr>
            <w:r w:rsidRPr="00905CDE">
              <w:t>adhering to responsibilities under national and state codes of practice; federal, state and territory legislation; and local government regulations covering animal welfare</w:t>
            </w:r>
          </w:p>
          <w:p w:rsidR="00000000" w:rsidRPr="00905CDE" w:rsidP="00905CDE">
            <w:pPr>
              <w:pStyle w:val="ListBullet"/>
            </w:pPr>
            <w:r w:rsidRPr="00905CDE">
              <w:t>administering or supervising administration of prescribed medication</w:t>
            </w:r>
          </w:p>
          <w:p w:rsidR="00000000" w:rsidRPr="00905CDE" w:rsidP="00905CDE">
            <w:pPr>
              <w:pStyle w:val="ListBullet"/>
            </w:pPr>
            <w:r w:rsidRPr="00905CDE">
              <w:t>applying safe h</w:t>
            </w:r>
            <w:r w:rsidRPr="00905CDE">
              <w:t>andling and work practices when caring for and treating horses</w:t>
            </w:r>
          </w:p>
          <w:p w:rsidR="00000000" w:rsidRPr="00905CDE" w:rsidP="00905CDE">
            <w:pPr>
              <w:pStyle w:val="ListBullet"/>
            </w:pPr>
            <w:r w:rsidRPr="00905CDE">
              <w:t>assessing and responding to illnesses or injuries in horses</w:t>
            </w:r>
          </w:p>
          <w:p w:rsidR="00000000" w:rsidRPr="00905CDE" w:rsidP="00905CDE">
            <w:pPr>
              <w:pStyle w:val="ListBullet"/>
            </w:pPr>
            <w:r w:rsidRPr="00905CDE">
              <w:t>caring for and treating horses</w:t>
            </w:r>
          </w:p>
          <w:p w:rsidR="00000000" w:rsidRPr="00905CDE" w:rsidP="00905CDE">
            <w:pPr>
              <w:pStyle w:val="ListBullet"/>
            </w:pPr>
            <w:r w:rsidRPr="00905CDE">
              <w:t>communicating with stable staff, horse health specialists and others using assertive communication tec</w:t>
            </w:r>
            <w:r w:rsidRPr="00905CDE">
              <w:t>hniques to gather and relay information related to relating anatomical and physiological features of horses to their care and treatment</w:t>
            </w:r>
          </w:p>
          <w:p w:rsidR="00000000" w:rsidRPr="00905CDE" w:rsidP="00905CDE">
            <w:pPr>
              <w:pStyle w:val="ListBullet"/>
            </w:pPr>
            <w:r w:rsidRPr="00905CDE">
              <w:t>evaluating risks associated with catching and handling horses</w:t>
            </w:r>
          </w:p>
          <w:p w:rsidR="00000000" w:rsidRPr="00905CDE" w:rsidP="00905CDE">
            <w:pPr>
              <w:pStyle w:val="ListBullet"/>
            </w:pPr>
            <w:r w:rsidRPr="00905CDE">
              <w:t>giving and receiving instructions</w:t>
            </w:r>
          </w:p>
          <w:p w:rsidR="00000000" w:rsidRPr="00905CDE" w:rsidP="00905CDE">
            <w:pPr>
              <w:pStyle w:val="ListBullet"/>
            </w:pPr>
            <w:r w:rsidRPr="00905CDE">
              <w:t>identifying and correctl</w:t>
            </w:r>
            <w:r w:rsidRPr="00905CDE">
              <w:t>y using different therapies or medications</w:t>
            </w:r>
          </w:p>
          <w:p w:rsidR="00000000" w:rsidRPr="00905CDE" w:rsidP="00905CDE">
            <w:pPr>
              <w:pStyle w:val="ListBullet"/>
            </w:pPr>
            <w:r w:rsidRPr="00905CDE">
              <w:t>identifying features and functions of body systems</w:t>
            </w:r>
          </w:p>
          <w:p w:rsidR="00000000" w:rsidRPr="00905CDE" w:rsidP="00905CDE">
            <w:pPr>
              <w:pStyle w:val="ListBullet"/>
            </w:pPr>
            <w:r w:rsidRPr="00905CDE">
              <w:t>identifying common illnesses and injuries</w:t>
            </w:r>
          </w:p>
          <w:p w:rsidR="00000000" w:rsidRPr="00905CDE" w:rsidP="00905CDE">
            <w:pPr>
              <w:pStyle w:val="ListBullet"/>
            </w:pPr>
            <w:r w:rsidRPr="00905CDE">
              <w:t>reading and interpreting workplace documentation, including relevant rules of racing and material safety data sheets</w:t>
            </w:r>
          </w:p>
          <w:p w:rsidR="00000000" w:rsidRPr="00905CDE" w:rsidP="00905CDE">
            <w:pPr>
              <w:pStyle w:val="ListBullet"/>
            </w:pPr>
            <w:r w:rsidRPr="00905CDE">
              <w:t>rel</w:t>
            </w:r>
            <w:r w:rsidRPr="00905CDE">
              <w:t>ating to people from a range of social, cultural and ethnic backgrounds and with varying physical and mental abilities</w:t>
            </w:r>
          </w:p>
          <w:p w:rsidR="00000000" w:rsidP="00905CDE">
            <w:pPr>
              <w:pStyle w:val="ListBullet"/>
              <w:rPr>
                <w:lang w:val="en-NZ"/>
              </w:rPr>
            </w:pPr>
            <w:r w:rsidRPr="00905CDE">
              <w:t>using or supervising use of technology related to therapy.</w:t>
            </w:r>
          </w:p>
        </w:tc>
      </w:tr>
      <w:tr w:rsidTr="008A7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Required knowledge</w:t>
            </w:r>
          </w:p>
        </w:tc>
      </w:tr>
      <w:tr w:rsidTr="008A76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communication procedures within stable and wider racing i</w:t>
            </w:r>
            <w:r w:rsidRPr="00905CDE">
              <w:t>ndustry</w:t>
            </w:r>
          </w:p>
          <w:p w:rsidR="00000000" w:rsidRPr="00905CDE" w:rsidP="00905CDE">
            <w:pPr>
              <w:pStyle w:val="ListBullet"/>
            </w:pPr>
            <w:r w:rsidRPr="00905CDE">
              <w:t>common horse behaviour, social traits and vices</w:t>
            </w:r>
          </w:p>
          <w:p w:rsidR="00000000" w:rsidRPr="00905CDE" w:rsidP="00905CDE">
            <w:pPr>
              <w:pStyle w:val="ListBullet"/>
            </w:pPr>
            <w:r w:rsidRPr="00905CDE">
              <w:t>common illnesses and injuries in horses</w:t>
            </w:r>
          </w:p>
          <w:p w:rsidR="00000000" w:rsidRPr="00905CDE" w:rsidP="00905CDE">
            <w:pPr>
              <w:pStyle w:val="ListBullet"/>
            </w:pPr>
            <w:r w:rsidRPr="00905CDE">
              <w:t>handling and restraining techniques for horses</w:t>
            </w:r>
          </w:p>
          <w:p w:rsidR="00000000" w:rsidRPr="00905CDE" w:rsidP="00905CDE">
            <w:pPr>
              <w:pStyle w:val="ListBullet"/>
            </w:pPr>
            <w:r w:rsidRPr="00905CDE">
              <w:t>impact of medications or therapies</w:t>
            </w:r>
          </w:p>
          <w:p w:rsidR="00000000" w:rsidRPr="00905CDE" w:rsidP="00905CDE">
            <w:pPr>
              <w:pStyle w:val="ListBullet"/>
            </w:pPr>
            <w:r w:rsidRPr="00905CDE">
              <w:t>industry terminology related to caring for and treating racehorses</w:t>
            </w:r>
          </w:p>
          <w:p w:rsidR="00000000" w:rsidRPr="00905CDE" w:rsidP="00905CDE">
            <w:pPr>
              <w:pStyle w:val="ListBullet"/>
            </w:pPr>
            <w:r w:rsidRPr="00905CDE">
              <w:t>key features and functions of horses' body systems</w:t>
            </w:r>
          </w:p>
          <w:p w:rsidR="00000000" w:rsidRPr="00905CDE" w:rsidP="00905CDE">
            <w:pPr>
              <w:pStyle w:val="ListBullet"/>
            </w:pPr>
            <w:r w:rsidRPr="00905CDE">
              <w:t>prohibited substances</w:t>
            </w:r>
          </w:p>
          <w:p w:rsidR="00000000" w:rsidRPr="00905CDE" w:rsidP="00905CDE">
            <w:pPr>
              <w:pStyle w:val="ListBullet"/>
            </w:pPr>
            <w:r w:rsidRPr="00905CDE">
              <w:t>racing industry animal welfare requirements</w:t>
            </w:r>
          </w:p>
          <w:p w:rsidR="00000000" w:rsidRPr="00905CDE" w:rsidP="00905CDE">
            <w:pPr>
              <w:pStyle w:val="ListBullet"/>
            </w:pPr>
            <w:r w:rsidRPr="00905CDE">
              <w:t>racing industry safety requirements, including safe operating procedures</w:t>
            </w:r>
          </w:p>
          <w:p w:rsidR="00000000" w:rsidRPr="00905CDE" w:rsidP="00905CDE">
            <w:pPr>
              <w:pStyle w:val="ListBullet"/>
            </w:pPr>
            <w:r w:rsidRPr="00905CDE">
              <w:t>relevant rules of racing</w:t>
            </w:r>
          </w:p>
          <w:p w:rsidR="00000000" w:rsidRPr="00905CDE" w:rsidP="00905CDE">
            <w:pPr>
              <w:pStyle w:val="ListBullet"/>
            </w:pPr>
            <w:r w:rsidRPr="00905CDE">
              <w:t>signs and symptoms of illnesses and injur</w:t>
            </w:r>
            <w:r w:rsidRPr="00905CDE">
              <w:t>ies</w:t>
            </w:r>
          </w:p>
          <w:p w:rsidR="00000000" w:rsidRPr="00905CDE" w:rsidP="00905CDE">
            <w:pPr>
              <w:pStyle w:val="ListBullet"/>
            </w:pPr>
            <w:r w:rsidRPr="00905CDE">
              <w:t>types of medications and therapies.</w:t>
            </w:r>
          </w:p>
        </w:tc>
      </w:tr>
    </w:tbl>
    <w:p w:rsidR="008A7680" w:rsidP="00905CDE">
      <w:pPr>
        <w:pStyle w:val="BodyText"/>
      </w:pPr>
    </w:p>
    <w:p w:rsidR="008A7680" w:rsidP="00905CDE">
      <w:pPr>
        <w:pStyle w:val="BodyText"/>
      </w:pPr>
    </w:p>
    <w:p w:rsidR="00000000" w:rsidRPr="00905CDE" w:rsidP="00905CDE">
      <w:pPr>
        <w:pStyle w:val="AllowPageBreak"/>
      </w:pPr>
    </w:p>
    <w:p w:rsidR="00000000" w:rsidRPr="00905CDE" w:rsidP="00905CDE">
      <w:pPr>
        <w:pStyle w:val="Heading1"/>
      </w:pPr>
      <w:bookmarkStart w:id="10" w:name="O_245760"/>
      <w:bookmarkEnd w:id="10"/>
      <w:r w:rsidRPr="00905CDE">
        <w:t>Evidence Guide</w:t>
      </w:r>
    </w:p>
    <w:tbl>
      <w:tblPr>
        <w:tblW w:w="9570" w:type="dxa"/>
        <w:tblLayout w:type="fixed"/>
        <w:tblCellMar>
          <w:left w:w="62" w:type="dxa"/>
          <w:right w:w="62" w:type="dxa"/>
        </w:tblCellMar>
        <w:tblLook w:val="0000"/>
      </w:tblPr>
      <w:tblGrid>
        <w:gridCol w:w="3908"/>
        <w:gridCol w:w="5662"/>
      </w:tblGrid>
      <w:tr w:rsidTr="008A768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05CDE">
            <w:pPr>
              <w:pStyle w:val="BodyText"/>
              <w:rPr>
                <w:lang w:val="en-NZ"/>
              </w:rPr>
            </w:pPr>
            <w:r w:rsidRPr="00905CDE">
              <w:rPr>
                <w:rStyle w:val="SpecialBold"/>
              </w:rPr>
              <w:t>EVIDENCE GUIDE</w:t>
            </w:r>
          </w:p>
        </w:tc>
      </w:tr>
      <w:tr w:rsidTr="008A768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The evidence guide provides advice on assessment and must be read in conjunction with the performance criteria, required skills and knowledge, </w:t>
            </w:r>
            <w:r w:rsidRPr="00905CDE">
              <w:t>range statement and the Assessment Guidelines for the Training Package.</w:t>
            </w:r>
          </w:p>
        </w:tc>
      </w:tr>
      <w:tr w:rsidTr="008A7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The evidence required to demonstrate competency in this unit must be relevant to workplace operations and satisfy all of the requirements of the performance criteria, required skills and knowledge and the range statement of this unit and include evidence o</w:t>
            </w:r>
            <w:r w:rsidRPr="00905CDE">
              <w:t>f the following:</w:t>
            </w:r>
          </w:p>
          <w:p w:rsidR="00000000" w:rsidRPr="00905CDE" w:rsidP="00905CDE">
            <w:pPr>
              <w:pStyle w:val="ListBullet"/>
            </w:pPr>
            <w:r w:rsidRPr="00905CDE">
              <w:t>knowledge of key features and functions of the skeletal, muscular, respiratory, circulatory, digestive and reproductive systems of horses</w:t>
            </w:r>
          </w:p>
          <w:p w:rsidR="00000000" w:rsidRPr="00905CDE" w:rsidP="00905CDE">
            <w:pPr>
              <w:pStyle w:val="ListBullet"/>
            </w:pPr>
            <w:r w:rsidRPr="00905CDE">
              <w:t>knowledge of common illnesses and injuries of the skeletal, muscular and respiratory systems of horse</w:t>
            </w:r>
            <w:r w:rsidRPr="00905CDE">
              <w:t>s</w:t>
            </w:r>
          </w:p>
          <w:p w:rsidR="00000000" w:rsidRPr="00905CDE" w:rsidP="00905CDE">
            <w:pPr>
              <w:pStyle w:val="ListBullet"/>
            </w:pPr>
            <w:r w:rsidRPr="00905CDE">
              <w:t>implementation of procedures and timely techniques to relate anatomical and physiological features to the care and treatment of horses that meet required outcomes</w:t>
            </w:r>
          </w:p>
          <w:p w:rsidR="00000000" w:rsidRPr="00905CDE" w:rsidP="00905CDE">
            <w:pPr>
              <w:pStyle w:val="ListBullet"/>
            </w:pPr>
            <w:r w:rsidRPr="00905CDE">
              <w:t>working with others to undertake and complete care and treatment tasks that meet required o</w:t>
            </w:r>
            <w:r w:rsidRPr="00905CDE">
              <w:t>utcomes.</w:t>
            </w:r>
          </w:p>
          <w:p w:rsidR="00000000" w:rsidP="00905CDE">
            <w:pPr>
              <w:pStyle w:val="BodyText"/>
              <w:rPr>
                <w:lang w:val="en-NZ"/>
              </w:rPr>
            </w:pPr>
            <w:r w:rsidRPr="00905CDE">
              <w:t xml:space="preserve">Evidence should be collected over a period of time using a range of racehorses of different ages and sexes, and at different stages of preparation in racing stable and track environments. </w:t>
            </w:r>
          </w:p>
        </w:tc>
      </w:tr>
      <w:tr w:rsidTr="008A7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Competen</w:t>
            </w:r>
            <w:r w:rsidRPr="00905CDE">
              <w:t>cy must be assessed in a racing workplace that provides access to the required resources or simulated environment approved by the relevant State Principal Racing Authority. Assessment is to occur under standard and authorised work practices, safety require</w:t>
            </w:r>
            <w:r w:rsidRPr="00905CDE">
              <w:t>ments and environmental constraints. It is to comply with relevant regulatory requirements or Australian Standards requirements.</w:t>
            </w:r>
          </w:p>
          <w:p w:rsidR="00000000" w:rsidRPr="00905CDE" w:rsidP="00905CDE">
            <w:pPr>
              <w:pStyle w:val="BodyText"/>
            </w:pPr>
            <w:r w:rsidRPr="00905CDE">
              <w:t>Assessment of the practical components of this unit will be by observation of relevant skills.</w:t>
            </w:r>
          </w:p>
          <w:p w:rsidR="00000000" w:rsidRPr="00905CDE" w:rsidP="00905CDE">
            <w:pPr>
              <w:pStyle w:val="BodyText"/>
            </w:pPr>
            <w:r w:rsidRPr="00905CDE">
              <w:t xml:space="preserve">The following resources must be </w:t>
            </w:r>
            <w:r w:rsidRPr="00905CDE">
              <w:t>available:</w:t>
            </w:r>
          </w:p>
          <w:p w:rsidR="00000000" w:rsidRPr="00905CDE" w:rsidP="00905CDE">
            <w:pPr>
              <w:pStyle w:val="ListBullet"/>
            </w:pPr>
            <w:r w:rsidRPr="00905CDE">
              <w:t>a variety of harness or thoroughbred horses</w:t>
            </w:r>
          </w:p>
          <w:p w:rsidR="00000000" w:rsidRPr="00905CDE" w:rsidP="00905CDE">
            <w:pPr>
              <w:pStyle w:val="ListBullet"/>
            </w:pPr>
            <w:r w:rsidRPr="00905CDE">
              <w:t>materials and equipment relevant to assessing candidate's ability to relate anatomical and physiological features to the care and treatment of horses</w:t>
            </w:r>
          </w:p>
          <w:p w:rsidR="00000000" w:rsidRPr="00905CDE" w:rsidP="00905CDE">
            <w:pPr>
              <w:pStyle w:val="ListBullet"/>
            </w:pPr>
            <w:r w:rsidRPr="00905CDE">
              <w:t>saf</w:t>
            </w:r>
            <w:r w:rsidRPr="00905CDE">
              <w:t>e handling areas, such as racing stables, yards, and training and racetracks</w:t>
            </w:r>
          </w:p>
          <w:p w:rsidR="00000000" w:rsidP="00905CDE">
            <w:pPr>
              <w:pStyle w:val="ListBullet"/>
              <w:rPr>
                <w:lang w:val="en-NZ"/>
              </w:rPr>
            </w:pPr>
            <w:r w:rsidRPr="00905CDE">
              <w:t>work instructions and related documentation.</w:t>
            </w:r>
          </w:p>
        </w:tc>
      </w:tr>
      <w:tr w:rsidTr="008A7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Assessment methods must satisfy the endorsed Assessment Guidelines of the Racing Training Package.</w:t>
            </w:r>
          </w:p>
          <w:p w:rsidR="00000000" w:rsidRPr="00905CDE" w:rsidP="00905CDE">
            <w:pPr>
              <w:pStyle w:val="BodyText"/>
            </w:pPr>
            <w:r w:rsidRPr="00905CDE">
              <w:t>The suggested</w:t>
            </w:r>
            <w:r w:rsidRPr="00905CDE">
              <w:t xml:space="preserve"> strategies for the assessment of this unit are:</w:t>
            </w:r>
          </w:p>
          <w:p w:rsidR="00000000" w:rsidRPr="00905CDE" w:rsidP="00905CDE">
            <w:pPr>
              <w:pStyle w:val="ListBullet"/>
            </w:pPr>
            <w:r w:rsidRPr="00905CDE">
              <w:t>written and/or oral assessment of candidate's required knowledge</w:t>
            </w:r>
          </w:p>
          <w:p w:rsidR="00000000" w:rsidRPr="00905CDE" w:rsidP="00905CDE">
            <w:pPr>
              <w:pStyle w:val="ListBullet"/>
            </w:pPr>
            <w:r w:rsidRPr="00905CDE">
              <w:t>observed, documented and firsthand testimonial evidence of candidate's application of practical tasks</w:t>
            </w:r>
          </w:p>
          <w:p w:rsidR="00000000" w:rsidRPr="00905CDE" w:rsidP="00905CDE">
            <w:pPr>
              <w:pStyle w:val="ListBullet"/>
            </w:pPr>
            <w:r w:rsidRPr="00905CDE">
              <w:t>simulation exercises conducted in a Stat</w:t>
            </w:r>
            <w:r w:rsidRPr="00905CDE">
              <w:t>e Principal Racing Authority approved simulated environment.</w:t>
            </w:r>
          </w:p>
          <w:p w:rsidR="00000000" w:rsidRPr="00905CDE" w:rsidP="00905CDE">
            <w:pPr>
              <w:pStyle w:val="BodyText"/>
            </w:pPr>
            <w:r w:rsidRPr="00905CDE">
              <w:t>Evidence is required to be demonstrated over a period of time, therefore where performance is not directly observed any evidence should be authenticated by supervisors or other appropriate person</w:t>
            </w:r>
            <w:r w:rsidRPr="00905CDE">
              <w:t>s.</w:t>
            </w:r>
          </w:p>
          <w:p w:rsidR="00000000" w:rsidRPr="00905CDE" w:rsidP="00905CDE">
            <w:pPr>
              <w:pStyle w:val="BodyText"/>
            </w:pPr>
            <w:r w:rsidRPr="00905CDE">
              <w:t>Holistic assessment with other units relevant to the industry sector, workplace and job role is recommended, for example:</w:t>
            </w:r>
          </w:p>
          <w:p w:rsidR="00000000" w:rsidP="00905CDE">
            <w:pPr>
              <w:pStyle w:val="ListBullet"/>
              <w:rPr>
                <w:lang w:val="en-NZ"/>
              </w:rPr>
            </w:pPr>
            <w:r w:rsidRPr="00905CDE">
              <w:t>RGRPSH408A Manage horse health and welfare.</w:t>
            </w:r>
          </w:p>
        </w:tc>
      </w:tr>
      <w:tr w:rsidTr="008A76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Assessment methods should reflect workplace demand</w:t>
            </w:r>
            <w:r w:rsidRPr="00905CDE">
              <w:t>s (e.g. literacy and numeracy demands) and the needs of particular target groups (e.g. people with disabilities, Aboriginal and Torres Strait Islander people, women, people with a language background other than English, youth and people from low socioecono</w:t>
            </w:r>
            <w:r w:rsidRPr="00905CDE">
              <w:t xml:space="preserve">mic backgrounds). </w:t>
            </w:r>
          </w:p>
        </w:tc>
      </w:tr>
    </w:tbl>
    <w:p w:rsidR="008A7680" w:rsidP="00905CDE">
      <w:pPr>
        <w:pStyle w:val="BodyText"/>
      </w:pPr>
    </w:p>
    <w:p w:rsidR="008A7680" w:rsidP="00905CDE">
      <w:pPr>
        <w:pStyle w:val="BodyText"/>
      </w:pPr>
    </w:p>
    <w:p w:rsidR="00000000" w:rsidRPr="00905CDE" w:rsidP="00905CDE">
      <w:pPr>
        <w:pStyle w:val="Heading1"/>
      </w:pPr>
      <w:bookmarkStart w:id="11" w:name="O_253743"/>
      <w:bookmarkEnd w:id="11"/>
      <w:r w:rsidRPr="00905CDE">
        <w:t>Range Statement</w:t>
      </w:r>
    </w:p>
    <w:tbl>
      <w:tblPr>
        <w:tblW w:w="0" w:type="auto"/>
        <w:tblLayout w:type="fixed"/>
        <w:tblCellMar>
          <w:left w:w="62" w:type="dxa"/>
          <w:right w:w="62" w:type="dxa"/>
        </w:tblCellMar>
        <w:tblLook w:val="0000"/>
      </w:tblPr>
      <w:tblGrid>
        <w:gridCol w:w="3436"/>
        <w:gridCol w:w="5086"/>
      </w:tblGrid>
      <w:tr w:rsidTr="008A768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05CDE">
            <w:pPr>
              <w:pStyle w:val="BodyText"/>
              <w:rPr>
                <w:lang w:val="en-NZ"/>
              </w:rPr>
            </w:pPr>
            <w:r w:rsidRPr="00905CDE">
              <w:rPr>
                <w:rStyle w:val="SpecialBold"/>
              </w:rPr>
              <w:t>RANGE STATEMENT</w:t>
            </w:r>
          </w:p>
        </w:tc>
      </w:tr>
      <w:tr w:rsidTr="008A768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05CDE" w:rsidP="00905CDE">
            <w:pPr>
              <w:pStyle w:val="BodyText"/>
            </w:pPr>
            <w:r w:rsidRPr="00905CDE">
              <w:t xml:space="preserve">The range statement relates to the unit of competency as a whole. It allows for different work environments and situations that may affect </w:t>
            </w:r>
            <w:r w:rsidRPr="00905CDE">
              <w:t xml:space="preserve">performance. Bold italicised wording in the performance criteria is detailed below. </w:t>
            </w:r>
          </w:p>
          <w:p w:rsidR="00000000" w:rsidRPr="00905CDE" w:rsidP="00905CDE">
            <w:pPr>
              <w:pStyle w:val="BodyText"/>
            </w:pPr>
          </w:p>
          <w:p w:rsidR="00000000" w:rsidP="00905CDE">
            <w:pPr>
              <w:pStyle w:val="BodyText"/>
              <w:rPr>
                <w:lang w:val="en-NZ"/>
              </w:rPr>
            </w:pPr>
            <w:r w:rsidRPr="00905CDE">
              <w:t>The range statement provides details of how this competency can be used in the workplaces of the racing industry to relate anatomical and physiological features to the ca</w:t>
            </w:r>
            <w:r w:rsidRPr="00905CDE">
              <w:t>re and treatment of horses. Workplaces include harness and thoroughbred stables and racecourses, training tracks and public areas.</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Components of </w:t>
            </w:r>
            <w:r w:rsidRPr="00905CDE">
              <w:rPr>
                <w:rStyle w:val="BoldandItalics"/>
              </w:rPr>
              <w:t>skeletal</w:t>
            </w:r>
            <w:r w:rsidRPr="00905CDE">
              <w:t xml:space="preserve"> and </w:t>
            </w:r>
            <w:r w:rsidRPr="00905CDE">
              <w:rPr>
                <w:rStyle w:val="BoldandItalics"/>
              </w:rPr>
              <w:t>muscular systems</w:t>
            </w:r>
            <w:r w:rsidRPr="00905CDE">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bones</w:t>
            </w:r>
          </w:p>
          <w:p w:rsidR="00000000" w:rsidRPr="00905CDE" w:rsidP="00905CDE">
            <w:pPr>
              <w:pStyle w:val="ListBullet"/>
            </w:pPr>
            <w:r w:rsidRPr="00905CDE">
              <w:t>joints</w:t>
            </w:r>
          </w:p>
          <w:p w:rsidR="00000000" w:rsidRPr="00905CDE" w:rsidP="00905CDE">
            <w:pPr>
              <w:pStyle w:val="ListBullet"/>
            </w:pPr>
            <w:r w:rsidRPr="00905CDE">
              <w:t>ligaments</w:t>
            </w:r>
          </w:p>
          <w:p w:rsidR="00000000" w:rsidRPr="00905CDE" w:rsidP="00905CDE">
            <w:pPr>
              <w:pStyle w:val="ListBullet"/>
            </w:pPr>
            <w:r w:rsidRPr="00905CDE">
              <w:t>muscles</w:t>
            </w:r>
          </w:p>
          <w:p w:rsidR="00000000" w:rsidP="00905CDE">
            <w:pPr>
              <w:pStyle w:val="ListBullet"/>
              <w:rPr>
                <w:lang w:val="en-NZ"/>
              </w:rPr>
            </w:pPr>
            <w:r w:rsidRPr="00905CDE">
              <w:t>tendons.</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Components of </w:t>
            </w:r>
            <w:r w:rsidRPr="00905CDE">
              <w:rPr>
                <w:rStyle w:val="BoldandItalics"/>
              </w:rPr>
              <w:t>respiratory system</w:t>
            </w:r>
            <w:r w:rsidRPr="00905CDE">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alveolus</w:t>
            </w:r>
          </w:p>
          <w:p w:rsidR="00000000" w:rsidRPr="00905CDE" w:rsidP="00905CDE">
            <w:pPr>
              <w:pStyle w:val="ListBullet"/>
            </w:pPr>
            <w:r w:rsidRPr="00905CDE">
              <w:t>diaphragm</w:t>
            </w:r>
          </w:p>
          <w:p w:rsidR="00000000" w:rsidRPr="00905CDE" w:rsidP="00905CDE">
            <w:pPr>
              <w:pStyle w:val="ListBullet"/>
            </w:pPr>
            <w:r w:rsidRPr="00905CDE">
              <w:t>larynx</w:t>
            </w:r>
          </w:p>
          <w:p w:rsidR="00000000" w:rsidRPr="00905CDE" w:rsidP="00905CDE">
            <w:pPr>
              <w:pStyle w:val="ListBullet"/>
            </w:pPr>
            <w:r w:rsidRPr="00905CDE">
              <w:t>lungs</w:t>
            </w:r>
          </w:p>
          <w:p w:rsidR="00000000" w:rsidRPr="00905CDE" w:rsidP="00905CDE">
            <w:pPr>
              <w:pStyle w:val="ListBullet"/>
            </w:pPr>
            <w:r w:rsidRPr="00905CDE">
              <w:t>nostrils</w:t>
            </w:r>
          </w:p>
          <w:p w:rsidR="00000000" w:rsidRPr="00905CDE" w:rsidP="00905CDE">
            <w:pPr>
              <w:pStyle w:val="ListBullet"/>
            </w:pPr>
            <w:r w:rsidRPr="00905CDE">
              <w:t>pharynx</w:t>
            </w:r>
          </w:p>
          <w:p w:rsidR="00000000" w:rsidP="00905CDE">
            <w:pPr>
              <w:pStyle w:val="ListBullet"/>
              <w:rPr>
                <w:lang w:val="en-NZ"/>
              </w:rPr>
            </w:pPr>
            <w:r w:rsidRPr="00905CDE">
              <w:t>trachea.</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Components of </w:t>
            </w:r>
            <w:r w:rsidRPr="00905CDE">
              <w:rPr>
                <w:rStyle w:val="BoldandItalics"/>
              </w:rPr>
              <w:t>circulatory system</w:t>
            </w:r>
            <w:r w:rsidRPr="00905CDE">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arteries</w:t>
            </w:r>
          </w:p>
          <w:p w:rsidR="00000000" w:rsidRPr="00905CDE" w:rsidP="00905CDE">
            <w:pPr>
              <w:pStyle w:val="ListBullet"/>
            </w:pPr>
            <w:r w:rsidRPr="00905CDE">
              <w:t>blood cells</w:t>
            </w:r>
          </w:p>
          <w:p w:rsidR="00000000" w:rsidRPr="00905CDE" w:rsidP="00905CDE">
            <w:pPr>
              <w:pStyle w:val="ListBullet"/>
            </w:pPr>
            <w:r w:rsidRPr="00905CDE">
              <w:t>heart</w:t>
            </w:r>
          </w:p>
          <w:p w:rsidR="00000000" w:rsidRPr="00905CDE" w:rsidP="00905CDE">
            <w:pPr>
              <w:pStyle w:val="ListBullet"/>
            </w:pPr>
            <w:r w:rsidRPr="00905CDE">
              <w:t>lungs</w:t>
            </w:r>
          </w:p>
          <w:p w:rsidR="00000000" w:rsidP="00905CDE">
            <w:pPr>
              <w:pStyle w:val="ListBullet"/>
              <w:rPr>
                <w:lang w:val="en-NZ"/>
              </w:rPr>
            </w:pPr>
            <w:r w:rsidRPr="00905CDE">
              <w:t>veins.</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Components of </w:t>
            </w:r>
            <w:r w:rsidRPr="00905CDE">
              <w:rPr>
                <w:rStyle w:val="BoldandItalics"/>
              </w:rPr>
              <w:t>digestive system</w:t>
            </w:r>
            <w:r w:rsidRPr="00905CDE">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caecum</w:t>
            </w:r>
          </w:p>
          <w:p w:rsidR="00000000" w:rsidRPr="00905CDE" w:rsidP="00905CDE">
            <w:pPr>
              <w:pStyle w:val="ListBullet"/>
            </w:pPr>
            <w:r w:rsidRPr="00905CDE">
              <w:t>diaphragm</w:t>
            </w:r>
          </w:p>
          <w:p w:rsidR="00000000" w:rsidRPr="00905CDE" w:rsidP="00905CDE">
            <w:pPr>
              <w:pStyle w:val="ListBullet"/>
            </w:pPr>
            <w:r w:rsidRPr="00905CDE">
              <w:t>intestines</w:t>
            </w:r>
          </w:p>
          <w:p w:rsidR="00000000" w:rsidRPr="00905CDE" w:rsidP="00905CDE">
            <w:pPr>
              <w:pStyle w:val="ListBullet"/>
            </w:pPr>
            <w:r w:rsidRPr="00905CDE">
              <w:t>kidneys</w:t>
            </w:r>
          </w:p>
          <w:p w:rsidR="00000000" w:rsidRPr="00905CDE" w:rsidP="00905CDE">
            <w:pPr>
              <w:pStyle w:val="ListBullet"/>
            </w:pPr>
            <w:r w:rsidRPr="00905CDE">
              <w:t>mouth</w:t>
            </w:r>
          </w:p>
          <w:p w:rsidR="00000000" w:rsidRPr="00905CDE" w:rsidP="00905CDE">
            <w:pPr>
              <w:pStyle w:val="ListBullet"/>
            </w:pPr>
            <w:r w:rsidRPr="00905CDE">
              <w:t>oesophagus</w:t>
            </w:r>
          </w:p>
          <w:p w:rsidR="00000000" w:rsidRPr="00905CDE" w:rsidP="00905CDE">
            <w:pPr>
              <w:pStyle w:val="ListBullet"/>
            </w:pPr>
            <w:r w:rsidRPr="00905CDE">
              <w:t>pharynx</w:t>
            </w:r>
          </w:p>
          <w:p w:rsidR="00000000" w:rsidP="00905CDE">
            <w:pPr>
              <w:pStyle w:val="ListBullet"/>
              <w:rPr>
                <w:lang w:val="en-NZ"/>
              </w:rPr>
            </w:pPr>
            <w:r w:rsidRPr="00905CDE">
              <w:t>stomach.</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t xml:space="preserve">Components of </w:t>
            </w:r>
            <w:r w:rsidRPr="00905CDE">
              <w:rPr>
                <w:rStyle w:val="BoldandItalics"/>
              </w:rPr>
              <w:t>reproductive system</w:t>
            </w:r>
            <w:r w:rsidRPr="00905CDE">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endocrine glands</w:t>
            </w:r>
          </w:p>
          <w:p w:rsidR="00000000" w:rsidRPr="00905CDE" w:rsidP="00905CDE">
            <w:pPr>
              <w:pStyle w:val="ListBullet"/>
            </w:pPr>
            <w:r w:rsidRPr="00905CDE">
              <w:t>male and female genital organs</w:t>
            </w:r>
          </w:p>
          <w:p w:rsidR="00000000" w:rsidRPr="00905CDE" w:rsidP="00905CDE">
            <w:pPr>
              <w:pStyle w:val="ListBullet"/>
            </w:pPr>
            <w:r w:rsidRPr="00905CDE">
              <w:t>oestrous cycle</w:t>
            </w:r>
          </w:p>
          <w:p w:rsidR="00000000" w:rsidP="00905CDE">
            <w:pPr>
              <w:pStyle w:val="ListBullet"/>
              <w:rPr>
                <w:lang w:val="en-NZ"/>
              </w:rPr>
            </w:pPr>
            <w:r w:rsidRPr="00905CDE">
              <w:t>pregnancy and foaling.</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BoldandItalics"/>
              </w:rPr>
              <w:t>Common illnesses and injuries</w:t>
            </w:r>
            <w:r w:rsidRPr="00905CDE">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skeletal and muscular systems, including:</w:t>
            </w:r>
          </w:p>
          <w:p w:rsidR="00000000" w:rsidRPr="00905CDE" w:rsidP="00905CDE">
            <w:pPr>
              <w:pStyle w:val="ListBullet2"/>
            </w:pPr>
            <w:r w:rsidRPr="00905CDE">
              <w:t>bone chips</w:t>
            </w:r>
          </w:p>
          <w:p w:rsidR="00000000" w:rsidRPr="00905CDE" w:rsidP="00905CDE">
            <w:pPr>
              <w:pStyle w:val="ListBullet2"/>
            </w:pPr>
            <w:r w:rsidRPr="00905CDE">
              <w:t>bone spavin</w:t>
            </w:r>
          </w:p>
          <w:p w:rsidR="00000000" w:rsidRPr="00905CDE" w:rsidP="00905CDE">
            <w:pPr>
              <w:pStyle w:val="ListBullet2"/>
            </w:pPr>
            <w:r w:rsidRPr="00905CDE">
              <w:t>bowed tendon</w:t>
            </w:r>
          </w:p>
          <w:p w:rsidR="00000000" w:rsidRPr="00905CDE" w:rsidP="00905CDE">
            <w:pPr>
              <w:pStyle w:val="ListBullet2"/>
            </w:pPr>
            <w:r w:rsidRPr="00905CDE">
              <w:t>navicular disease</w:t>
            </w:r>
          </w:p>
          <w:p w:rsidR="00000000" w:rsidRPr="00905CDE" w:rsidP="00905CDE">
            <w:pPr>
              <w:pStyle w:val="ListBullet2"/>
            </w:pPr>
            <w:r w:rsidRPr="00905CDE">
              <w:t>sesamoiditis</w:t>
            </w:r>
          </w:p>
          <w:p w:rsidR="00000000" w:rsidRPr="00905CDE" w:rsidP="00905CDE">
            <w:pPr>
              <w:pStyle w:val="ListBullet2"/>
            </w:pPr>
            <w:r w:rsidRPr="00905CDE">
              <w:t>shin soreness</w:t>
            </w:r>
          </w:p>
          <w:p w:rsidR="00000000" w:rsidRPr="00905CDE" w:rsidP="00905CDE">
            <w:pPr>
              <w:pStyle w:val="ListBullet2"/>
            </w:pPr>
            <w:r w:rsidRPr="00905CDE">
              <w:t>splints</w:t>
            </w:r>
          </w:p>
          <w:p w:rsidR="00000000" w:rsidRPr="00905CDE" w:rsidP="00905CDE">
            <w:pPr>
              <w:pStyle w:val="ListBullet2"/>
            </w:pPr>
            <w:r w:rsidRPr="00905CDE">
              <w:t>stifle joint lameness</w:t>
            </w:r>
          </w:p>
          <w:p w:rsidR="00000000" w:rsidRPr="00905CDE" w:rsidP="00905CDE">
            <w:pPr>
              <w:pStyle w:val="ListBullet2"/>
            </w:pPr>
            <w:r w:rsidRPr="00905CDE">
              <w:t>suspensory ligament injury</w:t>
            </w:r>
          </w:p>
          <w:p w:rsidR="00000000" w:rsidRPr="00905CDE" w:rsidP="00905CDE">
            <w:pPr>
              <w:pStyle w:val="ListBullet2"/>
            </w:pPr>
            <w:r w:rsidRPr="00905CDE">
              <w:t>tendonitis</w:t>
            </w:r>
          </w:p>
          <w:p w:rsidR="00000000" w:rsidRPr="00905CDE" w:rsidP="00905CDE">
            <w:pPr>
              <w:pStyle w:val="ListBullet"/>
            </w:pPr>
            <w:r w:rsidRPr="00905CDE">
              <w:t>respiratory system, including:</w:t>
            </w:r>
          </w:p>
          <w:p w:rsidR="00000000" w:rsidRPr="00905CDE" w:rsidP="00905CDE">
            <w:pPr>
              <w:pStyle w:val="ListBullet2"/>
            </w:pPr>
            <w:r w:rsidRPr="00905CDE">
              <w:t>air passage inflammation</w:t>
            </w:r>
          </w:p>
          <w:p w:rsidR="00000000" w:rsidRPr="00905CDE" w:rsidP="00905CDE">
            <w:pPr>
              <w:pStyle w:val="ListBullet2"/>
            </w:pPr>
            <w:r w:rsidRPr="00905CDE">
              <w:t>equine influenza</w:t>
            </w:r>
          </w:p>
          <w:p w:rsidR="00000000" w:rsidRPr="00905CDE" w:rsidP="00905CDE">
            <w:pPr>
              <w:pStyle w:val="ListBullet2"/>
            </w:pPr>
            <w:r w:rsidRPr="00905CDE">
              <w:t>heaves</w:t>
            </w:r>
          </w:p>
          <w:p w:rsidR="00000000" w:rsidRPr="00905CDE" w:rsidP="00905CDE">
            <w:pPr>
              <w:pStyle w:val="ListBullet2"/>
            </w:pPr>
            <w:r w:rsidRPr="00905CDE">
              <w:t>pneumonia</w:t>
            </w:r>
          </w:p>
          <w:p w:rsidR="00000000" w:rsidRPr="00905CDE" w:rsidP="00905CDE">
            <w:pPr>
              <w:pStyle w:val="ListBullet2"/>
            </w:pPr>
            <w:r w:rsidRPr="00905CDE">
              <w:t>roaring</w:t>
            </w:r>
          </w:p>
          <w:p w:rsidR="00000000" w:rsidRPr="00905CDE" w:rsidP="00905CDE">
            <w:pPr>
              <w:pStyle w:val="ListBullet2"/>
            </w:pPr>
            <w:r w:rsidRPr="00905CDE">
              <w:t>strangles</w:t>
            </w:r>
          </w:p>
          <w:p w:rsidR="00000000" w:rsidRPr="00905CDE" w:rsidP="00905CDE">
            <w:pPr>
              <w:pStyle w:val="ListBullet"/>
            </w:pPr>
            <w:r w:rsidRPr="00905CDE">
              <w:t>circulatory system, including:</w:t>
            </w:r>
          </w:p>
          <w:p w:rsidR="00000000" w:rsidRPr="00905CDE" w:rsidP="00905CDE">
            <w:pPr>
              <w:pStyle w:val="ListBullet2"/>
            </w:pPr>
            <w:r w:rsidRPr="00905CDE">
              <w:t>cardiac abnormalities</w:t>
            </w:r>
          </w:p>
          <w:p w:rsidR="00000000" w:rsidRPr="00905CDE" w:rsidP="00905CDE">
            <w:pPr>
              <w:pStyle w:val="ListBullet2"/>
            </w:pPr>
            <w:r w:rsidRPr="00905CDE">
              <w:t>epistaxis</w:t>
            </w:r>
          </w:p>
          <w:p w:rsidR="00000000" w:rsidRPr="00905CDE" w:rsidP="00905CDE">
            <w:pPr>
              <w:pStyle w:val="ListBullet2"/>
            </w:pPr>
            <w:r w:rsidRPr="00905CDE">
              <w:t>myocardial disease</w:t>
            </w:r>
          </w:p>
          <w:p w:rsidR="00000000" w:rsidRPr="00905CDE" w:rsidP="00905CDE">
            <w:pPr>
              <w:pStyle w:val="ListBullet"/>
            </w:pPr>
            <w:r w:rsidRPr="00905CDE">
              <w:t>digestive system, including:</w:t>
            </w:r>
          </w:p>
          <w:p w:rsidR="00000000" w:rsidRPr="00905CDE" w:rsidP="00905CDE">
            <w:pPr>
              <w:pStyle w:val="ListBullet2"/>
            </w:pPr>
            <w:r w:rsidRPr="00905CDE">
              <w:t>botulism</w:t>
            </w:r>
          </w:p>
          <w:p w:rsidR="00000000" w:rsidRPr="00905CDE" w:rsidP="00905CDE">
            <w:pPr>
              <w:pStyle w:val="ListBullet2"/>
            </w:pPr>
            <w:r w:rsidRPr="00905CDE">
              <w:t>colic</w:t>
            </w:r>
          </w:p>
          <w:p w:rsidR="00000000" w:rsidRPr="00905CDE" w:rsidP="00905CDE">
            <w:pPr>
              <w:pStyle w:val="ListBullet2"/>
            </w:pPr>
            <w:r w:rsidRPr="00905CDE">
              <w:t>colitis x</w:t>
            </w:r>
          </w:p>
          <w:p w:rsidR="00000000" w:rsidRPr="00905CDE" w:rsidP="00905CDE">
            <w:pPr>
              <w:pStyle w:val="ListBullet2"/>
            </w:pPr>
            <w:r w:rsidRPr="00905CDE">
              <w:t>dysphagia</w:t>
            </w:r>
          </w:p>
          <w:p w:rsidR="00000000" w:rsidRPr="00905CDE" w:rsidP="00905CDE">
            <w:pPr>
              <w:pStyle w:val="ListBullet2"/>
            </w:pPr>
            <w:r w:rsidRPr="00905CDE">
              <w:t>enteritis</w:t>
            </w:r>
          </w:p>
          <w:p w:rsidR="00000000" w:rsidP="00905CDE">
            <w:pPr>
              <w:pStyle w:val="ListBullet2"/>
              <w:rPr>
                <w:lang w:val="en-NZ"/>
              </w:rPr>
            </w:pPr>
            <w:r w:rsidRPr="00905CDE">
              <w:t>hepatitis.</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BoldandItalics"/>
              </w:rPr>
              <w:t>Healing processes</w:t>
            </w:r>
            <w:r w:rsidRPr="00905CDE">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blood vessels</w:t>
            </w:r>
          </w:p>
          <w:p w:rsidR="00000000" w:rsidRPr="00905CDE" w:rsidP="00905CDE">
            <w:pPr>
              <w:pStyle w:val="ListBullet"/>
            </w:pPr>
            <w:r w:rsidRPr="00905CDE">
              <w:t>cartilage and bone</w:t>
            </w:r>
          </w:p>
          <w:p w:rsidR="00000000" w:rsidRPr="00905CDE" w:rsidP="00905CDE">
            <w:pPr>
              <w:pStyle w:val="ListBullet"/>
            </w:pPr>
            <w:r w:rsidRPr="00905CDE">
              <w:t>connective tissue</w:t>
            </w:r>
          </w:p>
          <w:p w:rsidR="00000000" w:rsidRPr="00905CDE" w:rsidP="00905CDE">
            <w:pPr>
              <w:pStyle w:val="ListBullet"/>
            </w:pPr>
            <w:r w:rsidRPr="00905CDE">
              <w:t>muscle tissue</w:t>
            </w:r>
          </w:p>
          <w:p w:rsidR="00000000" w:rsidRPr="00905CDE" w:rsidP="00905CDE">
            <w:pPr>
              <w:pStyle w:val="ListBullet"/>
            </w:pPr>
            <w:r w:rsidRPr="00905CDE">
              <w:t>nerves</w:t>
            </w:r>
          </w:p>
          <w:p w:rsidR="00000000" w:rsidP="00905CDE">
            <w:pPr>
              <w:pStyle w:val="ListBullet"/>
              <w:rPr>
                <w:lang w:val="en-NZ"/>
              </w:rPr>
            </w:pPr>
            <w:r w:rsidRPr="00905CDE">
              <w:t>skin and mucosal membrane.</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BoldandItalics"/>
              </w:rPr>
              <w:t>Medications</w:t>
            </w:r>
            <w:r w:rsidRPr="00905CDE">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anabolic steroids</w:t>
            </w:r>
          </w:p>
          <w:p w:rsidR="00000000" w:rsidRPr="00905CDE" w:rsidP="00905CDE">
            <w:pPr>
              <w:pStyle w:val="ListBullet"/>
            </w:pPr>
            <w:r w:rsidRPr="00905CDE">
              <w:t>antibiotics</w:t>
            </w:r>
          </w:p>
          <w:p w:rsidR="00000000" w:rsidRPr="00905CDE" w:rsidP="00905CDE">
            <w:pPr>
              <w:pStyle w:val="ListBullet"/>
            </w:pPr>
            <w:r w:rsidRPr="00905CDE">
              <w:t>anti-inflammatories</w:t>
            </w:r>
          </w:p>
          <w:p w:rsidR="00000000" w:rsidRPr="00905CDE" w:rsidP="00905CDE">
            <w:pPr>
              <w:pStyle w:val="ListBullet"/>
            </w:pPr>
            <w:r w:rsidRPr="00905CDE">
              <w:t>bronchodilators</w:t>
            </w:r>
          </w:p>
          <w:p w:rsidR="00000000" w:rsidRPr="00905CDE" w:rsidP="00905CDE">
            <w:pPr>
              <w:pStyle w:val="ListBullet"/>
            </w:pPr>
            <w:r w:rsidRPr="00905CDE">
              <w:t>hormones</w:t>
            </w:r>
          </w:p>
          <w:p w:rsidR="00000000" w:rsidRPr="00905CDE" w:rsidP="00905CDE">
            <w:pPr>
              <w:pStyle w:val="ListBullet"/>
            </w:pPr>
            <w:r w:rsidRPr="00905CDE">
              <w:t>injections:</w:t>
            </w:r>
          </w:p>
          <w:p w:rsidR="00000000" w:rsidRPr="00905CDE" w:rsidP="00905CDE">
            <w:pPr>
              <w:pStyle w:val="ListBullet2"/>
            </w:pPr>
            <w:r w:rsidRPr="00905CDE">
              <w:t>intra-articular</w:t>
            </w:r>
          </w:p>
          <w:p w:rsidR="00000000" w:rsidRPr="00905CDE" w:rsidP="00905CDE">
            <w:pPr>
              <w:pStyle w:val="ListBullet2"/>
            </w:pPr>
            <w:r w:rsidRPr="00905CDE">
              <w:t>intramuscular</w:t>
            </w:r>
          </w:p>
          <w:p w:rsidR="00000000" w:rsidRPr="00905CDE" w:rsidP="00905CDE">
            <w:pPr>
              <w:pStyle w:val="ListBullet2"/>
            </w:pPr>
            <w:r w:rsidRPr="00905CDE">
              <w:t>intravenous</w:t>
            </w:r>
          </w:p>
          <w:p w:rsidR="00000000" w:rsidRPr="00905CDE" w:rsidP="00905CDE">
            <w:pPr>
              <w:pStyle w:val="ListBullet2"/>
            </w:pPr>
            <w:r w:rsidRPr="00905CDE">
              <w:t>subcutaneous</w:t>
            </w:r>
          </w:p>
          <w:p w:rsidR="00000000" w:rsidRPr="00905CDE" w:rsidP="00905CDE">
            <w:pPr>
              <w:pStyle w:val="ListBullet"/>
            </w:pPr>
            <w:r w:rsidRPr="00905CDE">
              <w:t>muscle relaxants</w:t>
            </w:r>
          </w:p>
          <w:p w:rsidR="00000000" w:rsidRPr="00905CDE" w:rsidP="00905CDE">
            <w:pPr>
              <w:pStyle w:val="ListBullet"/>
            </w:pPr>
            <w:r w:rsidRPr="00905CDE">
              <w:t>poultices</w:t>
            </w:r>
          </w:p>
          <w:p w:rsidR="00000000" w:rsidRPr="00905CDE" w:rsidP="00905CDE">
            <w:pPr>
              <w:pStyle w:val="ListBullet"/>
            </w:pPr>
            <w:r w:rsidRPr="00905CDE">
              <w:t>sedatives</w:t>
            </w:r>
          </w:p>
          <w:p w:rsidR="00000000" w:rsidRPr="00905CDE" w:rsidP="00905CDE">
            <w:pPr>
              <w:pStyle w:val="ListBullet"/>
            </w:pPr>
            <w:r w:rsidRPr="00905CDE">
              <w:t>vasodilators</w:t>
            </w:r>
          </w:p>
          <w:p w:rsidR="00000000" w:rsidP="00905CDE">
            <w:pPr>
              <w:pStyle w:val="ListBullet"/>
              <w:rPr>
                <w:lang w:val="en-NZ"/>
              </w:rPr>
            </w:pPr>
            <w:r w:rsidRPr="00905CDE">
              <w:t>vitamins.</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BoldandItalics"/>
              </w:rPr>
              <w:t>Therapies</w:t>
            </w:r>
            <w:r w:rsidRPr="00905CDE">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acupuncture</w:t>
            </w:r>
          </w:p>
          <w:p w:rsidR="00000000" w:rsidRPr="00905CDE" w:rsidP="00905CDE">
            <w:pPr>
              <w:pStyle w:val="ListBullet"/>
            </w:pPr>
            <w:r w:rsidRPr="00905CDE">
              <w:t>bandaging</w:t>
            </w:r>
          </w:p>
          <w:p w:rsidR="00000000" w:rsidRPr="00905CDE" w:rsidP="00905CDE">
            <w:pPr>
              <w:pStyle w:val="ListBullet"/>
            </w:pPr>
            <w:r w:rsidRPr="00905CDE">
              <w:t>chiropractic</w:t>
            </w:r>
          </w:p>
          <w:p w:rsidR="00000000" w:rsidRPr="00905CDE" w:rsidP="00905CDE">
            <w:pPr>
              <w:pStyle w:val="ListBullet"/>
            </w:pPr>
            <w:r w:rsidRPr="00905CDE">
              <w:t>counter irritation</w:t>
            </w:r>
          </w:p>
          <w:p w:rsidR="00000000" w:rsidRPr="00905CDE" w:rsidP="00905CDE">
            <w:pPr>
              <w:pStyle w:val="ListBullet"/>
            </w:pPr>
            <w:r w:rsidRPr="00905CDE">
              <w:t>electromagnetic</w:t>
            </w:r>
          </w:p>
          <w:p w:rsidR="00000000" w:rsidRPr="00905CDE" w:rsidP="00905CDE">
            <w:pPr>
              <w:pStyle w:val="ListBullet"/>
            </w:pPr>
            <w:r w:rsidRPr="00905CDE">
              <w:t>exercise, for example walking or swimming</w:t>
            </w:r>
          </w:p>
          <w:p w:rsidR="00000000" w:rsidRPr="00905CDE" w:rsidP="00905CDE">
            <w:pPr>
              <w:pStyle w:val="ListBullet"/>
            </w:pPr>
            <w:r w:rsidRPr="00905CDE">
              <w:t>hydrotherapy</w:t>
            </w:r>
          </w:p>
          <w:p w:rsidR="00000000" w:rsidRPr="00905CDE" w:rsidP="00905CDE">
            <w:pPr>
              <w:pStyle w:val="ListBullet"/>
            </w:pPr>
            <w:r w:rsidRPr="00905CDE">
              <w:t>ice and heat</w:t>
            </w:r>
          </w:p>
          <w:p w:rsidR="00000000" w:rsidRPr="00905CDE" w:rsidP="00905CDE">
            <w:pPr>
              <w:pStyle w:val="ListBullet"/>
            </w:pPr>
            <w:r w:rsidRPr="00905CDE">
              <w:t>immobilisation</w:t>
            </w:r>
          </w:p>
          <w:p w:rsidR="00000000" w:rsidRPr="00905CDE" w:rsidP="00905CDE">
            <w:pPr>
              <w:pStyle w:val="ListBullet"/>
            </w:pPr>
            <w:r w:rsidRPr="00905CDE">
              <w:t>laser</w:t>
            </w:r>
          </w:p>
          <w:p w:rsidR="00000000" w:rsidRPr="00905CDE" w:rsidP="00905CDE">
            <w:pPr>
              <w:pStyle w:val="ListBullet"/>
            </w:pPr>
            <w:r w:rsidRPr="00905CDE">
              <w:t>magnetic</w:t>
            </w:r>
          </w:p>
          <w:p w:rsidR="00000000" w:rsidRPr="00905CDE" w:rsidP="00905CDE">
            <w:pPr>
              <w:pStyle w:val="ListBullet"/>
            </w:pPr>
            <w:r w:rsidRPr="00905CDE">
              <w:t>massage</w:t>
            </w:r>
          </w:p>
          <w:p w:rsidR="00000000" w:rsidRPr="00905CDE" w:rsidP="00905CDE">
            <w:pPr>
              <w:pStyle w:val="ListBullet"/>
            </w:pPr>
            <w:r w:rsidRPr="00905CDE">
              <w:t>pharmaceutical</w:t>
            </w:r>
          </w:p>
          <w:p w:rsidR="00000000" w:rsidRPr="00905CDE" w:rsidP="00905CDE">
            <w:pPr>
              <w:pStyle w:val="ListBullet"/>
            </w:pPr>
            <w:r w:rsidRPr="00905CDE">
              <w:t>rest</w:t>
            </w:r>
          </w:p>
          <w:p w:rsidR="00000000" w:rsidP="00905CDE">
            <w:pPr>
              <w:pStyle w:val="ListBullet"/>
              <w:rPr>
                <w:lang w:val="en-NZ"/>
              </w:rPr>
            </w:pPr>
            <w:r w:rsidRPr="00905CDE">
              <w:t>ultrasound.</w:t>
            </w:r>
          </w:p>
        </w:tc>
      </w:tr>
      <w:tr w:rsidTr="008A7680">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BoldandItalics"/>
              </w:rPr>
              <w:t>Directions</w:t>
            </w:r>
            <w:r w:rsidRPr="00905CDE">
              <w:t xml:space="preserve"> related to care and treatment of racehorses will include: </w:t>
            </w:r>
          </w:p>
        </w:tc>
        <w:tc>
          <w:tcPr>
            <w:tcW w:w="5086" w:type="dxa"/>
            <w:tcBorders>
              <w:top w:val="nil"/>
              <w:left w:val="nil"/>
              <w:bottom w:val="nil"/>
              <w:right w:val="nil"/>
            </w:tcBorders>
            <w:tcMar>
              <w:top w:w="0" w:type="dxa"/>
              <w:left w:w="62" w:type="dxa"/>
              <w:bottom w:w="0" w:type="dxa"/>
              <w:right w:w="62" w:type="dxa"/>
            </w:tcMar>
          </w:tcPr>
          <w:p w:rsidR="00000000" w:rsidRPr="00905CDE" w:rsidP="00905CDE">
            <w:pPr>
              <w:pStyle w:val="ListBullet"/>
            </w:pPr>
            <w:r w:rsidRPr="00905CDE">
              <w:t>adhering to rules of racing in administration of treatments</w:t>
            </w:r>
          </w:p>
          <w:p w:rsidR="00000000" w:rsidRPr="00905CDE" w:rsidP="00905CDE">
            <w:pPr>
              <w:pStyle w:val="ListBullet"/>
            </w:pPr>
            <w:r w:rsidRPr="00905CDE">
              <w:t>adhering to medication material safety data sheet directions</w:t>
            </w:r>
          </w:p>
          <w:p w:rsidR="00000000" w:rsidRPr="00905CDE" w:rsidP="00905CDE">
            <w:pPr>
              <w:pStyle w:val="ListBullet"/>
            </w:pPr>
            <w:r w:rsidRPr="00905CDE">
              <w:t>administering prescribed treatments</w:t>
            </w:r>
          </w:p>
          <w:p w:rsidR="00000000" w:rsidRPr="00905CDE" w:rsidP="00905CDE">
            <w:pPr>
              <w:pStyle w:val="ListBullet"/>
            </w:pPr>
            <w:r w:rsidRPr="00905CDE">
              <w:t>advice from veterinary surgeons, farriers or other horse health specialists.</w:t>
            </w:r>
          </w:p>
        </w:tc>
      </w:tr>
    </w:tbl>
    <w:p w:rsidR="008A7680" w:rsidP="00905CDE">
      <w:pPr>
        <w:pStyle w:val="BodyText"/>
      </w:pPr>
    </w:p>
    <w:p w:rsidR="008A7680" w:rsidP="00905CDE">
      <w:pPr>
        <w:pStyle w:val="BodyText"/>
      </w:pPr>
    </w:p>
    <w:p w:rsidR="00000000" w:rsidRPr="00905CDE" w:rsidP="00905CDE">
      <w:pPr>
        <w:pStyle w:val="Heading1"/>
      </w:pPr>
      <w:bookmarkStart w:id="12" w:name="O_216931"/>
      <w:bookmarkEnd w:id="12"/>
      <w:r w:rsidRPr="00905CDE">
        <w:t>Unit Sector(s)</w:t>
      </w:r>
    </w:p>
    <w:tbl>
      <w:tblPr>
        <w:tblW w:w="0" w:type="auto"/>
        <w:tblLayout w:type="fixed"/>
        <w:tblCellMar>
          <w:left w:w="62" w:type="dxa"/>
          <w:right w:w="62" w:type="dxa"/>
        </w:tblCellMar>
        <w:tblLook w:val="0000"/>
      </w:tblPr>
      <w:tblGrid>
        <w:gridCol w:w="2616"/>
        <w:gridCol w:w="5906"/>
      </w:tblGrid>
      <w:tr w:rsidTr="008A7680">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Harness and thoroughbred racing codes</w:t>
            </w:r>
          </w:p>
        </w:tc>
      </w:tr>
    </w:tbl>
    <w:p w:rsidR="008A7680" w:rsidP="00905CDE">
      <w:pPr>
        <w:pStyle w:val="BodyText"/>
      </w:pPr>
    </w:p>
    <w:p w:rsidR="008A7680" w:rsidP="00905CDE">
      <w:pPr>
        <w:pStyle w:val="BodyText"/>
      </w:pPr>
    </w:p>
    <w:p w:rsidR="00000000" w:rsidRPr="00905CDE" w:rsidP="00905CDE">
      <w:pPr>
        <w:pStyle w:val="Heading1"/>
      </w:pPr>
      <w:bookmarkStart w:id="13" w:name="O_216928"/>
      <w:bookmarkEnd w:id="13"/>
      <w:r w:rsidRPr="00905CDE">
        <w:t>Co-requisite units</w:t>
      </w:r>
    </w:p>
    <w:tbl>
      <w:tblPr>
        <w:tblW w:w="0" w:type="auto"/>
        <w:tblLayout w:type="fixed"/>
        <w:tblCellMar>
          <w:left w:w="62" w:type="dxa"/>
          <w:right w:w="62" w:type="dxa"/>
        </w:tblCellMar>
        <w:tblLook w:val="0000"/>
      </w:tblPr>
      <w:tblGrid>
        <w:gridCol w:w="2641"/>
        <w:gridCol w:w="1322"/>
        <w:gridCol w:w="4559"/>
      </w:tblGrid>
      <w:tr w:rsidTr="008A768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05CDE">
            <w:pPr>
              <w:pStyle w:val="BodyText"/>
              <w:rPr>
                <w:lang w:val="en-NZ"/>
              </w:rPr>
            </w:pPr>
          </w:p>
        </w:tc>
      </w:tr>
      <w:tr w:rsidTr="008A768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p>
        </w:tc>
      </w:tr>
      <w:tr w:rsidTr="008A768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05CDE" w:rsidP="00905CDE">
            <w:pPr>
              <w:pStyle w:val="BodyText"/>
            </w:pPr>
          </w:p>
        </w:tc>
      </w:tr>
    </w:tbl>
    <w:p w:rsidR="008A7680" w:rsidP="00905CDE">
      <w:pPr>
        <w:pStyle w:val="BodyText"/>
      </w:pPr>
    </w:p>
    <w:p w:rsidR="008A7680" w:rsidP="00905CDE">
      <w:pPr>
        <w:pStyle w:val="BodyText"/>
      </w:pPr>
    </w:p>
    <w:p w:rsidR="00000000" w:rsidRPr="00905CDE" w:rsidP="00905CDE">
      <w:pPr>
        <w:pStyle w:val="Heading1"/>
      </w:pPr>
      <w:bookmarkStart w:id="14" w:name="O_216930"/>
      <w:bookmarkEnd w:id="14"/>
      <w:r w:rsidRPr="00905CDE">
        <w:t>Functional Area</w:t>
      </w:r>
    </w:p>
    <w:tbl>
      <w:tblPr>
        <w:tblW w:w="0" w:type="auto"/>
        <w:tblLayout w:type="fixed"/>
        <w:tblCellMar>
          <w:left w:w="62" w:type="dxa"/>
          <w:right w:w="62" w:type="dxa"/>
        </w:tblCellMar>
        <w:tblLook w:val="0000"/>
      </w:tblPr>
      <w:tblGrid>
        <w:gridCol w:w="2736"/>
        <w:gridCol w:w="5786"/>
      </w:tblGrid>
      <w:tr w:rsidTr="008A768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05CDE">
            <w:pPr>
              <w:pStyle w:val="BodyText"/>
              <w:rPr>
                <w:lang w:val="en-NZ"/>
              </w:rPr>
            </w:pPr>
            <w:r w:rsidRPr="00905CDE">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05CDE" w:rsidP="00905CDE">
            <w:pPr>
              <w:pStyle w:val="BodyText"/>
            </w:pPr>
            <w:r w:rsidRPr="00905CDE">
              <w:t>Racing performance services</w:t>
            </w:r>
          </w:p>
        </w:tc>
      </w:tr>
    </w:tbl>
    <w:p w:rsidR="008A7680" w:rsidP="00905CDE">
      <w:pPr>
        <w:pStyle w:val="BodyText"/>
      </w:pPr>
    </w:p>
    <w:p w:rsidR="008A7680" w:rsidP="00905CDE">
      <w:pPr>
        <w:pStyle w:val="BodyText"/>
      </w:pPr>
    </w:p>
    <w:p w:rsidR="00000000" w:rsidRPr="00905CDE" w:rsidP="00905CDE"/>
    <w:sectPr w:rsidSect="00905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680" w:rsidP="008A76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80" w:rsidP="00905C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A7680" w:rsidP="00905C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7680" w:rsidP="00905C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DE" w:rsidRPr="008A7680" w:rsidP="008A76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80" w:rsidRPr="002D2AF8" w:rsidP="00905CDE">
    <w:pPr>
      <w:pStyle w:val="Header"/>
      <w:framePr w:wrap="around"/>
    </w:pPr>
    <w:r>
      <w:fldChar w:fldCharType="begin"/>
    </w:r>
    <w:r>
      <w:instrText xml:space="preserve"> TITLE   \* MERGEFORMAT </w:instrText>
    </w:r>
    <w:r>
      <w:fldChar w:fldCharType="separate"/>
    </w:r>
    <w:r>
      <w:t>RGRPSH401A Relate anatomical and physiological features to the care and treatment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7680" w:rsidP="00905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49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66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EB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CDE"/>
    <w:pPr>
      <w:spacing w:before="360" w:after="60"/>
      <w:outlineLvl w:val="0"/>
    </w:pPr>
    <w:rPr>
      <w:sz w:val="32"/>
    </w:rPr>
  </w:style>
  <w:style w:type="paragraph" w:styleId="Heading2">
    <w:name w:val="heading 2"/>
    <w:basedOn w:val="HeadingBase"/>
    <w:next w:val="BodyText"/>
    <w:link w:val="Heading2Char"/>
    <w:qFormat/>
    <w:rsid w:val="00905CDE"/>
    <w:pPr>
      <w:keepLines/>
      <w:spacing w:before="240" w:after="120"/>
      <w:outlineLvl w:val="1"/>
    </w:pPr>
    <w:rPr>
      <w:sz w:val="28"/>
      <w:szCs w:val="40"/>
    </w:rPr>
  </w:style>
  <w:style w:type="paragraph" w:styleId="Heading3">
    <w:name w:val="heading 3"/>
    <w:basedOn w:val="HeadingBase"/>
    <w:next w:val="BodyText"/>
    <w:link w:val="Heading3Char"/>
    <w:qFormat/>
    <w:rsid w:val="00905CDE"/>
    <w:pPr>
      <w:spacing w:before="180" w:after="120"/>
      <w:outlineLvl w:val="2"/>
    </w:pPr>
    <w:rPr>
      <w:spacing w:val="-10"/>
      <w:kern w:val="32"/>
    </w:rPr>
  </w:style>
  <w:style w:type="paragraph" w:styleId="Heading4">
    <w:name w:val="heading 4"/>
    <w:basedOn w:val="HeadingBase"/>
    <w:next w:val="BodyText"/>
    <w:link w:val="Heading4Char"/>
    <w:qFormat/>
    <w:rsid w:val="00905CDE"/>
    <w:pPr>
      <w:spacing w:before="160" w:after="120"/>
      <w:outlineLvl w:val="3"/>
    </w:pPr>
    <w:rPr>
      <w:sz w:val="22"/>
    </w:rPr>
  </w:style>
  <w:style w:type="paragraph" w:styleId="Heading5">
    <w:name w:val="heading 5"/>
    <w:basedOn w:val="HeadingBase"/>
    <w:next w:val="Normal"/>
    <w:link w:val="Heading5Char"/>
    <w:qFormat/>
    <w:rsid w:val="00905CDE"/>
    <w:pPr>
      <w:spacing w:before="80"/>
      <w:outlineLvl w:val="4"/>
    </w:pPr>
    <w:rPr>
      <w:color w:val="918585"/>
      <w:sz w:val="20"/>
    </w:rPr>
  </w:style>
  <w:style w:type="paragraph" w:styleId="Heading6">
    <w:name w:val="heading 6"/>
    <w:basedOn w:val="HeadingBase"/>
    <w:next w:val="Normal"/>
    <w:link w:val="Heading6Char"/>
    <w:qFormat/>
    <w:rsid w:val="00905CDE"/>
    <w:pPr>
      <w:spacing w:before="60"/>
      <w:outlineLvl w:val="5"/>
    </w:pPr>
    <w:rPr>
      <w:color w:val="918585"/>
      <w:sz w:val="20"/>
    </w:rPr>
  </w:style>
  <w:style w:type="paragraph" w:styleId="Heading7">
    <w:name w:val="heading 7"/>
    <w:basedOn w:val="Normal"/>
    <w:next w:val="Normal"/>
    <w:link w:val="Heading7Char"/>
    <w:qFormat/>
    <w:rsid w:val="00905CDE"/>
    <w:pPr>
      <w:ind w:left="720"/>
      <w:outlineLvl w:val="6"/>
    </w:pPr>
    <w:rPr>
      <w:i/>
    </w:rPr>
  </w:style>
  <w:style w:type="paragraph" w:styleId="Heading8">
    <w:name w:val="heading 8"/>
    <w:basedOn w:val="Normal"/>
    <w:next w:val="Normal"/>
    <w:link w:val="Heading8Char"/>
    <w:qFormat/>
    <w:rsid w:val="00905CDE"/>
    <w:pPr>
      <w:ind w:left="720"/>
      <w:outlineLvl w:val="7"/>
    </w:pPr>
    <w:rPr>
      <w:i/>
    </w:rPr>
  </w:style>
  <w:style w:type="paragraph" w:styleId="Heading9">
    <w:name w:val="heading 9"/>
    <w:basedOn w:val="Normal"/>
    <w:next w:val="Normal"/>
    <w:link w:val="Heading9Char"/>
    <w:qFormat/>
    <w:rsid w:val="00905CDE"/>
    <w:pPr>
      <w:ind w:left="720"/>
      <w:outlineLvl w:val="8"/>
    </w:pPr>
    <w:rPr>
      <w:i/>
    </w:rPr>
  </w:style>
  <w:style w:type="character" w:default="1" w:styleId="DefaultParagraphFont">
    <w:name w:val="Default Paragraph Font"/>
    <w:uiPriority w:val="1"/>
    <w:unhideWhenUsed/>
    <w:rsid w:val="00905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CDE"/>
  </w:style>
  <w:style w:type="character" w:customStyle="1" w:styleId="Heading1Char">
    <w:name w:val="Heading 1 Char"/>
    <w:basedOn w:val="DefaultParagraphFont"/>
    <w:link w:val="Heading1"/>
    <w:rsid w:val="00905CDE"/>
    <w:rPr>
      <w:rFonts w:ascii="Times New Roman" w:eastAsia="Times New Roman" w:hAnsi="Times New Roman" w:cs="Times New Roman"/>
      <w:b/>
      <w:sz w:val="32"/>
      <w:szCs w:val="20"/>
      <w:lang w:eastAsia="en-US"/>
    </w:rPr>
  </w:style>
  <w:style w:type="paragraph" w:styleId="BodyText">
    <w:name w:val="Body Text"/>
    <w:basedOn w:val="Normal"/>
    <w:link w:val="BodyTextChar"/>
    <w:rsid w:val="00905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CDE"/>
    <w:rPr>
      <w:rFonts w:ascii="Times New Roman" w:eastAsia="Times New Roman" w:hAnsi="Times New Roman" w:cs="Times New Roman"/>
      <w:sz w:val="24"/>
      <w:lang w:eastAsia="en-US"/>
    </w:rPr>
  </w:style>
  <w:style w:type="paragraph" w:styleId="Footer">
    <w:name w:val="footer"/>
    <w:basedOn w:val="Normal"/>
    <w:link w:val="FooterChar"/>
    <w:rsid w:val="00905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CDE"/>
    <w:rPr>
      <w:rFonts w:ascii="Times New Roman" w:eastAsia="Times New Roman" w:hAnsi="Times New Roman" w:cs="Times New Roman"/>
      <w:sz w:val="16"/>
      <w:lang w:eastAsia="en-US"/>
    </w:rPr>
  </w:style>
  <w:style w:type="paragraph" w:styleId="List">
    <w:name w:val="List"/>
    <w:basedOn w:val="BodyText"/>
    <w:next w:val="BodyText"/>
    <w:rsid w:val="00905CDE"/>
    <w:pPr>
      <w:tabs>
        <w:tab w:val="left" w:pos="340"/>
      </w:tabs>
      <w:spacing w:before="60" w:after="60"/>
      <w:ind w:left="340" w:hanging="340"/>
    </w:pPr>
  </w:style>
  <w:style w:type="paragraph" w:styleId="ListBullet">
    <w:name w:val="List Bullet"/>
    <w:basedOn w:val="List"/>
    <w:rsid w:val="00905CDE"/>
    <w:pPr>
      <w:numPr>
        <w:numId w:val="13"/>
      </w:numPr>
      <w:tabs>
        <w:tab w:val="clear" w:pos="340"/>
      </w:tabs>
      <w:spacing w:before="40" w:after="40"/>
    </w:pPr>
  </w:style>
  <w:style w:type="character" w:customStyle="1" w:styleId="SpecialBold">
    <w:name w:val="Special Bold"/>
    <w:basedOn w:val="DefaultParagraphFont"/>
    <w:rsid w:val="00905CDE"/>
    <w:rPr>
      <w:b/>
      <w:spacing w:val="0"/>
    </w:rPr>
  </w:style>
  <w:style w:type="paragraph" w:styleId="ListBullet2">
    <w:name w:val="List Bullet 2"/>
    <w:basedOn w:val="List2"/>
    <w:rsid w:val="00905CDE"/>
    <w:pPr>
      <w:numPr>
        <w:numId w:val="14"/>
      </w:numPr>
      <w:tabs>
        <w:tab w:val="clear" w:pos="680"/>
      </w:tabs>
    </w:pPr>
  </w:style>
  <w:style w:type="paragraph" w:customStyle="1" w:styleId="SuperHeading">
    <w:name w:val="SuperHeading"/>
    <w:basedOn w:val="Normal"/>
    <w:rsid w:val="00905CDE"/>
    <w:pPr>
      <w:spacing w:before="240" w:after="120"/>
      <w:outlineLvl w:val="0"/>
    </w:pPr>
    <w:rPr>
      <w:rFonts w:ascii="Times New Roman" w:hAnsi="Times New Roman"/>
      <w:b/>
      <w:sz w:val="28"/>
    </w:rPr>
  </w:style>
  <w:style w:type="paragraph" w:customStyle="1" w:styleId="AllowPageBreak">
    <w:name w:val="AllowPageBreak"/>
    <w:rsid w:val="00905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5CDE"/>
    <w:rPr>
      <w:b/>
      <w:i/>
      <w:u w:val="none"/>
    </w:rPr>
  </w:style>
  <w:style w:type="character" w:customStyle="1" w:styleId="Heading2Char">
    <w:name w:val="Heading 2 Char"/>
    <w:basedOn w:val="DefaultParagraphFont"/>
    <w:link w:val="Heading2"/>
    <w:rsid w:val="00905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CDE"/>
    <w:rPr>
      <w:rFonts w:ascii="Courier New" w:eastAsia="Times New Roman" w:hAnsi="Courier New" w:cs="Times New Roman"/>
      <w:i/>
      <w:szCs w:val="20"/>
      <w:lang w:eastAsia="en-US"/>
    </w:rPr>
  </w:style>
  <w:style w:type="paragraph" w:customStyle="1" w:styleId="HeadingBase">
    <w:name w:val="Heading Base"/>
    <w:rsid w:val="00905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CDE"/>
    <w:pPr>
      <w:tabs>
        <w:tab w:val="right" w:leader="dot" w:pos="9072"/>
      </w:tabs>
      <w:ind w:left="567"/>
    </w:pPr>
    <w:rPr>
      <w:szCs w:val="22"/>
    </w:rPr>
  </w:style>
  <w:style w:type="paragraph" w:customStyle="1" w:styleId="TOCBase">
    <w:name w:val="TOC Base"/>
    <w:rsid w:val="00905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CDE"/>
    <w:pPr>
      <w:tabs>
        <w:tab w:val="right" w:leader="dot" w:pos="9072"/>
      </w:tabs>
      <w:spacing w:before="40" w:after="40"/>
      <w:ind w:left="284"/>
    </w:pPr>
    <w:rPr>
      <w:rFonts w:ascii="Times New Roman" w:hAnsi="Times New Roman"/>
    </w:rPr>
  </w:style>
  <w:style w:type="paragraph" w:styleId="TOC1">
    <w:name w:val="toc 1"/>
    <w:basedOn w:val="TOCBase"/>
    <w:next w:val="Normal"/>
    <w:rsid w:val="00905C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CDE"/>
    <w:pPr>
      <w:spacing w:before="5040"/>
      <w:jc w:val="center"/>
    </w:pPr>
    <w:rPr>
      <w:sz w:val="48"/>
      <w:szCs w:val="72"/>
      <w:lang w:val="en-US"/>
    </w:rPr>
  </w:style>
  <w:style w:type="character" w:customStyle="1" w:styleId="TitleChar">
    <w:name w:val="Title Char"/>
    <w:basedOn w:val="DefaultParagraphFont"/>
    <w:link w:val="Title"/>
    <w:rsid w:val="00905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CDE"/>
    <w:pPr>
      <w:tabs>
        <w:tab w:val="left" w:pos="3600"/>
        <w:tab w:val="left" w:pos="3958"/>
      </w:tabs>
    </w:pPr>
  </w:style>
  <w:style w:type="paragraph" w:customStyle="1" w:styleId="Note">
    <w:name w:val="Note"/>
    <w:basedOn w:val="BodyText"/>
    <w:rsid w:val="00905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CDE"/>
    <w:pPr>
      <w:framePr w:wrap="auto" w:hAnchor="text" w:y="6049"/>
    </w:pPr>
    <w:rPr>
      <w:color w:val="000000"/>
      <w:sz w:val="40"/>
    </w:rPr>
  </w:style>
  <w:style w:type="paragraph" w:customStyle="1" w:styleId="TOCTitle">
    <w:name w:val="TOCTitle"/>
    <w:basedOn w:val="Heading1"/>
    <w:rsid w:val="00905CDE"/>
    <w:pPr>
      <w:spacing w:after="240"/>
      <w:jc w:val="center"/>
      <w:outlineLvl w:val="9"/>
    </w:pPr>
    <w:rPr>
      <w:caps/>
    </w:rPr>
  </w:style>
  <w:style w:type="paragraph" w:customStyle="1" w:styleId="Version">
    <w:name w:val="Version"/>
    <w:rsid w:val="00905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CDE"/>
    <w:pPr>
      <w:keepNext w:val="0"/>
      <w:tabs>
        <w:tab w:val="right" w:pos="4176"/>
      </w:tabs>
      <w:ind w:left="198" w:hanging="198"/>
    </w:pPr>
    <w:rPr>
      <w:rFonts w:ascii="Garamond" w:hAnsi="Garamond"/>
    </w:rPr>
  </w:style>
  <w:style w:type="paragraph" w:styleId="IndexHeading">
    <w:name w:val="index heading"/>
    <w:basedOn w:val="Normal"/>
    <w:next w:val="Index1"/>
    <w:semiHidden/>
    <w:rsid w:val="00905CDE"/>
    <w:pPr>
      <w:spacing w:before="120" w:after="120"/>
    </w:pPr>
    <w:rPr>
      <w:rFonts w:ascii="Arial" w:hAnsi="Arial"/>
      <w:b/>
      <w:color w:val="918585"/>
      <w:sz w:val="24"/>
    </w:rPr>
  </w:style>
  <w:style w:type="paragraph" w:styleId="Header">
    <w:name w:val="header"/>
    <w:basedOn w:val="Normal"/>
    <w:link w:val="HeaderChar"/>
    <w:rsid w:val="00905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CDE"/>
    <w:rPr>
      <w:rFonts w:ascii="Times New Roman" w:eastAsia="Times New Roman" w:hAnsi="Times New Roman" w:cs="Times New Roman"/>
      <w:sz w:val="16"/>
      <w:szCs w:val="20"/>
      <w:lang w:val="en-GB" w:eastAsia="en-US"/>
    </w:rPr>
  </w:style>
  <w:style w:type="paragraph" w:customStyle="1" w:styleId="Chapter">
    <w:name w:val="Chapter"/>
    <w:basedOn w:val="Normal"/>
    <w:rsid w:val="00905CDE"/>
    <w:pPr>
      <w:spacing w:before="240"/>
    </w:pPr>
    <w:rPr>
      <w:rFonts w:ascii="Times New Roman" w:hAnsi="Times New Roman"/>
      <w:smallCaps/>
      <w:spacing w:val="80"/>
      <w:sz w:val="28"/>
    </w:rPr>
  </w:style>
  <w:style w:type="paragraph" w:customStyle="1" w:styleId="InChapter">
    <w:name w:val="InChapter"/>
    <w:basedOn w:val="Heading3"/>
    <w:rsid w:val="00905CDE"/>
    <w:pPr>
      <w:spacing w:after="240"/>
      <w:outlineLvl w:val="9"/>
    </w:pPr>
    <w:rPr>
      <w:noProof/>
    </w:rPr>
  </w:style>
  <w:style w:type="paragraph" w:styleId="Index2">
    <w:name w:val="index 2"/>
    <w:basedOn w:val="Normal"/>
    <w:next w:val="Normal"/>
    <w:semiHidden/>
    <w:rsid w:val="00905CDE"/>
    <w:pPr>
      <w:tabs>
        <w:tab w:val="right" w:pos="4176"/>
      </w:tabs>
      <w:ind w:left="568" w:hanging="284"/>
    </w:pPr>
    <w:rPr>
      <w:rFonts w:ascii="Garamond" w:hAnsi="Garamond"/>
    </w:rPr>
  </w:style>
  <w:style w:type="paragraph" w:customStyle="1" w:styleId="Byline">
    <w:name w:val="Byline"/>
    <w:rsid w:val="00905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CDE"/>
    <w:pPr>
      <w:tabs>
        <w:tab w:val="clear" w:pos="3600"/>
        <w:tab w:val="clear" w:pos="3958"/>
      </w:tabs>
      <w:jc w:val="right"/>
    </w:pPr>
  </w:style>
  <w:style w:type="character" w:styleId="Emphasis">
    <w:name w:val="Emphasis"/>
    <w:basedOn w:val="DefaultParagraphFont"/>
    <w:qFormat/>
    <w:rsid w:val="00905CDE"/>
    <w:rPr>
      <w:i/>
    </w:rPr>
  </w:style>
  <w:style w:type="paragraph" w:styleId="Caption">
    <w:name w:val="caption"/>
    <w:basedOn w:val="BodyText"/>
    <w:next w:val="Normal"/>
    <w:qFormat/>
    <w:rsid w:val="00905CDE"/>
    <w:pPr>
      <w:framePr w:w="2268" w:hSpace="181" w:vSpace="181" w:wrap="around" w:vAnchor="text" w:hAnchor="page" w:x="1135" w:y="285" w:anchorLock="1"/>
    </w:pPr>
    <w:rPr>
      <w:i/>
    </w:rPr>
  </w:style>
  <w:style w:type="paragraph" w:customStyle="1" w:styleId="MiniTOCTitle">
    <w:name w:val="MiniTOCTitle"/>
    <w:basedOn w:val="Heading4"/>
    <w:rsid w:val="00905CDE"/>
    <w:pPr>
      <w:spacing w:before="240"/>
      <w:outlineLvl w:val="9"/>
    </w:pPr>
    <w:rPr>
      <w:noProof/>
      <w:sz w:val="24"/>
    </w:rPr>
  </w:style>
  <w:style w:type="paragraph" w:customStyle="1" w:styleId="MiniTOCItem">
    <w:name w:val="MiniTOCItem"/>
    <w:basedOn w:val="ListBullet"/>
    <w:rsid w:val="00905CDE"/>
    <w:pPr>
      <w:numPr>
        <w:numId w:val="0"/>
      </w:numPr>
      <w:tabs>
        <w:tab w:val="right" w:leader="dot" w:pos="6521"/>
      </w:tabs>
      <w:spacing w:before="0" w:after="0"/>
    </w:pPr>
  </w:style>
  <w:style w:type="paragraph" w:customStyle="1" w:styleId="TOFTitle">
    <w:name w:val="TOFTitle"/>
    <w:basedOn w:val="TOCTitle"/>
    <w:rsid w:val="00905CDE"/>
  </w:style>
  <w:style w:type="paragraph" w:styleId="TableofFigures">
    <w:name w:val="table of figures"/>
    <w:basedOn w:val="Normal"/>
    <w:next w:val="Normal"/>
    <w:semiHidden/>
    <w:rsid w:val="00905CDE"/>
    <w:pPr>
      <w:tabs>
        <w:tab w:val="right" w:leader="dot" w:pos="9072"/>
      </w:tabs>
      <w:ind w:left="970" w:hanging="403"/>
    </w:pPr>
    <w:rPr>
      <w:rFonts w:ascii="Times New Roman" w:hAnsi="Times New Roman"/>
      <w:b/>
    </w:rPr>
  </w:style>
  <w:style w:type="paragraph" w:styleId="ListNumber">
    <w:name w:val="List Number"/>
    <w:basedOn w:val="List"/>
    <w:rsid w:val="00905CDE"/>
    <w:pPr>
      <w:numPr>
        <w:numId w:val="11"/>
      </w:numPr>
    </w:pPr>
  </w:style>
  <w:style w:type="character" w:customStyle="1" w:styleId="WingdingSymbols">
    <w:name w:val="Wingding Symbols"/>
    <w:rsid w:val="00905CDE"/>
    <w:rPr>
      <w:rFonts w:ascii="Wingdings" w:hAnsi="Wingdings"/>
    </w:rPr>
  </w:style>
  <w:style w:type="paragraph" w:customStyle="1" w:styleId="TableHeading">
    <w:name w:val="Table Heading"/>
    <w:basedOn w:val="HeadingBase"/>
    <w:rsid w:val="00905CDE"/>
    <w:pPr>
      <w:keepLines/>
      <w:pBdr>
        <w:bottom w:val="single" w:sz="6" w:space="1" w:color="918585"/>
      </w:pBdr>
      <w:spacing w:before="240"/>
    </w:pPr>
  </w:style>
  <w:style w:type="character" w:customStyle="1" w:styleId="HotSpot">
    <w:name w:val="HotSpot"/>
    <w:rsid w:val="00905CDE"/>
    <w:rPr>
      <w:color w:val="0033CC"/>
      <w:u w:val="none"/>
    </w:rPr>
  </w:style>
  <w:style w:type="paragraph" w:customStyle="1" w:styleId="BodyTextRight">
    <w:name w:val="Body Text Right"/>
    <w:basedOn w:val="BodyText"/>
    <w:rsid w:val="00905CDE"/>
    <w:pPr>
      <w:spacing w:before="0" w:after="0"/>
      <w:jc w:val="right"/>
    </w:pPr>
  </w:style>
  <w:style w:type="paragraph" w:styleId="Index3">
    <w:name w:val="index 3"/>
    <w:basedOn w:val="ListNumber2"/>
    <w:next w:val="Normal"/>
    <w:semiHidden/>
    <w:rsid w:val="00905CDE"/>
    <w:pPr>
      <w:numPr>
        <w:numId w:val="0"/>
      </w:numPr>
      <w:tabs>
        <w:tab w:val="right" w:leader="dot" w:pos="4176"/>
      </w:tabs>
    </w:pPr>
  </w:style>
  <w:style w:type="paragraph" w:styleId="ListNumber2">
    <w:name w:val="List Number 2"/>
    <w:basedOn w:val="List2"/>
    <w:rsid w:val="00905CDE"/>
    <w:pPr>
      <w:numPr>
        <w:numId w:val="10"/>
      </w:numPr>
      <w:tabs>
        <w:tab w:val="clear" w:pos="1060"/>
      </w:tabs>
    </w:pPr>
  </w:style>
  <w:style w:type="paragraph" w:customStyle="1" w:styleId="MarginNote">
    <w:name w:val="Margin Note"/>
    <w:basedOn w:val="BodyText"/>
    <w:rsid w:val="00905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CDE"/>
    <w:rPr>
      <w:sz w:val="32"/>
    </w:rPr>
  </w:style>
  <w:style w:type="paragraph" w:customStyle="1" w:styleId="HeadingProcedure">
    <w:name w:val="Heading Procedure"/>
    <w:basedOn w:val="HeadingBase"/>
    <w:next w:val="Normal"/>
    <w:rsid w:val="00905CDE"/>
    <w:pPr>
      <w:tabs>
        <w:tab w:val="left" w:pos="0"/>
      </w:tabs>
      <w:spacing w:before="120" w:after="60"/>
    </w:pPr>
    <w:rPr>
      <w:i/>
      <w:color w:val="918585"/>
      <w:sz w:val="22"/>
    </w:rPr>
  </w:style>
  <w:style w:type="paragraph" w:customStyle="1" w:styleId="TableBodyText">
    <w:name w:val="Table Body Text"/>
    <w:basedOn w:val="BodyText"/>
    <w:rsid w:val="00905CDE"/>
    <w:pPr>
      <w:spacing w:before="60" w:after="60"/>
    </w:pPr>
  </w:style>
  <w:style w:type="paragraph" w:styleId="ListContinue">
    <w:name w:val="List Continue"/>
    <w:basedOn w:val="List"/>
    <w:rsid w:val="00905CDE"/>
    <w:pPr>
      <w:ind w:firstLine="0"/>
    </w:pPr>
  </w:style>
  <w:style w:type="paragraph" w:customStyle="1" w:styleId="ListNote">
    <w:name w:val="List Note"/>
    <w:basedOn w:val="List"/>
    <w:rsid w:val="00905CDE"/>
    <w:pPr>
      <w:pBdr>
        <w:top w:val="single" w:sz="6" w:space="2" w:color="918585"/>
        <w:bottom w:val="single" w:sz="6" w:space="2" w:color="918585"/>
      </w:pBdr>
      <w:tabs>
        <w:tab w:val="left" w:pos="1021"/>
      </w:tabs>
      <w:ind w:firstLine="0"/>
    </w:pPr>
  </w:style>
  <w:style w:type="paragraph" w:customStyle="1" w:styleId="Warning">
    <w:name w:val="Warning"/>
    <w:basedOn w:val="BodyText"/>
    <w:rsid w:val="00905CDE"/>
    <w:pPr>
      <w:shd w:val="clear" w:color="auto" w:fill="D9D9D9"/>
      <w:tabs>
        <w:tab w:val="left" w:pos="992"/>
      </w:tabs>
      <w:ind w:left="119" w:right="119"/>
    </w:pPr>
    <w:rPr>
      <w:sz w:val="20"/>
    </w:rPr>
  </w:style>
  <w:style w:type="paragraph" w:customStyle="1" w:styleId="MarginIcons">
    <w:name w:val="Margin Icons"/>
    <w:basedOn w:val="BodyText"/>
    <w:rsid w:val="00905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CDE"/>
    <w:rPr>
      <w:rFonts w:ascii="Courier New" w:hAnsi="Courier New"/>
    </w:rPr>
  </w:style>
  <w:style w:type="paragraph" w:customStyle="1" w:styleId="NoteBullet">
    <w:name w:val="Note Bullet"/>
    <w:basedOn w:val="Note"/>
    <w:rsid w:val="00905CDE"/>
    <w:pPr>
      <w:tabs>
        <w:tab w:val="clear" w:pos="680"/>
      </w:tabs>
      <w:spacing w:before="60" w:after="60"/>
    </w:pPr>
  </w:style>
  <w:style w:type="paragraph" w:customStyle="1" w:styleId="SubHeading2">
    <w:name w:val="SubHeading2"/>
    <w:basedOn w:val="HeadingBase"/>
    <w:rsid w:val="00905CDE"/>
    <w:pPr>
      <w:spacing w:before="240" w:after="60"/>
    </w:pPr>
    <w:rPr>
      <w:sz w:val="20"/>
    </w:rPr>
  </w:style>
  <w:style w:type="paragraph" w:customStyle="1" w:styleId="SubHeading1">
    <w:name w:val="SubHeading1"/>
    <w:basedOn w:val="HeadingBase"/>
    <w:rsid w:val="00905CDE"/>
    <w:pPr>
      <w:spacing w:before="240" w:after="60"/>
    </w:pPr>
    <w:rPr>
      <w:color w:val="918585"/>
      <w:sz w:val="22"/>
    </w:rPr>
  </w:style>
  <w:style w:type="paragraph" w:customStyle="1" w:styleId="SideHeading">
    <w:name w:val="Side Heading"/>
    <w:basedOn w:val="HeadingBase"/>
    <w:rsid w:val="00905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CDE"/>
    <w:pPr>
      <w:numPr>
        <w:numId w:val="12"/>
      </w:numPr>
    </w:pPr>
  </w:style>
  <w:style w:type="paragraph" w:styleId="PlainText">
    <w:name w:val="Plain Text"/>
    <w:basedOn w:val="Normal"/>
    <w:link w:val="PlainTextChar"/>
    <w:rsid w:val="00905CDE"/>
    <w:rPr>
      <w:sz w:val="20"/>
    </w:rPr>
  </w:style>
  <w:style w:type="character" w:customStyle="1" w:styleId="PlainTextChar">
    <w:name w:val="Plain Text Char"/>
    <w:basedOn w:val="DefaultParagraphFont"/>
    <w:link w:val="PlainText"/>
    <w:rsid w:val="00905CDE"/>
    <w:rPr>
      <w:rFonts w:ascii="Courier New" w:eastAsia="Times New Roman" w:hAnsi="Courier New" w:cs="Times New Roman"/>
      <w:sz w:val="20"/>
      <w:szCs w:val="20"/>
      <w:lang w:eastAsia="en-US"/>
    </w:rPr>
  </w:style>
  <w:style w:type="character" w:customStyle="1" w:styleId="MenuOption">
    <w:name w:val="Menu Option"/>
    <w:basedOn w:val="DefaultParagraphFont"/>
    <w:rsid w:val="00905CDE"/>
    <w:rPr>
      <w:b/>
      <w:smallCaps/>
    </w:rPr>
  </w:style>
  <w:style w:type="paragraph" w:customStyle="1" w:styleId="TableListNumber">
    <w:name w:val="Table List Number"/>
    <w:basedOn w:val="ListNumber"/>
    <w:rsid w:val="00905CDE"/>
    <w:pPr>
      <w:numPr>
        <w:numId w:val="0"/>
      </w:numPr>
    </w:pPr>
  </w:style>
  <w:style w:type="paragraph" w:styleId="TOC4">
    <w:name w:val="toc 4"/>
    <w:basedOn w:val="TOCBase"/>
    <w:next w:val="Normal"/>
    <w:semiHidden/>
    <w:rsid w:val="00905CDE"/>
    <w:pPr>
      <w:tabs>
        <w:tab w:val="right" w:leader="dot" w:pos="9071"/>
      </w:tabs>
      <w:ind w:left="1701"/>
    </w:pPr>
  </w:style>
  <w:style w:type="paragraph" w:customStyle="1" w:styleId="ListAlpha">
    <w:name w:val="List Alpha"/>
    <w:basedOn w:val="List"/>
    <w:rsid w:val="00905CDE"/>
    <w:pPr>
      <w:numPr>
        <w:numId w:val="9"/>
      </w:numPr>
    </w:pPr>
  </w:style>
  <w:style w:type="paragraph" w:customStyle="1" w:styleId="ListAlpha2">
    <w:name w:val="List Alpha 2"/>
    <w:basedOn w:val="List2"/>
    <w:rsid w:val="00905CDE"/>
    <w:pPr>
      <w:numPr>
        <w:numId w:val="8"/>
      </w:numPr>
    </w:pPr>
  </w:style>
  <w:style w:type="paragraph" w:styleId="List2">
    <w:name w:val="List 2"/>
    <w:basedOn w:val="BodyText"/>
    <w:rsid w:val="00905CDE"/>
    <w:pPr>
      <w:tabs>
        <w:tab w:val="left" w:pos="680"/>
      </w:tabs>
      <w:spacing w:before="60" w:after="60"/>
      <w:ind w:left="680" w:hanging="340"/>
    </w:pPr>
  </w:style>
  <w:style w:type="paragraph" w:styleId="List3">
    <w:name w:val="List 3"/>
    <w:basedOn w:val="BodyText"/>
    <w:rsid w:val="00905CDE"/>
    <w:pPr>
      <w:tabs>
        <w:tab w:val="left" w:pos="1021"/>
      </w:tabs>
      <w:spacing w:before="60" w:after="60"/>
      <w:ind w:left="1020" w:hanging="340"/>
    </w:pPr>
  </w:style>
  <w:style w:type="paragraph" w:styleId="List4">
    <w:name w:val="List 4"/>
    <w:basedOn w:val="BodyText"/>
    <w:rsid w:val="00905CDE"/>
    <w:pPr>
      <w:tabs>
        <w:tab w:val="left" w:pos="1361"/>
      </w:tabs>
      <w:spacing w:before="60" w:after="60"/>
      <w:ind w:left="1361" w:hanging="340"/>
    </w:pPr>
  </w:style>
  <w:style w:type="paragraph" w:styleId="List5">
    <w:name w:val="List 5"/>
    <w:basedOn w:val="BodyText"/>
    <w:rsid w:val="00905CDE"/>
    <w:pPr>
      <w:tabs>
        <w:tab w:val="left" w:pos="1701"/>
      </w:tabs>
      <w:spacing w:before="60" w:after="60"/>
      <w:ind w:left="1701" w:hanging="340"/>
    </w:pPr>
  </w:style>
  <w:style w:type="paragraph" w:styleId="ListBullet3">
    <w:name w:val="List Bullet 3"/>
    <w:basedOn w:val="List3"/>
    <w:rsid w:val="00905CDE"/>
    <w:pPr>
      <w:numPr>
        <w:numId w:val="15"/>
      </w:numPr>
      <w:tabs>
        <w:tab w:val="clear" w:pos="1021"/>
      </w:tabs>
      <w:ind w:left="1037" w:hanging="357"/>
    </w:pPr>
  </w:style>
  <w:style w:type="paragraph" w:styleId="ListBullet4">
    <w:name w:val="List Bullet 4"/>
    <w:basedOn w:val="List4"/>
    <w:rsid w:val="00905CDE"/>
    <w:pPr>
      <w:numPr>
        <w:numId w:val="3"/>
      </w:numPr>
    </w:pPr>
  </w:style>
  <w:style w:type="paragraph" w:styleId="ListBullet5">
    <w:name w:val="List Bullet 5"/>
    <w:basedOn w:val="List5"/>
    <w:rsid w:val="00905CDE"/>
    <w:pPr>
      <w:numPr>
        <w:numId w:val="4"/>
      </w:numPr>
    </w:pPr>
  </w:style>
  <w:style w:type="paragraph" w:styleId="ListContinue2">
    <w:name w:val="List Continue 2"/>
    <w:basedOn w:val="List2"/>
    <w:rsid w:val="00905CDE"/>
    <w:pPr>
      <w:ind w:firstLine="0"/>
    </w:pPr>
  </w:style>
  <w:style w:type="paragraph" w:styleId="ListContinue3">
    <w:name w:val="List Continue 3"/>
    <w:basedOn w:val="List3"/>
    <w:rsid w:val="00905CDE"/>
    <w:pPr>
      <w:ind w:left="1021" w:firstLine="0"/>
    </w:pPr>
  </w:style>
  <w:style w:type="paragraph" w:styleId="ListContinue4">
    <w:name w:val="List Continue 4"/>
    <w:basedOn w:val="List4"/>
    <w:rsid w:val="00905CDE"/>
    <w:pPr>
      <w:ind w:firstLine="0"/>
    </w:pPr>
  </w:style>
  <w:style w:type="paragraph" w:styleId="ListContinue5">
    <w:name w:val="List Continue 5"/>
    <w:basedOn w:val="List5"/>
    <w:rsid w:val="00905CDE"/>
    <w:pPr>
      <w:ind w:firstLine="0"/>
    </w:pPr>
  </w:style>
  <w:style w:type="paragraph" w:styleId="ListNumber3">
    <w:name w:val="List Number 3"/>
    <w:basedOn w:val="List3"/>
    <w:rsid w:val="00905CDE"/>
    <w:pPr>
      <w:numPr>
        <w:numId w:val="5"/>
      </w:numPr>
    </w:pPr>
  </w:style>
  <w:style w:type="paragraph" w:styleId="ListNumber4">
    <w:name w:val="List Number 4"/>
    <w:basedOn w:val="List4"/>
    <w:rsid w:val="00905CDE"/>
    <w:pPr>
      <w:numPr>
        <w:numId w:val="6"/>
      </w:numPr>
    </w:pPr>
  </w:style>
  <w:style w:type="paragraph" w:styleId="ListNumber5">
    <w:name w:val="List Number 5"/>
    <w:basedOn w:val="List5"/>
    <w:rsid w:val="00905CDE"/>
    <w:pPr>
      <w:numPr>
        <w:numId w:val="7"/>
      </w:numPr>
    </w:pPr>
  </w:style>
  <w:style w:type="paragraph" w:styleId="BlockText">
    <w:name w:val="Block Text"/>
    <w:basedOn w:val="Normal"/>
    <w:rsid w:val="00905CDE"/>
    <w:pPr>
      <w:spacing w:after="120"/>
      <w:ind w:left="1440" w:right="1440"/>
    </w:pPr>
  </w:style>
  <w:style w:type="character" w:customStyle="1" w:styleId="Subscript">
    <w:name w:val="Subscript"/>
    <w:basedOn w:val="DefaultParagraphFont"/>
    <w:rsid w:val="00905CDE"/>
    <w:rPr>
      <w:sz w:val="16"/>
      <w:vertAlign w:val="subscript"/>
    </w:rPr>
  </w:style>
  <w:style w:type="character" w:customStyle="1" w:styleId="Superscript">
    <w:name w:val="Superscript"/>
    <w:basedOn w:val="DefaultParagraphFont"/>
    <w:rsid w:val="00905CDE"/>
    <w:rPr>
      <w:sz w:val="16"/>
      <w:vertAlign w:val="superscript"/>
    </w:rPr>
  </w:style>
  <w:style w:type="character" w:customStyle="1" w:styleId="Symbols">
    <w:name w:val="Symbols"/>
    <w:basedOn w:val="DefaultParagraphFont"/>
    <w:rsid w:val="00905CDE"/>
    <w:rPr>
      <w:rFonts w:ascii="Symbol" w:hAnsi="Symbol"/>
    </w:rPr>
  </w:style>
  <w:style w:type="character" w:customStyle="1" w:styleId="MenuOptions">
    <w:name w:val="Menu Options"/>
    <w:basedOn w:val="DefaultParagraphFont"/>
    <w:rsid w:val="00905CDE"/>
    <w:rPr>
      <w:rFonts w:ascii="Arial Narrow" w:hAnsi="Arial Narrow"/>
      <w:smallCaps/>
    </w:rPr>
  </w:style>
  <w:style w:type="character" w:customStyle="1" w:styleId="Buttons">
    <w:name w:val="Buttons"/>
    <w:basedOn w:val="DefaultParagraphFont"/>
    <w:rsid w:val="00905CDE"/>
    <w:rPr>
      <w:b/>
    </w:rPr>
  </w:style>
  <w:style w:type="character" w:customStyle="1" w:styleId="Underlined">
    <w:name w:val="Underlined"/>
    <w:basedOn w:val="DefaultParagraphFont"/>
    <w:rsid w:val="00905CDE"/>
    <w:rPr>
      <w:u w:val="single"/>
    </w:rPr>
  </w:style>
  <w:style w:type="paragraph" w:customStyle="1" w:styleId="TableBodyTextRight">
    <w:name w:val="Table Body Text Right"/>
    <w:basedOn w:val="TableBodyText"/>
    <w:rsid w:val="00905CDE"/>
    <w:pPr>
      <w:widowControl w:val="0"/>
      <w:autoSpaceDE w:val="0"/>
      <w:autoSpaceDN w:val="0"/>
      <w:adjustRightInd w:val="0"/>
      <w:jc w:val="right"/>
    </w:pPr>
    <w:rPr>
      <w:rFonts w:cs="Arial"/>
      <w:szCs w:val="18"/>
    </w:rPr>
  </w:style>
  <w:style w:type="paragraph" w:customStyle="1" w:styleId="CopyrightText">
    <w:name w:val="Copyright Text"/>
    <w:basedOn w:val="BodyText"/>
    <w:rsid w:val="00905CDE"/>
    <w:rPr>
      <w:sz w:val="18"/>
    </w:rPr>
  </w:style>
  <w:style w:type="paragraph" w:customStyle="1" w:styleId="BodySmallRight">
    <w:name w:val="Body Small Right"/>
    <w:basedOn w:val="BodyTextRight"/>
    <w:rsid w:val="00905CDE"/>
    <w:rPr>
      <w:sz w:val="18"/>
      <w:szCs w:val="18"/>
    </w:rPr>
  </w:style>
  <w:style w:type="paragraph" w:customStyle="1" w:styleId="MarginEdition">
    <w:name w:val="Margin Edition"/>
    <w:basedOn w:val="MarginNote"/>
    <w:rsid w:val="00905CDE"/>
    <w:pPr>
      <w:spacing w:before="0" w:after="0"/>
    </w:pPr>
    <w:rPr>
      <w:rFonts w:ascii="Times New Roman" w:hAnsi="Times New Roman"/>
      <w:color w:val="999999"/>
    </w:rPr>
  </w:style>
  <w:style w:type="paragraph" w:customStyle="1" w:styleId="Spacer">
    <w:name w:val="Spacer"/>
    <w:basedOn w:val="Normal"/>
    <w:rsid w:val="00905CDE"/>
    <w:rPr>
      <w:sz w:val="2"/>
      <w:szCs w:val="2"/>
    </w:rPr>
  </w:style>
  <w:style w:type="character" w:customStyle="1" w:styleId="Small">
    <w:name w:val="Small"/>
    <w:basedOn w:val="DefaultParagraphFont"/>
    <w:rsid w:val="00905CDE"/>
    <w:rPr>
      <w:sz w:val="16"/>
    </w:rPr>
  </w:style>
  <w:style w:type="paragraph" w:customStyle="1" w:styleId="WideTable">
    <w:name w:val="Wide Table"/>
    <w:basedOn w:val="Normal"/>
    <w:rsid w:val="00905CDE"/>
    <w:pPr>
      <w:ind w:left="-1418"/>
    </w:pPr>
    <w:rPr>
      <w:sz w:val="2"/>
      <w:szCs w:val="2"/>
    </w:rPr>
  </w:style>
  <w:style w:type="character" w:styleId="PageNumber">
    <w:name w:val="page number"/>
    <w:basedOn w:val="DefaultParagraphFont"/>
    <w:rsid w:val="00905CDE"/>
  </w:style>
  <w:style w:type="paragraph" w:styleId="Quote">
    <w:name w:val="Quote"/>
    <w:basedOn w:val="Heading1"/>
    <w:link w:val="QuoteChar"/>
    <w:qFormat/>
    <w:rsid w:val="00905CDE"/>
    <w:rPr>
      <w:b w:val="0"/>
      <w:sz w:val="72"/>
      <w:szCs w:val="72"/>
      <w:lang w:val="en-NZ"/>
    </w:rPr>
  </w:style>
  <w:style w:type="character" w:customStyle="1" w:styleId="QuoteChar">
    <w:name w:val="Quote Char"/>
    <w:basedOn w:val="DefaultParagraphFont"/>
    <w:link w:val="Quote"/>
    <w:rsid w:val="00905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CDE"/>
    <w:pPr>
      <w:pageBreakBefore/>
    </w:pPr>
  </w:style>
  <w:style w:type="paragraph" w:customStyle="1" w:styleId="Border">
    <w:name w:val="Border"/>
    <w:basedOn w:val="Normal"/>
    <w:qFormat/>
    <w:rsid w:val="00905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CDE"/>
    <w:rPr>
      <w:b/>
      <w:bCs/>
      <w:i/>
      <w:iCs/>
      <w:color w:val="auto"/>
    </w:rPr>
  </w:style>
  <w:style w:type="paragraph" w:styleId="IntenseQuote">
    <w:name w:val="Intense Quote"/>
    <w:basedOn w:val="Normal"/>
    <w:next w:val="Normal"/>
    <w:link w:val="IntenseQuoteChar"/>
    <w:uiPriority w:val="30"/>
    <w:qFormat/>
    <w:rsid w:val="00905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CDE"/>
    <w:rPr>
      <w:smallCaps/>
      <w:color w:val="auto"/>
      <w:u w:val="single"/>
    </w:rPr>
  </w:style>
  <w:style w:type="character" w:styleId="IntenseReference">
    <w:name w:val="Intense Reference"/>
    <w:basedOn w:val="DefaultParagraphFont"/>
    <w:uiPriority w:val="32"/>
    <w:qFormat/>
    <w:rsid w:val="00905CDE"/>
    <w:rPr>
      <w:b/>
      <w:bCs/>
      <w:smallCaps/>
      <w:color w:val="auto"/>
      <w:spacing w:val="5"/>
      <w:u w:val="single"/>
    </w:rPr>
  </w:style>
  <w:style w:type="paragraph" w:customStyle="1" w:styleId="2ColumnHeading">
    <w:name w:val="2Column Heading"/>
    <w:basedOn w:val="BodyText"/>
    <w:qFormat/>
    <w:rsid w:val="00905CDE"/>
    <w:pPr>
      <w:spacing w:after="60"/>
      <w:ind w:left="-2268"/>
    </w:pPr>
    <w:rPr>
      <w:b/>
    </w:rPr>
  </w:style>
  <w:style w:type="paragraph" w:customStyle="1" w:styleId="Heading1TOC">
    <w:name w:val="Heading1 TOC"/>
    <w:basedOn w:val="Normal"/>
    <w:qFormat/>
    <w:rsid w:val="00905CDE"/>
    <w:pPr>
      <w:spacing w:before="240" w:after="120"/>
    </w:pPr>
    <w:rPr>
      <w:rFonts w:ascii="Times New Roman" w:hAnsi="Times New Roman"/>
      <w:b/>
      <w:sz w:val="32"/>
    </w:rPr>
  </w:style>
  <w:style w:type="paragraph" w:customStyle="1" w:styleId="Heading2TOC">
    <w:name w:val="Heading2 TOC"/>
    <w:basedOn w:val="Normal"/>
    <w:qFormat/>
    <w:rsid w:val="00905CDE"/>
    <w:pPr>
      <w:spacing w:before="240" w:after="60"/>
    </w:pPr>
    <w:rPr>
      <w:rFonts w:ascii="Times New Roman" w:hAnsi="Times New Roman"/>
      <w:b/>
      <w:sz w:val="28"/>
    </w:rPr>
  </w:style>
  <w:style w:type="character" w:customStyle="1" w:styleId="Underline">
    <w:name w:val="Underline"/>
    <w:basedOn w:val="DefaultParagraphFont"/>
    <w:qFormat/>
    <w:rsid w:val="00905CDE"/>
    <w:rPr>
      <w:u w:val="single"/>
    </w:rPr>
  </w:style>
  <w:style w:type="paragraph" w:styleId="BalloonText">
    <w:name w:val="Balloon Text"/>
    <w:basedOn w:val="Normal"/>
    <w:link w:val="BalloonTextChar"/>
    <w:rsid w:val="00905CDE"/>
    <w:rPr>
      <w:rFonts w:ascii="Tahoma" w:hAnsi="Tahoma" w:cs="Tahoma"/>
      <w:sz w:val="16"/>
      <w:szCs w:val="16"/>
    </w:rPr>
  </w:style>
  <w:style w:type="character" w:customStyle="1" w:styleId="BalloonTextChar">
    <w:name w:val="Balloon Text Char"/>
    <w:basedOn w:val="DefaultParagraphFont"/>
    <w:link w:val="BalloonText"/>
    <w:rsid w:val="00905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CDE"/>
    <w:rPr>
      <w:b/>
      <w:color w:val="660033"/>
      <w:spacing w:val="0"/>
    </w:rPr>
  </w:style>
  <w:style w:type="paragraph" w:customStyle="1" w:styleId="Nameditemlist">
    <w:name w:val="Named item list"/>
    <w:basedOn w:val="BodyText"/>
    <w:qFormat/>
    <w:rsid w:val="00905C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1558</Words>
  <Characters>9978</Characters>
  <Application>Microsoft Office Word</Application>
  <DocSecurity>0</DocSecurity>
  <Lines>382</Lines>
  <Paragraphs>227</Paragraphs>
  <ScaleCrop>false</ScaleCrop>
  <Company>Author-it Software Corporation Ltd.</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RGRPSH401A Relate anatomical and physiological features to the care and treatment of horses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2012-10-11T20:37:00Z</dcterms:created>
  <dcterms:modified xsi:type="dcterms:W3CDTF">2012-10-11T20:37:00Z</dcterms:modified>
</cp:coreProperties>
</file>